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F8C89" w14:textId="08514FDF" w:rsidR="00AD4F3F" w:rsidRDefault="00E213F1" w:rsidP="00385DD4">
      <w:pPr>
        <w:pStyle w:val="Title"/>
      </w:pPr>
      <w:sdt>
        <w:sdtPr>
          <w:alias w:val="Title"/>
          <w:tag w:val=""/>
          <w:id w:val="726351117"/>
          <w:placeholder>
            <w:docPart w:val="DDB56B60B293CF49A5B4E556BED6CA7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54DCF">
            <w:t>A critical reanalysis of Vahey et al. (2015) “A meta-analysis of criterion effects for the Implicit Relational Assessment Procedure (IRAP) in the clinical domain”</w:t>
          </w:r>
        </w:sdtContent>
      </w:sdt>
    </w:p>
    <w:p w14:paraId="6DDF54E9" w14:textId="77777777" w:rsidR="00AD4F3F" w:rsidRDefault="00DC663A">
      <w:pPr>
        <w:pStyle w:val="Title2"/>
      </w:pPr>
      <w:r>
        <w:t>Ian Hussey</w:t>
      </w:r>
    </w:p>
    <w:p w14:paraId="2BC95346" w14:textId="77777777" w:rsidR="00AD4F3F" w:rsidRDefault="00DC663A">
      <w:pPr>
        <w:pStyle w:val="Title2"/>
      </w:pPr>
      <w:r>
        <w:t>Ghent University</w:t>
      </w:r>
    </w:p>
    <w:p w14:paraId="658C7C2B" w14:textId="77777777" w:rsidR="00AD4F3F" w:rsidRDefault="00B12140" w:rsidP="00385DD4">
      <w:pPr>
        <w:pStyle w:val="Title"/>
      </w:pPr>
      <w:r>
        <w:t>Author Note</w:t>
      </w:r>
    </w:p>
    <w:sdt>
      <w:sdtPr>
        <w:id w:val="716785028"/>
        <w:placeholder>
          <w:docPart w:val="62C7C964859ACB42B4F8F13B59C42209"/>
        </w:placeholder>
        <w:temporary/>
        <w:showingPlcHdr/>
        <w:text/>
      </w:sdtPr>
      <w:sdtEndPr/>
      <w:sdtContent>
        <w:p w14:paraId="5984725C" w14:textId="77777777" w:rsidR="00AD4F3F" w:rsidRDefault="00B12140">
          <w:r>
            <w:t>[Include any grant/funding information and a complete correspondence address.]</w:t>
          </w:r>
        </w:p>
      </w:sdtContent>
    </w:sdt>
    <w:p w14:paraId="49240D1C" w14:textId="77777777" w:rsidR="00AD4F3F" w:rsidRDefault="00B12140">
      <w:pPr>
        <w:pStyle w:val="SectionTitle"/>
      </w:pPr>
      <w:r>
        <w:lastRenderedPageBreak/>
        <w:t>Abstract</w:t>
      </w:r>
    </w:p>
    <w:p w14:paraId="0717D546" w14:textId="13092BEC" w:rsidR="00AD4F3F" w:rsidRDefault="00EC2304">
      <w:pPr>
        <w:pStyle w:val="NoSpacing"/>
      </w:pPr>
      <w:r>
        <w:t xml:space="preserve">Vahey et al., </w:t>
      </w:r>
    </w:p>
    <w:p w14:paraId="385D99B3" w14:textId="77777777" w:rsidR="00AD4F3F" w:rsidRDefault="00B12140">
      <w:r>
        <w:rPr>
          <w:rStyle w:val="Emphasis"/>
        </w:rPr>
        <w:t>Keywords</w:t>
      </w:r>
      <w:r>
        <w:t xml:space="preserve">: </w:t>
      </w:r>
      <w:sdt>
        <w:sdtPr>
          <w:id w:val="1136374635"/>
          <w:placeholder>
            <w:docPart w:val="96619EAF0FC06747BEAA24F493124D63"/>
          </w:placeholder>
          <w:temporary/>
          <w:showingPlcHdr/>
          <w:text/>
        </w:sdtPr>
        <w:sdtEndPr/>
        <w:sdtContent>
          <w:r>
            <w:t>[Click here to add keywords.]</w:t>
          </w:r>
        </w:sdtContent>
      </w:sdt>
    </w:p>
    <w:p w14:paraId="79DE3580" w14:textId="6B5C45BF" w:rsidR="00AD4F3F" w:rsidRDefault="00E213F1">
      <w:pPr>
        <w:pStyle w:val="SectionTitle"/>
      </w:pPr>
      <w:sdt>
        <w:sdtPr>
          <w:alias w:val="Title"/>
          <w:tag w:val=""/>
          <w:id w:val="984196707"/>
          <w:placeholder>
            <w:docPart w:val="DDB56B60B293CF49A5B4E556BED6CA7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54DCF">
            <w:t>A critical reanalysis of Vahey et al. (2015) “A meta-analysis of criterion effects for the Implicit Relational Assessment Procedure (IRAP) in the clinical domain”</w:t>
          </w:r>
        </w:sdtContent>
      </w:sdt>
    </w:p>
    <w:p w14:paraId="149A5818" w14:textId="77777777" w:rsidR="00A500E0" w:rsidRDefault="00A500E0" w:rsidP="00F5007E"/>
    <w:p w14:paraId="72CE667F" w14:textId="7811C77E" w:rsidR="006B4921" w:rsidRDefault="006066F3" w:rsidP="006B4921">
      <w:r>
        <w:t xml:space="preserve">Indirect measures of implicit attitudes </w:t>
      </w:r>
      <w:r w:rsidR="00C31377">
        <w:t xml:space="preserve">have seen wide use in psychopathology research over the last twenty years </w:t>
      </w:r>
      <w:r w:rsidR="00C31377">
        <w:fldChar w:fldCharType="begin"/>
      </w:r>
      <w:r w:rsidR="00C31377">
        <w:instrText xml:space="preserve"> ADDIN ZOTERO_ITEM CSL_CITATION {"citationID":"7uJrf1Yz","properties":{"formattedCitation":"(e.g., Roefs et al., 2011)","plainCitation":"(e.g., Roefs et al., 2011)","noteIndex":0},"citationItems":[{"id":126,"uris":["http://zotero.org/users/1687755/items/R37R9SNK"],"uri":["http://zotero.org/users/1687755/items/R37R9SNK"],"itemData":{"id":126,"type":"article-journal","abstract":"Studies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M"}],"issued":{"date-parts":[["2011",1]]}},"prefix":"e.g.,  "}],"schema":"https://github.com/citation-style-language/schema/raw/master/csl-citation.json"} </w:instrText>
      </w:r>
      <w:r w:rsidR="00C31377">
        <w:fldChar w:fldCharType="separate"/>
      </w:r>
      <w:r w:rsidR="00C31377">
        <w:rPr>
          <w:noProof/>
        </w:rPr>
        <w:t>(e.g., Roefs et al., 2011)</w:t>
      </w:r>
      <w:r w:rsidR="00C31377">
        <w:fldChar w:fldCharType="end"/>
      </w:r>
      <w:r>
        <w:t>. Unlike direct measures</w:t>
      </w:r>
      <w:r w:rsidR="008E3B87">
        <w:t>,</w:t>
      </w:r>
      <w:r>
        <w:t xml:space="preserve"> such as self-reports, these infer individuals</w:t>
      </w:r>
      <w:r w:rsidR="00A500E0">
        <w:t>’</w:t>
      </w:r>
      <w:r>
        <w:t xml:space="preserve"> attitudes</w:t>
      </w:r>
      <w:r w:rsidR="00C31377">
        <w:t xml:space="preserve"> </w:t>
      </w:r>
      <w:r>
        <w:t>through reaction time biases</w:t>
      </w:r>
      <w:r w:rsidR="00A500E0">
        <w:t xml:space="preserve">, </w:t>
      </w:r>
      <w:r>
        <w:t>misattributions</w:t>
      </w:r>
      <w:r w:rsidR="00A500E0">
        <w:t>, and other forms of automatic behaviour</w:t>
      </w:r>
      <w:r>
        <w:t xml:space="preserve"> </w:t>
      </w:r>
      <w:r w:rsidR="00C31377">
        <w:fldChar w:fldCharType="begin"/>
      </w:r>
      <w:r w:rsidR="00C31377">
        <w:instrText xml:space="preserve"> ADDIN ZOTERO_ITEM CSL_CITATION {"citationID":"AT4cZjKu","properties":{"unsorted":true,"formattedCitation":"(De Houwer &amp; Moors, 2010; although see Corneille &amp; H\\uc0\\u252{}tter, 2020)","plainCitation":"(De Houwer &amp; Moors, 2010; although see Corneille &amp; Hütter, 2020)","noteIndex":0},"citationItems":[{"id":237,"uris":["http://zotero.org/users/1687755/items/WPFGDZMD"],"uri":["http://zotero.org/users/1687755/items/WPFGDZMD"],"itemData":{"id":237,"type":"chapter","container-title":"Handbook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12496,"uris":["http://zotero.org/users/1687755/items/L3DDQX5Y"],"uri":["http://zotero.org/users/1687755/items/L3DDQX5Y"],"itemData":{"id":12496,"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Research","title-short":"Implicit?","author":[{"family":"Corneille","given":"Olivier"},{"family":"Hütter","given":"Mandy"}],"issued":{"date-parts":[["2020",3,20]]}},"prefix":"although see"}],"schema":"https://github.com/citation-style-language/schema/raw/master/csl-citation.json"} </w:instrText>
      </w:r>
      <w:r w:rsidR="00C31377">
        <w:fldChar w:fldCharType="separate"/>
      </w:r>
      <w:r w:rsidR="00C31377" w:rsidRPr="00C31377">
        <w:rPr>
          <w:rFonts w:cs="CMU Serif Roman"/>
        </w:rPr>
        <w:t>(De Houwer &amp; Moors, 2010; although see Corneille &amp; Hütter, 2020)</w:t>
      </w:r>
      <w:r w:rsidR="00C31377">
        <w:fldChar w:fldCharType="end"/>
      </w:r>
      <w:r>
        <w:t xml:space="preserve">. </w:t>
      </w:r>
      <w:r w:rsidR="00C31377">
        <w:t xml:space="preserve">These measures have led to important insights and useful predictions, </w:t>
      </w:r>
      <w:r w:rsidR="004A13AC">
        <w:t>such the role of self-esteem within depression</w:t>
      </w:r>
      <w:r w:rsidR="00C31377">
        <w:t xml:space="preserve"> </w:t>
      </w:r>
      <w:r w:rsidR="004A13AC">
        <w:fldChar w:fldCharType="begin"/>
      </w:r>
      <w:r w:rsidR="004A13AC">
        <w:instrText xml:space="preserve"> ADDIN ZOTERO_ITEM CSL_CITATION {"citationID":"UXIqBnRL","properties":{"formattedCitation":"(Gemar et al., 2001; Hussey &amp; Barnes-Holmes, 2012; Remue et al., 2013)","plainCitation":"(Gemar et al., 2001; Hussey &amp; Barnes-Holmes, 2012; Remue et al., 2013)","noteIndex":0},"citationItems":[{"id":277,"uris":["http://zotero.org/users/1687755/items/9FQRMDF4"],"uri":["http://zotero.org/users/1687755/items/9FQRMDF4"],"itemData":{"id":277,"type":"article-journal","container-title":"Journal of Abnormal Psychology","DOI":"10.1037//0021-843X.110.2.282","ISSN":"0021-843X","issue":"2","language":"en","page":"282-289","source":"CrossRef","title":"Mood-induced changes on the Implicit Association Test in recovered depressed patients.","volume":"110","author":[{"family":"Gemar","given":"Michael C."},{"family":"Segal","given":"Zindel V."},{"family":"Sagrati","given":"Sandra"},{"family":"Kennedy","given":"Sidney J."}],"issued":{"date-parts":[["2001"]]}}},{"id":19,"uris":["http://zotero.org/users/1687755/items/JN2Z847C"],"uri":["http://zotero.org/users/1687755/items/JN2Z847C"],"itemData":{"id":19,"type":"article-journal","abstract":"A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Raedt","given":"Rudi"}],"issued":{"date-parts":[["2013"]]}}}],"schema":"https://github.com/citation-style-language/schema/raw/master/csl-citation.json"} </w:instrText>
      </w:r>
      <w:r w:rsidR="004A13AC">
        <w:fldChar w:fldCharType="separate"/>
      </w:r>
      <w:r w:rsidR="004A13AC">
        <w:rPr>
          <w:noProof/>
        </w:rPr>
        <w:t>(Gemar et al., 2001; Hussey &amp; Barnes-Holmes, 2012; Remue et al., 2013)</w:t>
      </w:r>
      <w:r w:rsidR="004A13AC">
        <w:fldChar w:fldCharType="end"/>
      </w:r>
      <w:r w:rsidR="004A13AC">
        <w:t xml:space="preserve"> and the prospective prediction of repeat suicide attempts </w:t>
      </w:r>
      <w:r w:rsidR="004A13AC">
        <w:fldChar w:fldCharType="begin"/>
      </w:r>
      <w:r w:rsidR="004A13AC">
        <w:instrText xml:space="preserve"> ADDIN ZOTERO_ITEM CSL_CITATION {"citationID":"QFl2aaSu","properties":{"formattedCitation":"(Nock et al., 2010; Tello et al., 2020)","plainCitation":"(Nock et al., 2010; Tello et al., 2020)","noteIndex":0},"citationItems":[{"id":193,"uris":["http://zotero.org/users/1687755/items/WM7AAMMW"],"uri":["http://zotero.org/users/1687755/items/WM7AAMMW"],"itemData":{"id":193,"type":"article-journal","container-title":"Psychological Science","DOI":"10.1177/0956797610364762","ISSN":"0956-7976, 1467-9280","issue":"4","language":"en","page":"511-517","source":"CrossRef","title":"Measuring the suicidal mind: Implicit cognition predicts suicidal behavior","title-short":"Measuring the Suicidal Mind","volume":"21","author":[{"family":"Nock","given":"Matthew K."},{"family":"Park","given":"J. M."},{"family":"Finn","given":"C. T."},{"family":"Deliberto","given":"T. L."},{"family":"Dour","given":"H. J."},{"family":"Banaji","given":"M. R."}],"issued":{"date-parts":[["2010",4,1]]}}},{"id":12661,"uris":["http://zotero.org/users/1687755/items/4VMV6KDT"],"uri":["http://zotero.org/users/1687755/items/4VMV6KDT"],"itemData":{"id":12661,"type":"article-journal","abstract":"A previous study by Nock et al. (2010) suggested that people’s implicit identification with “death” or “suicide” can accurately predict whether they will attempt suicide several months in advance. We report the first direct and independent replication of this promising finding. Participants were 165 patients seeking treatment at a psychiatric unit in France. At baseline, patients completed the Suicide–Implicit Association Test (S–IAT), a semistructured interview, and a self-report measure of suicide ideation. Six months later, we contacted participants by phone and examined their hospital medical records to determine whether they had made a new suicide attempt. Results showed that the S–IAT did not distinguish between patients who were admitted to the hospital following suicide attempts and those who were admitted for other reasons. As in the original study, however, the S–IAT predicted suicide attempts within the 6-month follow-up period beyond well-known predictors. The test correctly classified 85% of patients (95% confidence interval = [76.91, 91.53]), supporting its diagnostic value for identifying who will make a suicide attempt.","container-title":"Psychological Science","DOI":"10.1177/0956797619893062","ISSN":"0956-7976","issue":"1","journalAbbreviation":"Psychol Sci","language":"en","note":"publisher: SAGE Publications Inc","page":"65-74","source":"SAGE Journals","title":"Forecasting a Fatal Decision: Direct Replication of the Predictive Validity of the Suicide–Implicit Association Test","title-short":"Forecasting a Fatal Decision","volume":"31","author":[{"family":"Tello","given":"Nina"},{"family":"Harika-Germaneau","given":"Ghina"},{"family":"Serra","given":"Wilfried"},{"family":"Jaafari","given":"Nematollah"},{"family":"Chatard","given":"Armand"}],"issued":{"date-parts":[["2020",1,1]]}}}],"schema":"https://github.com/citation-style-language/schema/raw/master/csl-citation.json"} </w:instrText>
      </w:r>
      <w:r w:rsidR="004A13AC">
        <w:fldChar w:fldCharType="separate"/>
      </w:r>
      <w:r w:rsidR="004A13AC">
        <w:rPr>
          <w:noProof/>
        </w:rPr>
        <w:t>(Nock et al., 2010; Tello et al., 2020)</w:t>
      </w:r>
      <w:r w:rsidR="004A13AC">
        <w:fldChar w:fldCharType="end"/>
      </w:r>
      <w:r w:rsidR="004A13AC">
        <w:t>.</w:t>
      </w:r>
    </w:p>
    <w:p w14:paraId="5D1F3717" w14:textId="249F8635" w:rsidR="00E62382" w:rsidRDefault="00E62382" w:rsidP="00E62382">
      <w:pPr>
        <w:pStyle w:val="Heading2"/>
      </w:pPr>
      <w:r>
        <w:t>The IRAP</w:t>
      </w:r>
    </w:p>
    <w:p w14:paraId="2A379A7F" w14:textId="7E7BBB90" w:rsidR="00F249C8" w:rsidRDefault="007F5234" w:rsidP="00A802C3">
      <w:r>
        <w:t xml:space="preserve">A meta-analysis of one implicit measure, the Implicit Relational Assessment Procedure </w:t>
      </w:r>
      <w:r>
        <w:fldChar w:fldCharType="begin"/>
      </w:r>
      <w:r>
        <w:instrText xml:space="preserve"> ADDIN ZOTERO_ITEM CSL_CITATION {"citationID":"QvWzUdFS","properties":{"formattedCitation":"(IRAP: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fldChar w:fldCharType="separate"/>
      </w:r>
      <w:r>
        <w:rPr>
          <w:noProof/>
        </w:rPr>
        <w:t>(IRAP: Barnes-Holmes et al., 2010)</w:t>
      </w:r>
      <w:r>
        <w:fldChar w:fldCharType="end"/>
      </w:r>
      <w:r>
        <w:t xml:space="preserve">, concluded that it possesses good criterion validity and has potential within clinical assessment </w:t>
      </w:r>
      <w:r>
        <w:fldChar w:fldCharType="begin"/>
      </w:r>
      <w:r>
        <w:instrText xml:space="preserve"> ADDIN ZOTERO_ITEM CSL_CITATION {"citationID":"KhF8jsoE","properties":{"formattedCitation":"(Vahey et al., 2015)","plainCitation":"(Vahey et al., 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fldChar w:fldCharType="separate"/>
      </w:r>
      <w:r>
        <w:rPr>
          <w:noProof/>
        </w:rPr>
        <w:t>(Vahey et al., 2015)</w:t>
      </w:r>
      <w:r>
        <w:fldChar w:fldCharType="end"/>
      </w:r>
      <w:r>
        <w:t>.</w:t>
      </w:r>
      <w:r w:rsidR="00F14ACD">
        <w:t xml:space="preserve"> </w:t>
      </w:r>
      <w:r w:rsidR="00814200">
        <w:t xml:space="preserve">In Vahey et al. (2015), the authors (a) provided an estimate of the association between IRAP effects and clinically-relevant criterion variables, (b) reported that the IRAP compares favorably to other a more popular implicit measure, the Implicit Association Test </w:t>
      </w:r>
      <w:r w:rsidR="00814200">
        <w:fldChar w:fldCharType="begin"/>
      </w:r>
      <w:r w:rsidR="00814200">
        <w:instrText xml:space="preserve"> ADDIN ZOTERO_ITEM CSL_CITATION {"citationID":"ZUfIn3Nj","properties":{"formattedCitation":"(Greenwald et al., 1998)","plainCitation":"(Greenwald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814200">
        <w:fldChar w:fldCharType="separate"/>
      </w:r>
      <w:r w:rsidR="00814200">
        <w:rPr>
          <w:noProof/>
        </w:rPr>
        <w:t>(Greenwald et al., 1998)</w:t>
      </w:r>
      <w:r w:rsidR="00814200">
        <w:fldChar w:fldCharType="end"/>
      </w:r>
      <w:r w:rsidR="00814200">
        <w:t xml:space="preserve">, and (c) used the estimate of effect size to conduct power analyses </w:t>
      </w:r>
      <w:r w:rsidR="008E3B87">
        <w:t xml:space="preserve">and make </w:t>
      </w:r>
      <w:r w:rsidR="00814200">
        <w:t xml:space="preserve">sample size </w:t>
      </w:r>
      <w:r w:rsidR="008E3B87">
        <w:t xml:space="preserve">recommendations for </w:t>
      </w:r>
      <w:r w:rsidR="00814200">
        <w:t xml:space="preserve">future </w:t>
      </w:r>
      <w:r w:rsidR="008E3B87">
        <w:t>IRAP research</w:t>
      </w:r>
      <w:r w:rsidR="00814200">
        <w:t xml:space="preserve">. </w:t>
      </w:r>
    </w:p>
    <w:p w14:paraId="6BD77906" w14:textId="067B5A8E" w:rsidR="007277F8" w:rsidRPr="007277F8" w:rsidRDefault="007277F8" w:rsidP="007277F8">
      <w:pPr>
        <w:rPr>
          <w:lang w:val="en-IE"/>
        </w:rPr>
      </w:pPr>
      <w:r w:rsidRPr="00115ADA">
        <w:rPr>
          <w:lang w:val="en-IE"/>
        </w:rPr>
        <w:lastRenderedPageBreak/>
        <w:t xml:space="preserve">Vahey et al. (2015) stated that the purpose of their meta-analysis was to “quantify how much IRAP effects from clinically-relevant responding co-vary with corresponding clinically-relevant criterion variables” (p.60). To this end, the authors conducted a non-systematic review of the available literature at the time. They report that they found 46 empirical articles that employed the IRAP. Their inclusion criterion of clinical relevance was stated as “the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(p.60). The authors extracted 56 effect sizes that met these inclusion criteria from 15 of the articles, as determined by two independent reviewers. These extracted </w:t>
      </w:r>
      <w:r w:rsidRPr="00115ADA">
        <w:t xml:space="preserve">effect sizes were provided in their Supplementary Materials. </w:t>
      </w:r>
    </w:p>
    <w:p w14:paraId="390865BB" w14:textId="1DEFDA84" w:rsidR="00310626" w:rsidRDefault="00F249C8" w:rsidP="00A802C3">
      <w:r>
        <w:t>Vahey et al. (2015)</w:t>
      </w:r>
      <w:r w:rsidR="00814200">
        <w:t xml:space="preserve"> has been well-cited and used to guide subsequent work: at time of writing, it has been cited </w:t>
      </w:r>
      <w:r w:rsidR="00385161">
        <w:t>93</w:t>
      </w:r>
      <w:r w:rsidR="00814200">
        <w:t xml:space="preserve"> times, with roughly 20% of articles citing it to justify sample size decisions. </w:t>
      </w:r>
      <w:r w:rsidR="002726B7">
        <w:t>IRAP studies have typically involved small sample sizes</w:t>
      </w:r>
      <w:r w:rsidR="00746BEA">
        <w:t>, many around</w:t>
      </w:r>
      <w:r w:rsidR="002726B7">
        <w:t xml:space="preserve"> 40 participants, which roughly correspond to Vahey et al.’s sample size recommendations of at least 37 participants</w:t>
      </w:r>
      <w:r w:rsidR="002041AD">
        <w:t xml:space="preserve"> to </w:t>
      </w:r>
      <w:r w:rsidR="002041AD" w:rsidRPr="002041AD">
        <w:rPr>
          <w:highlight w:val="yellow"/>
        </w:rPr>
        <w:t>[have 80% power to detect a [medium?] correlation with external criterion variables</w:t>
      </w:r>
      <w:r w:rsidR="002041AD" w:rsidRPr="002041AD">
        <w:t>]</w:t>
      </w:r>
      <w:r w:rsidR="002726B7" w:rsidRPr="002041AD">
        <w:t>.</w:t>
      </w:r>
      <w:r w:rsidR="002726B7">
        <w:t xml:space="preserve"> </w:t>
      </w:r>
      <w:r w:rsidR="00310626">
        <w:t xml:space="preserve">McEnteggart (2015) provides a particularly clear characterization of the importance of Vahey et al.’s </w:t>
      </w:r>
      <w:r w:rsidR="00310626">
        <w:lastRenderedPageBreak/>
        <w:fldChar w:fldCharType="begin"/>
      </w:r>
      <w:r w:rsidR="00310626">
        <w:instrText xml:space="preserve"> ADDIN ZOTERO_ITEM CSL_CITATION {"citationID":"Oq85LjsQ","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310626">
        <w:fldChar w:fldCharType="separate"/>
      </w:r>
      <w:r w:rsidR="00310626">
        <w:rPr>
          <w:noProof/>
        </w:rPr>
        <w:t>(2015)</w:t>
      </w:r>
      <w:r w:rsidR="00310626">
        <w:fldChar w:fldCharType="end"/>
      </w:r>
      <w:r w:rsidR="00310626">
        <w:t xml:space="preserve"> </w:t>
      </w:r>
      <w:r w:rsidR="00D90382">
        <w:t xml:space="preserve">results </w:t>
      </w:r>
      <w:r w:rsidR="00310626">
        <w:t>for the broader IRAP literature: “</w:t>
      </w:r>
      <w:r w:rsidR="00310626" w:rsidRPr="00A9789B">
        <w:t xml:space="preserve">the </w:t>
      </w:r>
      <w:r w:rsidR="00310626" w:rsidRPr="00A9789B">
        <w:rPr>
          <w:i/>
        </w:rPr>
        <w:t>N</w:t>
      </w:r>
      <w:r w:rsidR="00310626" w:rsidRPr="00A9789B">
        <w:t xml:space="preserve">s involved in </w:t>
      </w:r>
      <w:r w:rsidR="00E81F53">
        <w:t>[IRAP]</w:t>
      </w:r>
      <w:r w:rsidR="00310626" w:rsidRPr="00A9789B">
        <w:t xml:space="preserve"> studies</w:t>
      </w:r>
      <w:r w:rsidR="00E81F53">
        <w:t xml:space="preserve"> </w:t>
      </w:r>
      <w:r w:rsidR="00310626">
        <w:t>…</w:t>
      </w:r>
      <w:r w:rsidR="00310626" w:rsidRPr="00A9789B">
        <w:t xml:space="preserve"> are often relatively small</w:t>
      </w:r>
      <w:r w:rsidR="00E81F53">
        <w:t xml:space="preserve">. </w:t>
      </w:r>
      <w:r w:rsidR="00310626" w:rsidRPr="00A9789B">
        <w:t>... Indeed, it could be argued that this impacts upon on the credibility of IRAP research. However, in a recent meta-analysis of IRAP studies</w:t>
      </w:r>
      <w:r w:rsidR="00310626">
        <w:t>,</w:t>
      </w:r>
      <w:r w:rsidR="00310626" w:rsidRPr="00A9789B">
        <w:t xml:space="preserve"> it was reported that even small </w:t>
      </w:r>
      <w:r w:rsidR="00310626" w:rsidRPr="00A9789B">
        <w:rPr>
          <w:i/>
        </w:rPr>
        <w:t>N</w:t>
      </w:r>
      <w:r w:rsidR="00310626" w:rsidRPr="00A9789B">
        <w:t xml:space="preserve"> IRAP studies have sufficient statistical powe</w:t>
      </w:r>
      <w:r w:rsidR="00310626">
        <w:t xml:space="preserve">r.” </w:t>
      </w:r>
      <w:r w:rsidR="007D56E1">
        <w:t>(p.</w:t>
      </w:r>
      <w:r w:rsidR="007D56E1" w:rsidRPr="007D56E1">
        <w:rPr>
          <w:highlight w:val="yellow"/>
        </w:rPr>
        <w:t>XX</w:t>
      </w:r>
      <w:r w:rsidR="007D56E1">
        <w:t xml:space="preserve">). </w:t>
      </w:r>
      <w:r w:rsidR="00310626">
        <w:t xml:space="preserve">Given that past and future work continues to rely on the </w:t>
      </w:r>
      <w:r w:rsidR="007E7A6C">
        <w:t>conclusions</w:t>
      </w:r>
      <w:r w:rsidR="00310626">
        <w:t xml:space="preserve"> of Vahey et al.’s </w:t>
      </w:r>
      <w:r w:rsidR="00310626">
        <w:fldChar w:fldCharType="begin"/>
      </w:r>
      <w:r w:rsidR="00310626">
        <w:instrText xml:space="preserve"> ADDIN ZOTERO_ITEM CSL_CITATION {"citationID":"JPEuisyd","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310626">
        <w:fldChar w:fldCharType="separate"/>
      </w:r>
      <w:r w:rsidR="00310626">
        <w:rPr>
          <w:noProof/>
        </w:rPr>
        <w:t>(2015)</w:t>
      </w:r>
      <w:r w:rsidR="00310626">
        <w:fldChar w:fldCharType="end"/>
      </w:r>
      <w:r w:rsidR="00310626">
        <w:t xml:space="preserve"> meta-analysis, it is therefore important that </w:t>
      </w:r>
      <w:r w:rsidR="0011061B">
        <w:t xml:space="preserve">its </w:t>
      </w:r>
      <w:r w:rsidR="007E7A6C">
        <w:t xml:space="preserve">results </w:t>
      </w:r>
      <w:r w:rsidR="0063480E">
        <w:t xml:space="preserve">are </w:t>
      </w:r>
      <w:r w:rsidR="007E7A6C">
        <w:t>accurate</w:t>
      </w:r>
      <w:r w:rsidR="00F34AC4">
        <w:t xml:space="preserve"> and</w:t>
      </w:r>
      <w:r w:rsidR="007E7A6C">
        <w:t xml:space="preserve"> </w:t>
      </w:r>
      <w:r w:rsidR="00310626">
        <w:t>reliable</w:t>
      </w:r>
      <w:r w:rsidR="00F34AC4">
        <w:t xml:space="preserve">. </w:t>
      </w:r>
    </w:p>
    <w:p w14:paraId="3A5D5873" w14:textId="2382833F" w:rsidR="009B56C9" w:rsidRDefault="003B531E" w:rsidP="002C4652">
      <w:r>
        <w:t>E</w:t>
      </w:r>
      <w:r w:rsidR="00DC0CC5">
        <w:t>lsewhere, three meta-analyses have all concluded that the IRAP</w:t>
      </w:r>
      <w:r w:rsidR="0083323A">
        <w:t xml:space="preserve">’s </w:t>
      </w:r>
      <w:r w:rsidR="00DC0CC5">
        <w:t xml:space="preserve">reliability that is poor at best </w:t>
      </w:r>
      <w:r w:rsidR="00DC0CC5" w:rsidRPr="00DC0CC5">
        <w:rPr>
          <w:highlight w:val="yellow"/>
        </w:rPr>
        <w:t xml:space="preserve">(e.g., internal consistency alpha = .53, test-retest reliability ICC = .18: Hussey &amp; Drake, </w:t>
      </w:r>
      <w:r w:rsidR="00DC0CC5" w:rsidRPr="00174892">
        <w:rPr>
          <w:highlight w:val="yellow"/>
        </w:rPr>
        <w:t xml:space="preserve">2020 REF; see also </w:t>
      </w:r>
      <w:r w:rsidR="00DC0CC5" w:rsidRPr="00174892">
        <w:rPr>
          <w:highlight w:val="yellow"/>
        </w:rPr>
        <w:fldChar w:fldCharType="begin"/>
      </w:r>
      <w:r w:rsidR="00DC0CC5" w:rsidRPr="00174892">
        <w:rPr>
          <w:highlight w:val="yellow"/>
        </w:rPr>
        <w:instrText xml:space="preserve"> ADDIN ZOTERO_ITEM CSL_CITATION {"citationID":"Wq6wUao5","properties":{"formattedCitation":"(Golijani-Moghaddam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DC0CC5" w:rsidRPr="00174892">
        <w:rPr>
          <w:highlight w:val="yellow"/>
        </w:rPr>
        <w:fldChar w:fldCharType="separate"/>
      </w:r>
      <w:r w:rsidR="00DC0CC5" w:rsidRPr="00174892">
        <w:rPr>
          <w:noProof/>
          <w:highlight w:val="yellow"/>
        </w:rPr>
        <w:t>(Golijani-Moghaddam et al., 2013; Greenwald &amp; Lai, 2020)</w:t>
      </w:r>
      <w:r w:rsidR="00DC0CC5" w:rsidRPr="00174892">
        <w:rPr>
          <w:highlight w:val="yellow"/>
        </w:rPr>
        <w:fldChar w:fldCharType="end"/>
      </w:r>
      <w:r w:rsidR="00DC0CC5" w:rsidRPr="00174892">
        <w:rPr>
          <w:highlight w:val="yellow"/>
        </w:rPr>
        <w:t>.</w:t>
      </w:r>
      <w:r w:rsidR="00DC0CC5">
        <w:t xml:space="preserve"> </w:t>
      </w:r>
      <w:r w:rsidR="00597B37">
        <w:t>Given that a degree of reliability is necessary for validity and utility, the</w:t>
      </w:r>
      <w:r w:rsidR="00C56D0B">
        <w:t xml:space="preserve"> </w:t>
      </w:r>
      <w:r w:rsidR="00C47DC6">
        <w:t xml:space="preserve">conclusions </w:t>
      </w:r>
      <w:r w:rsidR="00C56D0B">
        <w:t xml:space="preserve">of these meta-analyses of </w:t>
      </w:r>
      <w:r w:rsidR="00C47DC6">
        <w:t xml:space="preserve">reliability </w:t>
      </w:r>
      <w:r w:rsidR="00174892">
        <w:t xml:space="preserve">versus </w:t>
      </w:r>
      <w:r w:rsidR="00C56D0B">
        <w:t xml:space="preserve">criterion validity </w:t>
      </w:r>
      <w:r w:rsidR="00597B37">
        <w:t xml:space="preserve">would seem to be at odds with one another. </w:t>
      </w:r>
      <w:r w:rsidR="00012D86">
        <w:t xml:space="preserve">This serves as a second source of motivation to assess whether the results of Vahey et al. (2015) are indeed </w:t>
      </w:r>
      <w:r w:rsidR="00071AF0">
        <w:t>reliable</w:t>
      </w:r>
      <w:r w:rsidR="00012D86">
        <w:t xml:space="preserve">. </w:t>
      </w:r>
    </w:p>
    <w:p w14:paraId="60F1C567" w14:textId="3F32BF3E" w:rsidR="007277F8" w:rsidRDefault="007277F8" w:rsidP="007277F8">
      <w:pPr>
        <w:pStyle w:val="Heading2"/>
      </w:pPr>
      <w:r>
        <w:t>Replicability and reproducibility</w:t>
      </w:r>
    </w:p>
    <w:p w14:paraId="60DEE83F" w14:textId="77777777" w:rsidR="00380BF0" w:rsidRDefault="006311E6" w:rsidP="00F5007E">
      <w:r>
        <w:t>In the wider psychology literature</w:t>
      </w:r>
      <w:r w:rsidR="00B440A1" w:rsidRPr="00187488">
        <w:t>, t</w:t>
      </w:r>
      <w:r w:rsidR="00CE7EAF" w:rsidRPr="00187488">
        <w:t>he concepts of reproducibility and replicability have come to recent prominence as part of what has been called the Replicability Crisis (</w:t>
      </w:r>
      <w:r w:rsidR="00CE7EAF" w:rsidRPr="00187488">
        <w:rPr>
          <w:highlight w:val="yellow"/>
        </w:rPr>
        <w:t>REF</w:t>
      </w:r>
      <w:r w:rsidR="00CE7EAF" w:rsidRPr="00187488">
        <w:t>)</w:t>
      </w:r>
      <w:r w:rsidR="00270399">
        <w:t xml:space="preserve">. This </w:t>
      </w:r>
      <w:r w:rsidR="0069459C">
        <w:t xml:space="preserve">began in the field of social psychology but </w:t>
      </w:r>
      <w:r w:rsidR="009365E6">
        <w:t>discourse</w:t>
      </w:r>
      <w:r w:rsidR="00270399">
        <w:t xml:space="preserve"> around it has now </w:t>
      </w:r>
      <w:r w:rsidR="00A17170">
        <w:t xml:space="preserve">also spread to </w:t>
      </w:r>
      <w:r w:rsidR="0069459C">
        <w:t>clinical psychology (</w:t>
      </w:r>
      <w:r w:rsidR="0069459C" w:rsidRPr="0069459C">
        <w:rPr>
          <w:highlight w:val="yellow"/>
        </w:rPr>
        <w:t>REF</w:t>
      </w:r>
      <w:r w:rsidR="0069459C">
        <w:t>)</w:t>
      </w:r>
      <w:r w:rsidR="00CE7EAF" w:rsidRPr="00187488">
        <w:t>. Large</w:t>
      </w:r>
      <w:r w:rsidR="00B440A1" w:rsidRPr="00187488">
        <w:t>-</w:t>
      </w:r>
      <w:r w:rsidR="00CE7EAF" w:rsidRPr="00187488">
        <w:t xml:space="preserve">scale efforts to reproduce and replicate psychological research have demonstrated that the published </w:t>
      </w:r>
      <w:r w:rsidR="00CE7EAF" w:rsidRPr="00187488">
        <w:lastRenderedPageBreak/>
        <w:t>literature has both a high rate of misreported results (</w:t>
      </w:r>
      <w:r w:rsidR="00CE7EAF" w:rsidRPr="00187488">
        <w:rPr>
          <w:highlight w:val="yellow"/>
        </w:rPr>
        <w:t>REF</w:t>
      </w:r>
      <w:r w:rsidR="00CE7EAF" w:rsidRPr="00187488">
        <w:t>)</w:t>
      </w:r>
      <w:r w:rsidR="001C3D91">
        <w:t xml:space="preserve"> </w:t>
      </w:r>
      <w:r w:rsidR="00CE7EAF" w:rsidRPr="00187488">
        <w:t xml:space="preserve">and </w:t>
      </w:r>
      <w:r w:rsidR="000C05E3" w:rsidRPr="00187488">
        <w:t>that results frequently do not replicate when experiments are repeated with high fidelity (</w:t>
      </w:r>
      <w:r w:rsidR="000C05E3" w:rsidRPr="00187488">
        <w:rPr>
          <w:highlight w:val="yellow"/>
        </w:rPr>
        <w:t>REF</w:t>
      </w:r>
      <w:r w:rsidR="000C05E3" w:rsidRPr="00187488">
        <w:t xml:space="preserve">). </w:t>
      </w:r>
    </w:p>
    <w:p w14:paraId="370DEE3A" w14:textId="2878B8CB" w:rsidR="003731B6" w:rsidRPr="0088714E" w:rsidRDefault="0069459C" w:rsidP="0088714E">
      <w:r>
        <w:t xml:space="preserve">Concerns about </w:t>
      </w:r>
      <w:r w:rsidR="000C05E3" w:rsidRPr="00187488">
        <w:t xml:space="preserve">reproducibility </w:t>
      </w:r>
      <w:r w:rsidR="007559B9">
        <w:t xml:space="preserve">have been raised about not only original research articles but </w:t>
      </w:r>
      <w:r>
        <w:t xml:space="preserve">also </w:t>
      </w:r>
      <w:r w:rsidR="007559B9">
        <w:t xml:space="preserve">the results of </w:t>
      </w:r>
      <w:r w:rsidR="000C05E3" w:rsidRPr="00187488">
        <w:t>meta</w:t>
      </w:r>
      <w:r>
        <w:t>-</w:t>
      </w:r>
      <w:r w:rsidR="000C05E3" w:rsidRPr="00187488">
        <w:t>analyses</w:t>
      </w:r>
      <w:r w:rsidR="00823386">
        <w:t xml:space="preserve">. </w:t>
      </w:r>
      <w:r w:rsidR="007B65B2">
        <w:t xml:space="preserve">Lakens et al. </w:t>
      </w:r>
      <w:r w:rsidR="007B65B2">
        <w:fldChar w:fldCharType="begin"/>
      </w:r>
      <w:r w:rsidR="00CB1EB8">
        <w:instrText xml:space="preserve"> ADDIN ZOTERO_ITEM CSL_CITATION {"citationID":"d6XNcoxQ","properties":{"formattedCitation":"(2017)","plainCitation":"(2017)","noteIndex":0},"citationItems":[{"id":12663,"uris":["http://zotero.org/users/1687755/items/IBB5XYVT"],"uri":["http://zotero.org/users/1687755/items/IBB5XYVT"],"itemData":{"id":12663,"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7B65B2">
        <w:fldChar w:fldCharType="separate"/>
      </w:r>
      <w:r w:rsidR="007B65B2">
        <w:rPr>
          <w:noProof/>
        </w:rPr>
        <w:t>(2017)</w:t>
      </w:r>
      <w:r w:rsidR="007B65B2">
        <w:fldChar w:fldCharType="end"/>
      </w:r>
      <w:r w:rsidR="00F74B1A" w:rsidRPr="00187488">
        <w:t xml:space="preserve"> </w:t>
      </w:r>
      <w:r w:rsidR="007B65B2">
        <w:t>recently demonstrated that the results of the majority of a random sample of meta-analyses published in psychology cannot be reproduced</w:t>
      </w:r>
      <w:r w:rsidR="00F5356D">
        <w:t xml:space="preserve"> </w:t>
      </w:r>
      <w:r w:rsidR="00F5356D" w:rsidRPr="00F5356D">
        <w:rPr>
          <w:highlight w:val="yellow"/>
        </w:rPr>
        <w:t>[in what way?]</w:t>
      </w:r>
      <w:r w:rsidR="00823386">
        <w:t xml:space="preserve">. </w:t>
      </w:r>
      <w:proofErr w:type="spellStart"/>
      <w:r w:rsidR="00F970A1">
        <w:t>Maassen</w:t>
      </w:r>
      <w:proofErr w:type="spellEnd"/>
      <w:r w:rsidR="00F970A1">
        <w:t xml:space="preserve"> et al. </w:t>
      </w:r>
      <w:r w:rsidR="00F970A1">
        <w:fldChar w:fldCharType="begin"/>
      </w:r>
      <w:r w:rsidR="00F970A1">
        <w:instrText xml:space="preserve"> ADDIN ZOTERO_ITEM CSL_CITATION {"citationID":"4Iu1pdzi","properties":{"formattedCitation":"(2020)","plainCitation":"(2020)","noteIndex":0},"citationItems":[{"id":12665,"uris":["http://zotero.org/users/1687755/items/WUWAGAGT"],"uri":["http://zotero.org/users/1687755/items/WUWAGAGT"],"itemData":{"id":12665,"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F970A1">
        <w:fldChar w:fldCharType="separate"/>
      </w:r>
      <w:r w:rsidR="00F970A1">
        <w:rPr>
          <w:noProof/>
        </w:rPr>
        <w:t>(2020)</w:t>
      </w:r>
      <w:r w:rsidR="00F970A1">
        <w:fldChar w:fldCharType="end"/>
      </w:r>
      <w:r w:rsidR="00F970A1">
        <w:t xml:space="preserve"> found that almost half of effect-sizes reported in meta-analyses of psychology research could not be reproduced. This was attributed to </w:t>
      </w:r>
      <w:r w:rsidR="007B65B2">
        <w:t>due to a variety of issues such as errors</w:t>
      </w:r>
      <w:r w:rsidR="00F970A1">
        <w:t xml:space="preserve"> in the extraction of effect sizes from original studies</w:t>
      </w:r>
      <w:r w:rsidR="007B65B2">
        <w:t>, insufficient detail</w:t>
      </w:r>
      <w:r w:rsidR="006628F5">
        <w:t>s regarding data processin</w:t>
      </w:r>
      <w:r w:rsidR="00F970A1">
        <w:t xml:space="preserve">g and transformation of effect sizes, insufficient details of the specific </w:t>
      </w:r>
      <w:r w:rsidR="006628F5">
        <w:t>meta-analytic approach</w:t>
      </w:r>
      <w:r w:rsidR="00F970A1">
        <w:t xml:space="preserve"> employed, or failures to adhere to meta-analysis </w:t>
      </w:r>
      <w:commentRangeStart w:id="0"/>
      <w:r w:rsidR="00F970A1">
        <w:t>reporting guidelines</w:t>
      </w:r>
      <w:commentRangeEnd w:id="0"/>
      <w:r w:rsidR="00F970A1">
        <w:rPr>
          <w:rStyle w:val="CommentReference"/>
        </w:rPr>
        <w:commentReference w:id="0"/>
      </w:r>
      <w:r w:rsidR="00F970A1">
        <w:t>.</w:t>
      </w:r>
      <w:r w:rsidR="00F5356D">
        <w:t xml:space="preserve"> </w:t>
      </w:r>
      <w:r w:rsidR="00A41516">
        <w:t xml:space="preserve">In this article, I </w:t>
      </w:r>
      <w:r w:rsidR="00073AEA">
        <w:t xml:space="preserve">therefore sought to assess the reproducibility of Vahey et al.’s (2015) </w:t>
      </w:r>
      <w:r w:rsidR="004215DD">
        <w:t xml:space="preserve">data and </w:t>
      </w:r>
      <w:r w:rsidR="00073AEA">
        <w:t>results</w:t>
      </w:r>
      <w:r w:rsidR="008B447A">
        <w:t xml:space="preserve">. </w:t>
      </w:r>
    </w:p>
    <w:p w14:paraId="39A4B3A4" w14:textId="03ED2B3D" w:rsidR="000B37DC" w:rsidRDefault="000B37DC" w:rsidP="00D907B9">
      <w:pPr>
        <w:pStyle w:val="Heading1"/>
        <w:rPr>
          <w:lang w:val="en-IE"/>
        </w:rPr>
      </w:pPr>
      <w:r>
        <w:rPr>
          <w:lang w:val="en-IE"/>
        </w:rPr>
        <w:t>Methods and results</w:t>
      </w:r>
    </w:p>
    <w:p w14:paraId="2FA81212" w14:textId="77777777" w:rsidR="00A9154B" w:rsidRDefault="00883D04" w:rsidP="001E558B">
      <w:pPr>
        <w:rPr>
          <w:lang w:val="en-IE"/>
        </w:rPr>
      </w:pPr>
      <w:r>
        <w:rPr>
          <w:lang w:val="en-IE"/>
        </w:rPr>
        <w:t xml:space="preserve">In </w:t>
      </w:r>
      <w:r>
        <w:rPr>
          <w:lang w:val="en-IE"/>
        </w:rPr>
        <w:t>the following</w:t>
      </w:r>
      <w:r>
        <w:rPr>
          <w:lang w:val="en-IE"/>
        </w:rPr>
        <w:t xml:space="preserve"> section</w:t>
      </w:r>
      <w:r>
        <w:rPr>
          <w:lang w:val="en-IE"/>
        </w:rPr>
        <w:t>s</w:t>
      </w:r>
      <w:r>
        <w:rPr>
          <w:lang w:val="en-IE"/>
        </w:rPr>
        <w:t>, I work backwards through Vahey et al.’s (2015) results and data and attempt to reproduce each step.</w:t>
      </w:r>
      <w:r w:rsidR="001830F2">
        <w:rPr>
          <w:lang w:val="en-IE"/>
        </w:rPr>
        <w:t xml:space="preserve"> Then, in order to assess the compound impact of the reproducibility issues I found in each step, I conduct a new meta-analysis </w:t>
      </w:r>
      <w:r w:rsidR="00276D04">
        <w:rPr>
          <w:lang w:val="en-IE"/>
        </w:rPr>
        <w:t>and power analysis.</w:t>
      </w:r>
      <w:r w:rsidR="001E558B">
        <w:rPr>
          <w:lang w:val="en-IE"/>
        </w:rPr>
        <w:t xml:space="preserve"> </w:t>
      </w:r>
    </w:p>
    <w:p w14:paraId="7014C11C" w14:textId="07AACEE4" w:rsidR="00E62CE2" w:rsidRPr="00722DAE" w:rsidRDefault="00E62CE2" w:rsidP="00E62CE2">
      <w:pPr>
        <w:rPr>
          <w:lang w:val="en-IE"/>
        </w:rPr>
      </w:pPr>
      <w:r>
        <w:rPr>
          <w:lang w:val="en-IE"/>
        </w:rPr>
        <w:t xml:space="preserve">All data was taken from Vahey et al.’s (2015) article and supplementary materials, from the original articles that they extracted their effect sizes from, or from data sent to me upon request by the authors of the original studies. </w:t>
      </w:r>
      <w:r>
        <w:rPr>
          <w:lang w:val="en-IE"/>
        </w:rPr>
        <w:t xml:space="preserve">All </w:t>
      </w:r>
      <w:r>
        <w:rPr>
          <w:lang w:val="en-IE"/>
        </w:rPr>
        <w:lastRenderedPageBreak/>
        <w:t xml:space="preserve">analyses were written in R (REF) using the </w:t>
      </w:r>
      <w:r w:rsidRPr="00670235">
        <w:rPr>
          <w:lang w:val="en-IE"/>
        </w:rPr>
        <w:t>package</w:t>
      </w:r>
      <w:r>
        <w:rPr>
          <w:lang w:val="en-IE"/>
        </w:rPr>
        <w:t>s</w:t>
      </w:r>
      <w:r w:rsidRPr="00670235">
        <w:rPr>
          <w:lang w:val="en-IE"/>
        </w:rPr>
        <w:t xml:space="preserve"> pwr </w:t>
      </w:r>
      <w:r>
        <w:rPr>
          <w:lang w:val="en-IE"/>
        </w:rPr>
        <w:t>(REF) and metafor (REF). All data and code to reproduce my analyses can be found on the Open Science Framework (osf.io/</w:t>
      </w:r>
      <w:r w:rsidRPr="00F35D8F">
        <w:rPr>
          <w:color w:val="FF0000"/>
          <w:lang w:val="en-IE"/>
        </w:rPr>
        <w:t>XXXX</w:t>
      </w:r>
      <w:r>
        <w:rPr>
          <w:lang w:val="en-IE"/>
        </w:rPr>
        <w:t xml:space="preserve">). </w:t>
      </w:r>
    </w:p>
    <w:p w14:paraId="16EA644E" w14:textId="7C3594D7" w:rsidR="00E62CE2" w:rsidRPr="005C32EA" w:rsidRDefault="0079285A" w:rsidP="00C3404F">
      <w:pPr>
        <w:rPr>
          <w:lang w:val="en-IE"/>
        </w:rPr>
      </w:pPr>
      <w:r>
        <w:rPr>
          <w:lang w:val="en-IE"/>
        </w:rPr>
        <w:t>Prior to attempting to reproduce Vahey et al.’s (2015) data and results</w:t>
      </w:r>
      <w:r w:rsidR="003D6374">
        <w:rPr>
          <w:lang w:val="en-IE"/>
        </w:rPr>
        <w:t xml:space="preserve"> or implementing the data processing and analyses in R myself</w:t>
      </w:r>
      <w:r>
        <w:rPr>
          <w:lang w:val="en-IE"/>
        </w:rPr>
        <w:t xml:space="preserve">, I contracted the first author </w:t>
      </w:r>
      <w:r w:rsidR="003D6374">
        <w:rPr>
          <w:lang w:val="en-IE"/>
        </w:rPr>
        <w:t xml:space="preserve">of Vahey et al. (2015) </w:t>
      </w:r>
      <w:r>
        <w:rPr>
          <w:lang w:val="en-IE"/>
        </w:rPr>
        <w:t xml:space="preserve">and requested copies of their data, code and/or analysis scripts. However, he declined to share these materials. </w:t>
      </w:r>
      <w:r w:rsidR="00B601A7">
        <w:rPr>
          <w:lang w:val="en-IE"/>
        </w:rPr>
        <w:t xml:space="preserve">Preliminary findings of this paper were presented at a conference in 2019. All my current data and code was made publicly available for comment and also sent to the first author of Vahey et al. (2015). No feedback was received in the 12 months between sharing my materials and </w:t>
      </w:r>
      <w:r w:rsidR="00C3404F">
        <w:rPr>
          <w:lang w:val="en-IE"/>
        </w:rPr>
        <w:t xml:space="preserve">writing this manuscript. Finally, </w:t>
      </w:r>
      <w:r w:rsidR="00B601A7">
        <w:rPr>
          <w:lang w:val="en-IE"/>
        </w:rPr>
        <w:t xml:space="preserve">I contacted all three authors of Vahey et al. (2015) </w:t>
      </w:r>
      <w:r w:rsidR="00370731">
        <w:rPr>
          <w:lang w:val="en-IE"/>
        </w:rPr>
        <w:t xml:space="preserve">before </w:t>
      </w:r>
      <w:r w:rsidR="00BE5BC7">
        <w:rPr>
          <w:lang w:val="en-IE"/>
        </w:rPr>
        <w:t xml:space="preserve">submitting this article </w:t>
      </w:r>
      <w:r w:rsidR="00370731">
        <w:rPr>
          <w:lang w:val="en-IE"/>
        </w:rPr>
        <w:t xml:space="preserve">for publication or to a preprint server. The draft manuscript, along with all data and code was supplied to them, </w:t>
      </w:r>
      <w:r w:rsidR="00BF05F4">
        <w:rPr>
          <w:lang w:val="en-IE"/>
        </w:rPr>
        <w:t xml:space="preserve">and they were encouraged to find </w:t>
      </w:r>
      <w:r w:rsidR="00BE5BC7">
        <w:rPr>
          <w:lang w:val="en-IE"/>
        </w:rPr>
        <w:t xml:space="preserve">any </w:t>
      </w:r>
      <w:r w:rsidR="00BF05F4">
        <w:rPr>
          <w:lang w:val="en-IE"/>
        </w:rPr>
        <w:t>possible mistakes in my reanalysis</w:t>
      </w:r>
      <w:r w:rsidR="00BE5BC7">
        <w:rPr>
          <w:lang w:val="en-IE"/>
        </w:rPr>
        <w:t xml:space="preserve"> and provide comments</w:t>
      </w:r>
      <w:r w:rsidR="00BF05F4">
        <w:rPr>
          <w:lang w:val="en-IE"/>
        </w:rPr>
        <w:t xml:space="preserve">. </w:t>
      </w:r>
      <w:r w:rsidR="001D4387" w:rsidRPr="001D4387">
        <w:rPr>
          <w:highlight w:val="yellow"/>
          <w:lang w:val="en-IE"/>
        </w:rPr>
        <w:t>[comment on whether Vahey et al. (2015) responded or found any issues]</w:t>
      </w:r>
      <w:r w:rsidR="00BF05F4">
        <w:rPr>
          <w:lang w:val="en-IE"/>
        </w:rPr>
        <w:t xml:space="preserve"> </w:t>
      </w:r>
    </w:p>
    <w:p w14:paraId="4A3F8A0C" w14:textId="6201E98C" w:rsidR="00772089" w:rsidRPr="00772089" w:rsidRDefault="00772089" w:rsidP="003D4E29">
      <w:pPr>
        <w:pStyle w:val="Heading2"/>
      </w:pPr>
      <w:r>
        <w:t>Power analyses</w:t>
      </w:r>
    </w:p>
    <w:p w14:paraId="0FA1CB2F" w14:textId="44A74D0D" w:rsidR="00670235" w:rsidRPr="00670235" w:rsidRDefault="00670235" w:rsidP="00B433E4">
      <w:pPr>
        <w:rPr>
          <w:lang w:val="en-IE"/>
        </w:rPr>
      </w:pPr>
      <w:r w:rsidRPr="00670235">
        <w:rPr>
          <w:lang w:val="en-IE"/>
        </w:rPr>
        <w:t>Vahey et al.’s</w:t>
      </w:r>
      <w:r w:rsidR="006A03EF">
        <w:rPr>
          <w:lang w:val="en-IE"/>
        </w:rPr>
        <w:t xml:space="preserve"> (2015)</w:t>
      </w:r>
      <w:r w:rsidRPr="00670235">
        <w:rPr>
          <w:lang w:val="en-IE"/>
        </w:rPr>
        <w:t xml:space="preserve"> reported meta</w:t>
      </w:r>
      <w:r>
        <w:rPr>
          <w:lang w:val="en-IE"/>
        </w:rPr>
        <w:t>-anal</w:t>
      </w:r>
      <w:r w:rsidR="006B6682">
        <w:rPr>
          <w:lang w:val="en-IE"/>
        </w:rPr>
        <w:t>ytic</w:t>
      </w:r>
      <w:r w:rsidRPr="00670235">
        <w:rPr>
          <w:lang w:val="en-IE"/>
        </w:rPr>
        <w:t xml:space="preserve"> effect size estimate </w:t>
      </w:r>
      <w:r w:rsidR="000C7CE5">
        <w:rPr>
          <w:lang w:val="en-IE"/>
        </w:rPr>
        <w:t xml:space="preserve">for the association between the IRAP and clinically relevant criterion variables </w:t>
      </w:r>
      <w:r w:rsidRPr="00670235">
        <w:rPr>
          <w:lang w:val="en-IE"/>
        </w:rPr>
        <w:t xml:space="preserve">was </w:t>
      </w:r>
      <w:r w:rsidRPr="00670235">
        <w:rPr>
          <w:i/>
          <w:lang w:val="en-IE"/>
        </w:rPr>
        <w:t>r</w:t>
      </w:r>
      <w:r w:rsidRPr="00670235">
        <w:rPr>
          <w:lang w:val="en-IE"/>
        </w:rPr>
        <w:t xml:space="preserve"> = .45, 95% CI [.40, .54], 95% CR [.23, .67]. Using this effect size, they conducted power analys</w:t>
      </w:r>
      <w:r>
        <w:rPr>
          <w:lang w:val="en-IE"/>
        </w:rPr>
        <w:t>es for sample size planning</w:t>
      </w:r>
      <w:r w:rsidRPr="00670235">
        <w:rPr>
          <w:lang w:val="en-IE"/>
        </w:rPr>
        <w:t xml:space="preserve">. </w:t>
      </w:r>
      <w:r>
        <w:rPr>
          <w:lang w:val="en-IE"/>
        </w:rPr>
        <w:t xml:space="preserve">They </w:t>
      </w:r>
      <w:r w:rsidRPr="00670235">
        <w:rPr>
          <w:lang w:val="en-IE"/>
        </w:rPr>
        <w:t>reported that, to detect a zero order correlation with 80% power</w:t>
      </w:r>
      <w:r w:rsidR="004B7D55">
        <w:rPr>
          <w:lang w:val="en-IE"/>
        </w:rPr>
        <w:t xml:space="preserve">, </w:t>
      </w:r>
      <w:r w:rsidRPr="00670235">
        <w:rPr>
          <w:lang w:val="en-IE"/>
        </w:rPr>
        <w:t xml:space="preserve">29 participants </w:t>
      </w:r>
      <w:r w:rsidR="009B507C">
        <w:rPr>
          <w:lang w:val="en-IE"/>
        </w:rPr>
        <w:t>would be required</w:t>
      </w:r>
      <w:r w:rsidRPr="00670235">
        <w:rPr>
          <w:lang w:val="en-IE"/>
        </w:rPr>
        <w:t xml:space="preserve"> when using the </w:t>
      </w:r>
      <w:r w:rsidR="00F51824">
        <w:rPr>
          <w:lang w:val="en-IE"/>
        </w:rPr>
        <w:t>meta-</w:t>
      </w:r>
      <w:r w:rsidR="00F51824">
        <w:rPr>
          <w:lang w:val="en-IE"/>
        </w:rPr>
        <w:lastRenderedPageBreak/>
        <w:t>analytic effect size,</w:t>
      </w:r>
      <w:r w:rsidRPr="00670235">
        <w:rPr>
          <w:lang w:val="en-IE"/>
        </w:rPr>
        <w:t xml:space="preserve"> or 37 if using the lower bound of the CI (</w:t>
      </w:r>
      <w:r w:rsidR="009B507C">
        <w:rPr>
          <w:lang w:val="en-IE"/>
        </w:rPr>
        <w:t xml:space="preserve">alpha = .05, one-tailed; </w:t>
      </w:r>
      <w:r w:rsidRPr="00670235">
        <w:rPr>
          <w:lang w:val="en-IE"/>
        </w:rPr>
        <w:t xml:space="preserve">following </w:t>
      </w:r>
      <w:r w:rsidR="00F51824" w:rsidRPr="00670235">
        <w:rPr>
          <w:lang w:val="en-IE"/>
        </w:rPr>
        <w:t>recommendations</w:t>
      </w:r>
      <w:r w:rsidRPr="00670235">
        <w:rPr>
          <w:lang w:val="en-IE"/>
        </w:rPr>
        <w:t xml:space="preserve"> by Perugini, Gallucci, &amp; </w:t>
      </w:r>
      <w:proofErr w:type="spellStart"/>
      <w:r w:rsidRPr="00670235">
        <w:rPr>
          <w:lang w:val="en-IE"/>
        </w:rPr>
        <w:t>Costantini</w:t>
      </w:r>
      <w:proofErr w:type="spellEnd"/>
      <w:r w:rsidRPr="00670235">
        <w:rPr>
          <w:lang w:val="en-IE"/>
        </w:rPr>
        <w:t xml:space="preserve">, 2014). </w:t>
      </w:r>
      <w:r w:rsidR="00722DAE">
        <w:rPr>
          <w:lang w:val="en-IE"/>
        </w:rPr>
        <w:t xml:space="preserve">These sample size recommendations were computationally reproducible. </w:t>
      </w:r>
    </w:p>
    <w:p w14:paraId="4F3D2861" w14:textId="6FA2F633" w:rsidR="00670235" w:rsidRDefault="00670235" w:rsidP="00194085">
      <w:pPr>
        <w:rPr>
          <w:lang w:val="en-IE"/>
        </w:rPr>
      </w:pPr>
      <w:r w:rsidRPr="00670235">
        <w:rPr>
          <w:lang w:val="en-IE"/>
        </w:rPr>
        <w:t xml:space="preserve">However, Vahey et al.’s </w:t>
      </w:r>
      <w:r w:rsidR="00EF7462">
        <w:rPr>
          <w:lang w:val="en-IE"/>
        </w:rPr>
        <w:t xml:space="preserve">(2015) </w:t>
      </w:r>
      <w:r w:rsidRPr="00670235">
        <w:rPr>
          <w:lang w:val="en-IE"/>
        </w:rPr>
        <w:t>choice</w:t>
      </w:r>
      <w:r w:rsidR="00CA4AF7">
        <w:rPr>
          <w:lang w:val="en-IE"/>
        </w:rPr>
        <w:t xml:space="preserve"> of parameters for these power analyses</w:t>
      </w:r>
      <w:r w:rsidRPr="00670235">
        <w:rPr>
          <w:lang w:val="en-IE"/>
        </w:rPr>
        <w:t xml:space="preserve"> could be questioned</w:t>
      </w:r>
      <w:r w:rsidR="00CA4AF7">
        <w:rPr>
          <w:lang w:val="en-IE"/>
        </w:rPr>
        <w:t>: o</w:t>
      </w:r>
      <w:r w:rsidRPr="00670235">
        <w:rPr>
          <w:lang w:val="en-IE"/>
        </w:rPr>
        <w:t xml:space="preserve">ne-tailed correlation with alpha = .05 are very uncommon </w:t>
      </w:r>
      <w:r w:rsidR="00CA4AF7">
        <w:rPr>
          <w:lang w:val="en-IE"/>
        </w:rPr>
        <w:t>in the literature</w:t>
      </w:r>
      <w:r w:rsidRPr="00670235">
        <w:rPr>
          <w:lang w:val="en-IE"/>
        </w:rPr>
        <w:t xml:space="preserve">, and regression analyses require two-sided testing. A two-tailed test with alpha = .05 would </w:t>
      </w:r>
      <w:r w:rsidR="000D55D4">
        <w:rPr>
          <w:lang w:val="en-IE"/>
        </w:rPr>
        <w:t xml:space="preserve">therefore </w:t>
      </w:r>
      <w:r w:rsidRPr="00670235">
        <w:rPr>
          <w:lang w:val="en-IE"/>
        </w:rPr>
        <w:t>correspond more closely to modal research practices. I therefore recomputed sample size estimates using these parameters:</w:t>
      </w:r>
      <w:r w:rsidR="00AF559F">
        <w:rPr>
          <w:lang w:val="en-IE"/>
        </w:rPr>
        <w:t xml:space="preserve"> using the meta-analytic effect size (</w:t>
      </w:r>
      <w:r w:rsidRPr="00AF559F">
        <w:rPr>
          <w:i/>
          <w:lang w:val="en-IE"/>
        </w:rPr>
        <w:t>r</w:t>
      </w:r>
      <w:r w:rsidRPr="00670235">
        <w:rPr>
          <w:lang w:val="en-IE"/>
        </w:rPr>
        <w:t xml:space="preserve"> = .45</w:t>
      </w:r>
      <w:r w:rsidR="00AF559F">
        <w:rPr>
          <w:lang w:val="en-IE"/>
        </w:rPr>
        <w:t xml:space="preserve">), </w:t>
      </w:r>
      <w:r w:rsidRPr="00670235">
        <w:rPr>
          <w:lang w:val="en-IE"/>
        </w:rPr>
        <w:t xml:space="preserve">36 participants </w:t>
      </w:r>
      <w:r w:rsidR="0000256A">
        <w:rPr>
          <w:lang w:val="en-IE"/>
        </w:rPr>
        <w:t>would be</w:t>
      </w:r>
      <w:r w:rsidR="00AF559F">
        <w:rPr>
          <w:lang w:val="en-IE"/>
        </w:rPr>
        <w:t xml:space="preserve"> required (</w:t>
      </w:r>
      <w:r w:rsidRPr="00670235">
        <w:rPr>
          <w:lang w:val="en-IE"/>
        </w:rPr>
        <w:t>80% power, alpha = .05, two-tailed</w:t>
      </w:r>
      <w:r w:rsidR="00AF559F">
        <w:rPr>
          <w:lang w:val="en-IE"/>
        </w:rPr>
        <w:t>)</w:t>
      </w:r>
      <w:r w:rsidRPr="00670235">
        <w:rPr>
          <w:lang w:val="en-IE"/>
        </w:rPr>
        <w:t>.</w:t>
      </w:r>
      <w:r w:rsidR="00AF559F">
        <w:rPr>
          <w:lang w:val="en-IE"/>
        </w:rPr>
        <w:t xml:space="preserve"> When using the lower bound of the confidence interval (</w:t>
      </w:r>
      <w:r w:rsidRPr="00AF559F">
        <w:rPr>
          <w:i/>
          <w:lang w:val="en-IE"/>
        </w:rPr>
        <w:t>r</w:t>
      </w:r>
      <w:r w:rsidRPr="00670235">
        <w:rPr>
          <w:lang w:val="en-IE"/>
        </w:rPr>
        <w:t xml:space="preserve"> = .40</w:t>
      </w:r>
      <w:r w:rsidR="00AF559F">
        <w:rPr>
          <w:lang w:val="en-IE"/>
        </w:rPr>
        <w:t xml:space="preserve">), </w:t>
      </w:r>
      <w:r w:rsidRPr="00670235">
        <w:rPr>
          <w:lang w:val="en-IE"/>
        </w:rPr>
        <w:t xml:space="preserve">46 participants </w:t>
      </w:r>
      <w:r w:rsidR="00336A63">
        <w:rPr>
          <w:lang w:val="en-IE"/>
        </w:rPr>
        <w:t>would be required</w:t>
      </w:r>
      <w:r w:rsidRPr="00670235">
        <w:rPr>
          <w:lang w:val="en-IE"/>
        </w:rPr>
        <w:t>.</w:t>
      </w:r>
      <w:r w:rsidR="00194085">
        <w:rPr>
          <w:lang w:val="en-IE"/>
        </w:rPr>
        <w:t xml:space="preserve"> </w:t>
      </w:r>
      <w:r w:rsidRPr="00670235">
        <w:rPr>
          <w:lang w:val="en-IE"/>
        </w:rPr>
        <w:t>Th</w:t>
      </w:r>
      <w:r w:rsidR="00194085">
        <w:rPr>
          <w:lang w:val="en-IE"/>
        </w:rPr>
        <w:t>ese</w:t>
      </w:r>
      <w:r w:rsidRPr="00670235">
        <w:rPr>
          <w:lang w:val="en-IE"/>
        </w:rPr>
        <w:t xml:space="preserve"> suggested sample sizes </w:t>
      </w:r>
      <w:r w:rsidR="00194085">
        <w:rPr>
          <w:lang w:val="en-IE"/>
        </w:rPr>
        <w:t>were therefore</w:t>
      </w:r>
      <w:r w:rsidRPr="00670235">
        <w:rPr>
          <w:lang w:val="en-IE"/>
        </w:rPr>
        <w:t xml:space="preserve"> 24% higher than </w:t>
      </w:r>
      <w:r w:rsidR="00194085">
        <w:rPr>
          <w:lang w:val="en-IE"/>
        </w:rPr>
        <w:t xml:space="preserve">those reported in </w:t>
      </w:r>
      <w:r w:rsidRPr="00670235">
        <w:rPr>
          <w:lang w:val="en-IE"/>
        </w:rPr>
        <w:t>Vahey et al.</w:t>
      </w:r>
      <w:r w:rsidR="00194085">
        <w:rPr>
          <w:lang w:val="en-IE"/>
        </w:rPr>
        <w:t xml:space="preserve"> (2015)</w:t>
      </w:r>
      <w:r w:rsidRPr="00670235">
        <w:rPr>
          <w:lang w:val="en-IE"/>
        </w:rPr>
        <w:t>.</w:t>
      </w:r>
    </w:p>
    <w:p w14:paraId="1B346DA3" w14:textId="77777777" w:rsidR="009505F5" w:rsidRPr="009505F5" w:rsidRDefault="009505F5" w:rsidP="003D4E29">
      <w:pPr>
        <w:pStyle w:val="Heading2"/>
      </w:pPr>
      <w:r w:rsidRPr="009505F5">
        <w:t>Meta-analytic effect size</w:t>
      </w:r>
    </w:p>
    <w:p w14:paraId="12B883F6" w14:textId="3911B528" w:rsidR="00CE40A3" w:rsidRDefault="00DF0035" w:rsidP="00B039BA">
      <w:pPr>
        <w:rPr>
          <w:lang w:val="en-IE"/>
        </w:rPr>
      </w:pPr>
      <w:r>
        <w:rPr>
          <w:lang w:val="en-IE"/>
        </w:rPr>
        <w:t>V</w:t>
      </w:r>
      <w:r w:rsidR="00FE00B3">
        <w:rPr>
          <w:lang w:val="en-IE"/>
        </w:rPr>
        <w:t xml:space="preserve">ahey et al.’s (2015) aforementioned </w:t>
      </w:r>
      <w:r w:rsidR="009505F5" w:rsidRPr="009505F5">
        <w:rPr>
          <w:lang w:val="en-IE"/>
        </w:rPr>
        <w:t xml:space="preserve">power analyses relied on the accuracy of the meta-analytic effect size. I attempted to computationally reproduce the meta-analytic effect size from the </w:t>
      </w:r>
      <w:r w:rsidR="00F631F2">
        <w:rPr>
          <w:lang w:val="en-IE"/>
        </w:rPr>
        <w:t xml:space="preserve">weighted-mean </w:t>
      </w:r>
      <w:r w:rsidR="009505F5" w:rsidRPr="009505F5">
        <w:rPr>
          <w:lang w:val="en-IE"/>
        </w:rPr>
        <w:t xml:space="preserve">effect sizes, </w:t>
      </w:r>
      <w:r w:rsidR="008208F1">
        <w:rPr>
          <w:lang w:val="en-IE"/>
        </w:rPr>
        <w:t>95% C</w:t>
      </w:r>
      <w:r w:rsidR="009505F5" w:rsidRPr="009505F5">
        <w:rPr>
          <w:lang w:val="en-IE"/>
        </w:rPr>
        <w:t xml:space="preserve">onfidence </w:t>
      </w:r>
      <w:r w:rsidR="008208F1">
        <w:rPr>
          <w:lang w:val="en-IE"/>
        </w:rPr>
        <w:t>I</w:t>
      </w:r>
      <w:r w:rsidR="009505F5" w:rsidRPr="009505F5">
        <w:rPr>
          <w:lang w:val="en-IE"/>
        </w:rPr>
        <w:t>ntervals and sample sizes reported in Vahey et al.’s</w:t>
      </w:r>
      <w:r w:rsidR="00F20919">
        <w:rPr>
          <w:lang w:val="en-IE"/>
        </w:rPr>
        <w:t xml:space="preserve"> (</w:t>
      </w:r>
      <w:r w:rsidR="008C489A">
        <w:rPr>
          <w:lang w:val="en-IE"/>
        </w:rPr>
        <w:t>2015</w:t>
      </w:r>
      <w:r w:rsidR="00F20919">
        <w:rPr>
          <w:lang w:val="en-IE"/>
        </w:rPr>
        <w:t>)</w:t>
      </w:r>
      <w:r w:rsidR="009505F5" w:rsidRPr="009505F5">
        <w:rPr>
          <w:lang w:val="en-IE"/>
        </w:rPr>
        <w:t xml:space="preserve"> forest plot </w:t>
      </w:r>
      <w:r w:rsidR="008F59CE">
        <w:rPr>
          <w:lang w:val="en-IE"/>
        </w:rPr>
        <w:t>(p</w:t>
      </w:r>
      <w:r w:rsidR="008F59CE" w:rsidRPr="008F59CE">
        <w:rPr>
          <w:highlight w:val="yellow"/>
          <w:lang w:val="en-IE"/>
        </w:rPr>
        <w:t>.XX</w:t>
      </w:r>
      <w:r w:rsidR="008F59CE">
        <w:rPr>
          <w:lang w:val="en-IE"/>
        </w:rPr>
        <w:t>)</w:t>
      </w:r>
      <w:r w:rsidR="00CE40A3">
        <w:rPr>
          <w:lang w:val="en-IE"/>
        </w:rPr>
        <w:t xml:space="preserve">. </w:t>
      </w:r>
      <w:r w:rsidR="00B039BA" w:rsidRPr="00B039BA">
        <w:rPr>
          <w:highlight w:val="green"/>
          <w:lang w:val="en-IE"/>
        </w:rPr>
        <w:t>I noted that some of the confidence intervals in Vahey et al.’s (</w:t>
      </w:r>
      <w:r w:rsidR="008C489A">
        <w:rPr>
          <w:highlight w:val="green"/>
          <w:lang w:val="en-IE"/>
        </w:rPr>
        <w:t>2015</w:t>
      </w:r>
      <w:r w:rsidR="00B039BA" w:rsidRPr="00B039BA">
        <w:rPr>
          <w:highlight w:val="green"/>
          <w:lang w:val="en-IE"/>
        </w:rPr>
        <w:t xml:space="preserve">) forest plot were asymmetrical around the point estimate. This is uncommon for Pearson’s </w:t>
      </w:r>
      <w:r w:rsidR="00B039BA" w:rsidRPr="00B039BA">
        <w:rPr>
          <w:i/>
          <w:highlight w:val="green"/>
          <w:lang w:val="en-IE"/>
        </w:rPr>
        <w:t>r</w:t>
      </w:r>
      <w:r w:rsidR="00B039BA" w:rsidRPr="00B039BA">
        <w:rPr>
          <w:highlight w:val="green"/>
          <w:lang w:val="en-IE"/>
        </w:rPr>
        <w:t xml:space="preserve"> effect sizes, and was not accounted for by Vahey et al. detailing of how they calculated the effect sizes and their confidence intervals. However, I took them at face value as they </w:t>
      </w:r>
      <w:r w:rsidR="00B039BA" w:rsidRPr="00B039BA">
        <w:rPr>
          <w:highlight w:val="green"/>
          <w:lang w:val="en-IE"/>
        </w:rPr>
        <w:lastRenderedPageBreak/>
        <w:t>are the most detailed data available to work from.</w:t>
      </w:r>
      <w:r w:rsidR="00B039BA">
        <w:rPr>
          <w:lang w:val="en-IE"/>
        </w:rPr>
        <w:t xml:space="preserve"> </w:t>
      </w:r>
      <w:r w:rsidR="00CE40A3">
        <w:rPr>
          <w:lang w:val="en-IE"/>
        </w:rPr>
        <w:t xml:space="preserve">95% Confidence Intervals </w:t>
      </w:r>
      <w:r w:rsidR="00CA5719">
        <w:rPr>
          <w:lang w:val="en-IE"/>
        </w:rPr>
        <w:t xml:space="preserve">around the effect sizes </w:t>
      </w:r>
      <w:r w:rsidR="00CE40A3">
        <w:rPr>
          <w:lang w:val="en-IE"/>
        </w:rPr>
        <w:t>were extracted from the forest plot and converted to variances using the following formula:</w:t>
      </w:r>
    </w:p>
    <w:p w14:paraId="20D0BC47" w14:textId="5A383C8F" w:rsidR="00201ABF" w:rsidRDefault="00201ABF" w:rsidP="009505F5">
      <w:pPr>
        <w:rPr>
          <w:lang w:val="en-IE"/>
        </w:rPr>
      </w:pPr>
      <m:oMathPara>
        <m:oMath>
          <m:r>
            <w:rPr>
              <w:rFonts w:ascii="Cambria Math" w:hAnsi="Cambria Math"/>
              <w:lang w:val="en-IE"/>
            </w:rPr>
            <m:t xml:space="preserve">V= </m:t>
          </m:r>
          <m:sSup>
            <m:sSupPr>
              <m:ctrlPr>
                <w:rPr>
                  <w:rFonts w:ascii="Cambria Math" w:hAnsi="Cambria Math"/>
                  <w:i/>
                  <w:lang w:val="en-IE"/>
                </w:rPr>
              </m:ctrlPr>
            </m:sSupPr>
            <m:e>
              <m:r>
                <w:rPr>
                  <w:rFonts w:ascii="Cambria Math" w:hAnsi="Cambria Math"/>
                  <w:lang w:val="en-IE"/>
                </w:rPr>
                <m:t>(</m:t>
              </m:r>
              <m:f>
                <m:fPr>
                  <m:type m:val="lin"/>
                  <m:ctrlPr>
                    <w:rPr>
                      <w:rFonts w:ascii="Cambria Math" w:hAnsi="Cambria Math"/>
                      <w:i/>
                      <w:lang w:val="en-IE"/>
                    </w:rPr>
                  </m:ctrlPr>
                </m:fPr>
                <m:num>
                  <m:r>
                    <w:rPr>
                      <w:rFonts w:ascii="Cambria Math" w:hAnsi="Cambria Math"/>
                      <w:lang w:val="en-IE"/>
                    </w:rPr>
                    <m:t>( CI_upper-CI_lower )</m:t>
                  </m:r>
                </m:num>
                <m:den>
                  <m:r>
                    <w:rPr>
                      <w:rFonts w:ascii="Cambria Math" w:hAnsi="Cambria Math"/>
                      <w:lang w:val="en-IE"/>
                    </w:rPr>
                    <m:t>( 2× 1.96 )</m:t>
                  </m:r>
                </m:den>
              </m:f>
              <m:r>
                <w:rPr>
                  <w:rFonts w:ascii="Cambria Math" w:hAnsi="Cambria Math"/>
                  <w:lang w:val="en-IE"/>
                </w:rPr>
                <m:t>)</m:t>
              </m:r>
            </m:e>
            <m:sup>
              <m:r>
                <w:rPr>
                  <w:rFonts w:ascii="Cambria Math" w:hAnsi="Cambria Math"/>
                  <w:lang w:val="en-IE"/>
                </w:rPr>
                <m:t>2</m:t>
              </m:r>
            </m:sup>
          </m:sSup>
        </m:oMath>
      </m:oMathPara>
    </w:p>
    <w:p w14:paraId="14068339" w14:textId="265F8B82" w:rsidR="00FD2796" w:rsidRDefault="00DC3807" w:rsidP="00A01521">
      <w:pPr>
        <w:rPr>
          <w:lang w:val="en-IE"/>
        </w:rPr>
      </w:pPr>
      <w:r>
        <w:rPr>
          <w:lang w:val="en-IE"/>
        </w:rPr>
        <w:t>Vahey et al. (</w:t>
      </w:r>
      <w:r w:rsidR="008C489A">
        <w:rPr>
          <w:lang w:val="en-IE"/>
        </w:rPr>
        <w:t>2015</w:t>
      </w:r>
      <w:r>
        <w:rPr>
          <w:lang w:val="en-IE"/>
        </w:rPr>
        <w:t>)</w:t>
      </w:r>
      <w:r w:rsidR="00AC000E" w:rsidRPr="00AC000E">
        <w:rPr>
          <w:lang w:val="en-IE"/>
        </w:rPr>
        <w:t xml:space="preserve"> reported </w:t>
      </w:r>
      <w:r w:rsidR="00AC000E">
        <w:rPr>
          <w:lang w:val="en-IE"/>
        </w:rPr>
        <w:t xml:space="preserve">employing </w:t>
      </w:r>
      <w:r w:rsidR="003215DD">
        <w:rPr>
          <w:lang w:val="en-IE"/>
        </w:rPr>
        <w:t>a</w:t>
      </w:r>
      <w:r w:rsidR="00AC000E">
        <w:rPr>
          <w:lang w:val="en-IE"/>
        </w:rPr>
        <w:t xml:space="preserve"> Hunter and Schmidt </w:t>
      </w:r>
      <w:r w:rsidR="003215DD">
        <w:rPr>
          <w:lang w:val="en-IE"/>
        </w:rPr>
        <w:t>style meta-analysis</w:t>
      </w:r>
      <w:r w:rsidR="00D714A8">
        <w:rPr>
          <w:lang w:val="en-IE"/>
        </w:rPr>
        <w:t>:</w:t>
      </w:r>
      <w:r w:rsidR="00AC000E">
        <w:rPr>
          <w:lang w:val="en-IE"/>
        </w:rPr>
        <w:t xml:space="preserve"> </w:t>
      </w:r>
      <w:r w:rsidR="00D714A8">
        <w:rPr>
          <w:lang w:val="en-IE"/>
        </w:rPr>
        <w:t>t</w:t>
      </w:r>
      <w:r w:rsidR="001D1A3D">
        <w:rPr>
          <w:lang w:val="en-IE"/>
        </w:rPr>
        <w:t xml:space="preserve">he Hunter &amp; Schmidt estimator was used, and the effect sizes </w:t>
      </w:r>
      <w:r w:rsidR="00037818">
        <w:rPr>
          <w:lang w:val="en-IE"/>
        </w:rPr>
        <w:t xml:space="preserve">and their variances </w:t>
      </w:r>
      <w:r w:rsidR="001D1A3D">
        <w:rPr>
          <w:lang w:val="en-IE"/>
        </w:rPr>
        <w:t>were weighted by sample size</w:t>
      </w:r>
      <w:r w:rsidR="00787261">
        <w:rPr>
          <w:lang w:val="en-IE"/>
        </w:rPr>
        <w:t>.</w:t>
      </w:r>
      <w:r w:rsidR="00A01521">
        <w:rPr>
          <w:lang w:val="en-IE"/>
        </w:rPr>
        <w:t xml:space="preserve"> </w:t>
      </w:r>
      <w:r w:rsidR="000C1279">
        <w:rPr>
          <w:lang w:val="en-IE"/>
        </w:rPr>
        <w:t xml:space="preserve">Results demonstrated a meta-analytic effect size of </w:t>
      </w:r>
      <w:r w:rsidR="000C1279" w:rsidRPr="000C1279">
        <w:rPr>
          <w:i/>
          <w:lang w:val="en-IE"/>
        </w:rPr>
        <w:t>r</w:t>
      </w:r>
      <w:r w:rsidR="000C1279" w:rsidRPr="000C1279">
        <w:rPr>
          <w:lang w:val="en-IE"/>
        </w:rPr>
        <w:t xml:space="preserve"> = .47, 95% CI [.4</w:t>
      </w:r>
      <w:r w:rsidR="000C1279">
        <w:rPr>
          <w:lang w:val="en-IE"/>
        </w:rPr>
        <w:t>0</w:t>
      </w:r>
      <w:r w:rsidR="000C1279" w:rsidRPr="000C1279">
        <w:rPr>
          <w:lang w:val="en-IE"/>
        </w:rPr>
        <w:t>, .54], 95% CR [.4</w:t>
      </w:r>
      <w:r w:rsidR="000C1279">
        <w:rPr>
          <w:lang w:val="en-IE"/>
        </w:rPr>
        <w:t>0</w:t>
      </w:r>
      <w:r w:rsidR="000C1279" w:rsidRPr="000C1279">
        <w:rPr>
          <w:lang w:val="en-IE"/>
        </w:rPr>
        <w:t xml:space="preserve">, .54], </w:t>
      </w:r>
      <w:r w:rsidR="000C1279" w:rsidRPr="000C1279">
        <w:rPr>
          <w:i/>
          <w:lang w:val="en-IE"/>
        </w:rPr>
        <w:t>p</w:t>
      </w:r>
      <w:r w:rsidR="000C1279" w:rsidRPr="000C1279">
        <w:rPr>
          <w:lang w:val="en-IE"/>
        </w:rPr>
        <w:t xml:space="preserve"> </w:t>
      </w:r>
      <w:r w:rsidR="000C1279">
        <w:rPr>
          <w:lang w:val="en-IE"/>
        </w:rPr>
        <w:t>&lt;</w:t>
      </w:r>
      <w:r w:rsidR="000C1279" w:rsidRPr="000C1279">
        <w:rPr>
          <w:lang w:val="en-IE"/>
        </w:rPr>
        <w:t xml:space="preserve"> .000</w:t>
      </w:r>
      <w:r w:rsidR="000C1279">
        <w:rPr>
          <w:lang w:val="en-IE"/>
        </w:rPr>
        <w:t>1.</w:t>
      </w:r>
      <w:r w:rsidR="00184CFF">
        <w:rPr>
          <w:lang w:val="en-IE"/>
        </w:rPr>
        <w:t xml:space="preserve"> No heterogeneity was observed, </w:t>
      </w:r>
      <w:r w:rsidR="000C1279" w:rsidRPr="00184CFF">
        <w:rPr>
          <w:i/>
          <w:lang w:val="en-IE"/>
        </w:rPr>
        <w:t>Q</w:t>
      </w:r>
      <w:r w:rsidR="000C1279" w:rsidRPr="000C1279">
        <w:rPr>
          <w:lang w:val="en-IE"/>
        </w:rPr>
        <w:t>(</w:t>
      </w:r>
      <w:r w:rsidR="000C1279" w:rsidRPr="00184CFF">
        <w:rPr>
          <w:i/>
          <w:lang w:val="en-IE"/>
        </w:rPr>
        <w:t>df</w:t>
      </w:r>
      <w:r w:rsidR="000C1279" w:rsidRPr="000C1279">
        <w:rPr>
          <w:lang w:val="en-IE"/>
        </w:rPr>
        <w:t xml:space="preserve"> = 14) = 7.05, </w:t>
      </w:r>
      <w:r w:rsidR="000C1279" w:rsidRPr="00184CFF">
        <w:rPr>
          <w:i/>
          <w:lang w:val="en-IE"/>
        </w:rPr>
        <w:t>p</w:t>
      </w:r>
      <w:r w:rsidR="000C1279" w:rsidRPr="000C1279">
        <w:rPr>
          <w:lang w:val="en-IE"/>
        </w:rPr>
        <w:t xml:space="preserve"> = .933, </w:t>
      </w:r>
      <w:r w:rsidR="00A040B7" w:rsidRPr="00A040B7">
        <w:rPr>
          <w:rFonts w:ascii="Cambria Math" w:hAnsi="Cambria Math" w:cs="Cambria Math"/>
          <w:lang w:val="en-IE"/>
        </w:rPr>
        <w:t>𝜏</w:t>
      </w:r>
      <w:r w:rsidR="000C1279" w:rsidRPr="00A040B7">
        <w:rPr>
          <w:rFonts w:cs="Times New Roman (Body CS)"/>
          <w:vertAlign w:val="superscript"/>
          <w:lang w:val="en-IE"/>
        </w:rPr>
        <w:t>2</w:t>
      </w:r>
      <w:r w:rsidR="000C1279" w:rsidRPr="000C1279">
        <w:rPr>
          <w:lang w:val="en-IE"/>
        </w:rPr>
        <w:t xml:space="preserve"> = 0</w:t>
      </w:r>
      <w:r w:rsidR="00A040B7">
        <w:rPr>
          <w:lang w:val="en-IE"/>
        </w:rPr>
        <w:t>.0</w:t>
      </w:r>
      <w:r w:rsidR="000C1279" w:rsidRPr="000C1279">
        <w:rPr>
          <w:lang w:val="en-IE"/>
        </w:rPr>
        <w:t xml:space="preserve">, </w:t>
      </w:r>
      <w:r w:rsidR="000C1279" w:rsidRPr="00A040B7">
        <w:rPr>
          <w:i/>
          <w:lang w:val="en-IE"/>
        </w:rPr>
        <w:t>I</w:t>
      </w:r>
      <w:r w:rsidR="00A040B7" w:rsidRPr="00A040B7">
        <w:rPr>
          <w:rFonts w:cs="Times New Roman (Body CS)"/>
          <w:vertAlign w:val="superscript"/>
          <w:lang w:val="en-IE"/>
        </w:rPr>
        <w:t>2</w:t>
      </w:r>
      <w:r w:rsidR="000C1279" w:rsidRPr="000C1279">
        <w:rPr>
          <w:lang w:val="en-IE"/>
        </w:rPr>
        <w:t xml:space="preserve"> = 0</w:t>
      </w:r>
      <w:r w:rsidR="00A040B7">
        <w:rPr>
          <w:lang w:val="en-IE"/>
        </w:rPr>
        <w:t>.0</w:t>
      </w:r>
      <w:r w:rsidR="000C1279" w:rsidRPr="000C1279">
        <w:rPr>
          <w:lang w:val="en-IE"/>
        </w:rPr>
        <w:t xml:space="preserve">, </w:t>
      </w:r>
      <w:r w:rsidR="000C1279" w:rsidRPr="00A040B7">
        <w:rPr>
          <w:i/>
          <w:lang w:val="en-IE"/>
        </w:rPr>
        <w:t>H</w:t>
      </w:r>
      <w:r w:rsidR="00A040B7" w:rsidRPr="00A040B7">
        <w:rPr>
          <w:rFonts w:cs="Times New Roman (Body CS)"/>
          <w:vertAlign w:val="superscript"/>
          <w:lang w:val="en-IE"/>
        </w:rPr>
        <w:t>2</w:t>
      </w:r>
      <w:r w:rsidR="000C1279" w:rsidRPr="000C1279">
        <w:rPr>
          <w:lang w:val="en-IE"/>
        </w:rPr>
        <w:t xml:space="preserve"> = 1</w:t>
      </w:r>
      <w:r w:rsidR="00A040B7">
        <w:rPr>
          <w:lang w:val="en-IE"/>
        </w:rPr>
        <w:t>.0</w:t>
      </w:r>
      <w:r w:rsidR="000C1279" w:rsidRPr="000C1279">
        <w:rPr>
          <w:lang w:val="en-IE"/>
        </w:rPr>
        <w:t>.</w:t>
      </w:r>
      <w:r w:rsidR="00EA4D67">
        <w:rPr>
          <w:lang w:val="en-IE"/>
        </w:rPr>
        <w:t xml:space="preserve"> </w:t>
      </w:r>
      <w:r w:rsidR="000C1279" w:rsidRPr="000C1279">
        <w:rPr>
          <w:lang w:val="en-IE"/>
        </w:rPr>
        <w:t xml:space="preserve">Vahey et al.’s </w:t>
      </w:r>
      <w:r w:rsidR="009806F8">
        <w:rPr>
          <w:lang w:val="en-IE"/>
        </w:rPr>
        <w:t xml:space="preserve">(2015) </w:t>
      </w:r>
      <w:r w:rsidR="000C1279" w:rsidRPr="000C1279">
        <w:rPr>
          <w:lang w:val="en-IE"/>
        </w:rPr>
        <w:t xml:space="preserve">meta-analysis </w:t>
      </w:r>
      <w:r w:rsidR="009806F8">
        <w:rPr>
          <w:lang w:val="en-IE"/>
        </w:rPr>
        <w:t xml:space="preserve">results </w:t>
      </w:r>
      <w:r w:rsidR="000C1279" w:rsidRPr="000C1279">
        <w:rPr>
          <w:lang w:val="en-IE"/>
        </w:rPr>
        <w:t xml:space="preserve">could therefore not be </w:t>
      </w:r>
      <w:r w:rsidR="009806F8">
        <w:rPr>
          <w:lang w:val="en-IE"/>
        </w:rPr>
        <w:t xml:space="preserve">precisely </w:t>
      </w:r>
      <w:r w:rsidR="000C1279" w:rsidRPr="000C1279">
        <w:rPr>
          <w:lang w:val="en-IE"/>
        </w:rPr>
        <w:t xml:space="preserve">computationally reproduced using the data they reported in their forest plot and their descriptions of their analytic approach. </w:t>
      </w:r>
      <w:r w:rsidR="009806F8">
        <w:rPr>
          <w:lang w:val="en-IE"/>
        </w:rPr>
        <w:t>E</w:t>
      </w:r>
      <w:r w:rsidR="000C1279" w:rsidRPr="000C1279">
        <w:rPr>
          <w:lang w:val="en-IE"/>
        </w:rPr>
        <w:t xml:space="preserve">stimate of the </w:t>
      </w:r>
      <w:r w:rsidR="009806F8">
        <w:rPr>
          <w:lang w:val="en-IE"/>
        </w:rPr>
        <w:t xml:space="preserve">meta-analytic </w:t>
      </w:r>
      <w:r w:rsidR="000C1279" w:rsidRPr="000C1279">
        <w:rPr>
          <w:lang w:val="en-IE"/>
        </w:rPr>
        <w:t xml:space="preserve">effect size </w:t>
      </w:r>
      <w:r w:rsidR="009806F8">
        <w:rPr>
          <w:lang w:val="en-IE"/>
        </w:rPr>
        <w:t>differed by only a small amount</w:t>
      </w:r>
      <w:r w:rsidR="00FE49F5">
        <w:rPr>
          <w:lang w:val="en-IE"/>
        </w:rPr>
        <w:t xml:space="preserve"> (</w:t>
      </w:r>
      <w:proofErr w:type="spellStart"/>
      <w:r w:rsidR="00FE49F5" w:rsidRPr="00FE49F5">
        <w:rPr>
          <w:lang w:val="en-IE"/>
        </w:rPr>
        <w:t>Δ</w:t>
      </w:r>
      <w:r w:rsidR="00FE49F5" w:rsidRPr="00FE49F5">
        <w:rPr>
          <w:i/>
          <w:lang w:val="en-IE"/>
        </w:rPr>
        <w:t>r</w:t>
      </w:r>
      <w:proofErr w:type="spellEnd"/>
      <w:r w:rsidR="00FE49F5">
        <w:rPr>
          <w:lang w:val="en-IE"/>
        </w:rPr>
        <w:t xml:space="preserve"> = .02)</w:t>
      </w:r>
      <w:r w:rsidR="00665917">
        <w:rPr>
          <w:lang w:val="en-IE"/>
        </w:rPr>
        <w:t>,</w:t>
      </w:r>
      <w:r w:rsidR="00FE49F5">
        <w:rPr>
          <w:lang w:val="en-IE"/>
        </w:rPr>
        <w:t xml:space="preserve"> </w:t>
      </w:r>
      <w:r w:rsidR="00665917">
        <w:rPr>
          <w:lang w:val="en-IE"/>
        </w:rPr>
        <w:t>c</w:t>
      </w:r>
      <w:r w:rsidR="00FE49F5">
        <w:rPr>
          <w:lang w:val="en-IE"/>
        </w:rPr>
        <w:t>onfidence intervals were identical</w:t>
      </w:r>
      <w:r w:rsidR="00665917">
        <w:rPr>
          <w:lang w:val="en-IE"/>
        </w:rPr>
        <w:t xml:space="preserve">, and credibility intervals differed substantially. </w:t>
      </w:r>
    </w:p>
    <w:p w14:paraId="4D1CEE44" w14:textId="7DDF91A2" w:rsidR="000C1279" w:rsidRDefault="00FE49F5" w:rsidP="00A01521">
      <w:pPr>
        <w:rPr>
          <w:lang w:val="en-IE"/>
        </w:rPr>
      </w:pPr>
      <w:r>
        <w:rPr>
          <w:lang w:val="en-IE"/>
        </w:rPr>
        <w:t xml:space="preserve">However, credibility intervals and therefore </w:t>
      </w:r>
      <w:r w:rsidR="000C1279" w:rsidRPr="000C1279">
        <w:rPr>
          <w:lang w:val="en-IE"/>
        </w:rPr>
        <w:t xml:space="preserve">estimated heterogeneity </w:t>
      </w:r>
      <w:r>
        <w:rPr>
          <w:lang w:val="en-IE"/>
        </w:rPr>
        <w:t xml:space="preserve">differed by a </w:t>
      </w:r>
      <w:r w:rsidR="000C1279" w:rsidRPr="000C1279">
        <w:rPr>
          <w:lang w:val="en-IE"/>
        </w:rPr>
        <w:t xml:space="preserve">large </w:t>
      </w:r>
      <w:r>
        <w:rPr>
          <w:lang w:val="en-IE"/>
        </w:rPr>
        <w:t xml:space="preserve">amount </w:t>
      </w:r>
      <w:r w:rsidR="000C1279" w:rsidRPr="000C1279">
        <w:rPr>
          <w:lang w:val="en-IE"/>
        </w:rPr>
        <w:t>(</w:t>
      </w:r>
      <w:r w:rsidR="000C1279" w:rsidRPr="00FE49F5">
        <w:rPr>
          <w:highlight w:val="yellow"/>
          <w:lang w:val="en-IE"/>
        </w:rPr>
        <w:t>large heterogeneity in Vahey et al.</w:t>
      </w:r>
      <w:r w:rsidRPr="00FE49F5">
        <w:rPr>
          <w:highlight w:val="yellow"/>
          <w:lang w:val="en-IE"/>
        </w:rPr>
        <w:t xml:space="preserve"> 2015</w:t>
      </w:r>
      <w:r w:rsidR="000C1279" w:rsidRPr="000C1279">
        <w:rPr>
          <w:lang w:val="en-IE"/>
        </w:rPr>
        <w:t xml:space="preserve">, no heterogeneity in my </w:t>
      </w:r>
      <w:r>
        <w:rPr>
          <w:lang w:val="en-IE"/>
        </w:rPr>
        <w:t>re</w:t>
      </w:r>
      <w:r w:rsidR="000C1279" w:rsidRPr="000C1279">
        <w:rPr>
          <w:lang w:val="en-IE"/>
        </w:rPr>
        <w:t>analysis).</w:t>
      </w:r>
    </w:p>
    <w:p w14:paraId="04E2E872" w14:textId="1C60D17A" w:rsidR="00665917" w:rsidRPr="00665917" w:rsidRDefault="00665917" w:rsidP="00665917">
      <w:pPr>
        <w:pStyle w:val="ListParagraph"/>
        <w:numPr>
          <w:ilvl w:val="0"/>
          <w:numId w:val="13"/>
        </w:numPr>
        <w:rPr>
          <w:highlight w:val="yellow"/>
          <w:lang w:val="en-IE"/>
        </w:rPr>
      </w:pPr>
      <w:r w:rsidRPr="00665917">
        <w:rPr>
          <w:highlight w:val="yellow"/>
          <w:lang w:val="en-IE"/>
        </w:rPr>
        <w:t>Definition of credibility interval, interpretation of heterogeneity.</w:t>
      </w:r>
    </w:p>
    <w:p w14:paraId="46F61471" w14:textId="6BFEDE9C" w:rsidR="00BD2C9A" w:rsidRDefault="00D768AE" w:rsidP="003D4E29">
      <w:pPr>
        <w:pStyle w:val="Heading2"/>
      </w:pPr>
      <w:r w:rsidRPr="00D768AE">
        <w:t>Weighted-average effect sizes</w:t>
      </w:r>
    </w:p>
    <w:p w14:paraId="406C4EA4" w14:textId="1426782A" w:rsidR="00D768AE" w:rsidRDefault="00D768AE" w:rsidP="003E7A09">
      <w:pPr>
        <w:rPr>
          <w:lang w:val="en-IE"/>
        </w:rPr>
      </w:pPr>
      <w:r>
        <w:rPr>
          <w:lang w:val="en-IE"/>
        </w:rPr>
        <w:t xml:space="preserve">Vahey et al.’s (2015) </w:t>
      </w:r>
      <w:r w:rsidR="003E7A09">
        <w:rPr>
          <w:lang w:val="en-IE"/>
        </w:rPr>
        <w:t xml:space="preserve">meta-analysis results relied </w:t>
      </w:r>
      <w:r w:rsidR="00420735">
        <w:rPr>
          <w:lang w:val="en-IE"/>
        </w:rPr>
        <w:t xml:space="preserve">on the </w:t>
      </w:r>
      <w:r w:rsidRPr="009505F5">
        <w:rPr>
          <w:lang w:val="en-IE"/>
        </w:rPr>
        <w:t>accuracy of the</w:t>
      </w:r>
      <w:r w:rsidR="003E7A09">
        <w:rPr>
          <w:lang w:val="en-IE"/>
        </w:rPr>
        <w:t xml:space="preserve"> weighted-mean effect sizes used in it</w:t>
      </w:r>
      <w:r w:rsidRPr="009505F5">
        <w:rPr>
          <w:lang w:val="en-IE"/>
        </w:rPr>
        <w:t xml:space="preserve">. I attempted to computationally reproduce the </w:t>
      </w:r>
      <w:r w:rsidR="003E7A09">
        <w:rPr>
          <w:lang w:val="en-IE"/>
        </w:rPr>
        <w:lastRenderedPageBreak/>
        <w:t xml:space="preserve">weighted-mean </w:t>
      </w:r>
      <w:r w:rsidRPr="009505F5">
        <w:rPr>
          <w:lang w:val="en-IE"/>
        </w:rPr>
        <w:t>effect size</w:t>
      </w:r>
      <w:r w:rsidR="003E7A09">
        <w:rPr>
          <w:lang w:val="en-IE"/>
        </w:rPr>
        <w:t>s</w:t>
      </w:r>
      <w:r w:rsidRPr="009505F5">
        <w:rPr>
          <w:lang w:val="en-IE"/>
        </w:rPr>
        <w:t xml:space="preserve"> </w:t>
      </w:r>
      <w:r w:rsidR="003E7A09">
        <w:rPr>
          <w:lang w:val="en-IE"/>
        </w:rPr>
        <w:t xml:space="preserve">presented in their forest plot </w:t>
      </w:r>
      <w:r w:rsidRPr="009505F5">
        <w:rPr>
          <w:lang w:val="en-IE"/>
        </w:rPr>
        <w:t xml:space="preserve">from the </w:t>
      </w:r>
      <w:r w:rsidR="003E7A09">
        <w:rPr>
          <w:lang w:val="en-IE"/>
        </w:rPr>
        <w:t xml:space="preserve">individual </w:t>
      </w:r>
      <w:r w:rsidRPr="009505F5">
        <w:rPr>
          <w:lang w:val="en-IE"/>
        </w:rPr>
        <w:t>effect sizes</w:t>
      </w:r>
      <w:r w:rsidR="003E7A09">
        <w:rPr>
          <w:lang w:val="en-IE"/>
        </w:rPr>
        <w:t xml:space="preserve"> and degrees of freedom presented in their supplementary online materials. Weighted-mean effect sizes are one strategy that can be employed </w:t>
      </w:r>
      <w:r w:rsidR="00DA5F48">
        <w:rPr>
          <w:lang w:val="en-IE"/>
        </w:rPr>
        <w:t xml:space="preserve">to deal with the </w:t>
      </w:r>
      <w:r w:rsidR="003E7A09">
        <w:rPr>
          <w:lang w:val="en-IE"/>
        </w:rPr>
        <w:t>non-independen</w:t>
      </w:r>
      <w:r w:rsidR="00DA5F48">
        <w:rPr>
          <w:lang w:val="en-IE"/>
        </w:rPr>
        <w:t xml:space="preserve">ce of multiple </w:t>
      </w:r>
      <w:r w:rsidR="003E7A09">
        <w:rPr>
          <w:lang w:val="en-IE"/>
        </w:rPr>
        <w:t>effect sizes taken from a given study</w:t>
      </w:r>
      <w:r w:rsidR="00D33546">
        <w:rPr>
          <w:lang w:val="en-IE"/>
        </w:rPr>
        <w:t xml:space="preserve"> or sample</w:t>
      </w:r>
      <w:r w:rsidR="003E7A09">
        <w:rPr>
          <w:lang w:val="en-IE"/>
        </w:rPr>
        <w:t xml:space="preserve">. </w:t>
      </w:r>
      <w:r w:rsidRPr="00D768AE">
        <w:rPr>
          <w:lang w:val="en-IE"/>
        </w:rPr>
        <w:t xml:space="preserve">Vahey et al. </w:t>
      </w:r>
      <w:r w:rsidR="009F0AB2">
        <w:rPr>
          <w:lang w:val="en-IE"/>
        </w:rPr>
        <w:t xml:space="preserve">(2015) </w:t>
      </w:r>
      <w:r w:rsidRPr="00D768AE">
        <w:rPr>
          <w:lang w:val="en-IE"/>
        </w:rPr>
        <w:t xml:space="preserve">reported that they </w:t>
      </w:r>
      <w:r w:rsidR="003E7A09">
        <w:rPr>
          <w:lang w:val="en-IE"/>
        </w:rPr>
        <w:t xml:space="preserve">followed the method suggested by [REF] and </w:t>
      </w:r>
      <w:r w:rsidRPr="00D768AE">
        <w:rPr>
          <w:lang w:val="en-IE"/>
        </w:rPr>
        <w:t>weighted by degrees of freedom</w:t>
      </w:r>
      <w:r w:rsidR="00044F35">
        <w:rPr>
          <w:lang w:val="en-IE"/>
        </w:rPr>
        <w:t>.  Results were not computationally reproduc</w:t>
      </w:r>
      <w:r w:rsidR="007C0AA0">
        <w:rPr>
          <w:lang w:val="en-IE"/>
        </w:rPr>
        <w:t>ible</w:t>
      </w:r>
      <w:r w:rsidR="00044F35">
        <w:rPr>
          <w:lang w:val="en-IE"/>
        </w:rPr>
        <w:t xml:space="preserve"> in 2 of 15 (13%) of cases.</w:t>
      </w:r>
      <w:r w:rsidR="00481684">
        <w:rPr>
          <w:lang w:val="en-IE"/>
        </w:rPr>
        <w:t xml:space="preserve"> </w:t>
      </w:r>
      <w:r w:rsidR="008915F3">
        <w:rPr>
          <w:lang w:val="en-IE"/>
        </w:rPr>
        <w:t>The magnitude</w:t>
      </w:r>
      <w:r w:rsidR="006455F4">
        <w:rPr>
          <w:lang w:val="en-IE"/>
        </w:rPr>
        <w:t>s</w:t>
      </w:r>
      <w:r w:rsidR="008915F3">
        <w:rPr>
          <w:lang w:val="en-IE"/>
        </w:rPr>
        <w:t xml:space="preserve"> of the differences were small (</w:t>
      </w:r>
      <w:proofErr w:type="spellStart"/>
      <w:r w:rsidR="008915F3" w:rsidRPr="00FE49F5">
        <w:rPr>
          <w:lang w:val="en-IE"/>
        </w:rPr>
        <w:t>Δ</w:t>
      </w:r>
      <w:r w:rsidR="008915F3" w:rsidRPr="00FE49F5">
        <w:rPr>
          <w:i/>
          <w:lang w:val="en-IE"/>
        </w:rPr>
        <w:t>r</w:t>
      </w:r>
      <w:proofErr w:type="spellEnd"/>
      <w:r w:rsidR="008915F3">
        <w:rPr>
          <w:lang w:val="en-IE"/>
        </w:rPr>
        <w:t xml:space="preserve"> = -.02 and .05).</w:t>
      </w:r>
    </w:p>
    <w:p w14:paraId="1611CE36" w14:textId="288680D9" w:rsidR="00D768AE" w:rsidRDefault="00481684" w:rsidP="00044F35">
      <w:pPr>
        <w:ind w:firstLine="0"/>
        <w:jc w:val="center"/>
        <w:rPr>
          <w:lang w:val="en-IE"/>
        </w:rPr>
      </w:pPr>
      <w:r>
        <w:rPr>
          <w:noProof/>
          <w:lang w:val="en-IE"/>
        </w:rPr>
        <w:drawing>
          <wp:inline distT="0" distB="0" distL="0" distR="0" wp14:anchorId="4B09D6A7" wp14:editId="5690A5FF">
            <wp:extent cx="3565525" cy="3350091"/>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18 at 11.02.32.png"/>
                    <pic:cNvPicPr/>
                  </pic:nvPicPr>
                  <pic:blipFill>
                    <a:blip r:embed="rId13"/>
                    <a:stretch>
                      <a:fillRect/>
                    </a:stretch>
                  </pic:blipFill>
                  <pic:spPr>
                    <a:xfrm>
                      <a:off x="0" y="0"/>
                      <a:ext cx="3576101" cy="3360028"/>
                    </a:xfrm>
                    <a:prstGeom prst="rect">
                      <a:avLst/>
                    </a:prstGeom>
                  </pic:spPr>
                </pic:pic>
              </a:graphicData>
            </a:graphic>
          </wp:inline>
        </w:drawing>
      </w:r>
    </w:p>
    <w:p w14:paraId="219807F9" w14:textId="38E4892E" w:rsidR="00044F35" w:rsidRDefault="00044F35" w:rsidP="003E4396">
      <w:pPr>
        <w:ind w:firstLine="0"/>
        <w:rPr>
          <w:lang w:val="en-IE"/>
        </w:rPr>
      </w:pPr>
      <w:r>
        <w:rPr>
          <w:lang w:val="en-IE"/>
        </w:rPr>
        <w:t>Figure XX. XXXX</w:t>
      </w:r>
    </w:p>
    <w:p w14:paraId="473F9DDC" w14:textId="0F5FAFE9" w:rsidR="007C0AA0" w:rsidRPr="00D768AE" w:rsidRDefault="007C0AA0" w:rsidP="007C0AA0">
      <w:pPr>
        <w:ind w:firstLine="0"/>
        <w:rPr>
          <w:lang w:val="en-IE"/>
        </w:rPr>
      </w:pPr>
      <w:r>
        <w:rPr>
          <w:lang w:val="en-IE"/>
        </w:rPr>
        <w:tab/>
      </w:r>
    </w:p>
    <w:p w14:paraId="4C30FB74" w14:textId="12668344" w:rsidR="00C462B6" w:rsidRPr="00C462B6" w:rsidRDefault="00085519" w:rsidP="003D4E29">
      <w:pPr>
        <w:pStyle w:val="Heading2"/>
      </w:pPr>
      <w:r>
        <w:t>Extraction and conversion of</w:t>
      </w:r>
      <w:r w:rsidR="008915F3">
        <w:t xml:space="preserve"> effect sizes</w:t>
      </w:r>
      <w:r w:rsidR="002E47E0">
        <w:t xml:space="preserve"> </w:t>
      </w:r>
    </w:p>
    <w:p w14:paraId="4772FD82" w14:textId="77777777" w:rsidR="008B4671" w:rsidRDefault="00420735" w:rsidP="008114DB">
      <w:pPr>
        <w:rPr>
          <w:lang w:val="en-IE"/>
        </w:rPr>
      </w:pPr>
      <w:r>
        <w:rPr>
          <w:lang w:val="en-IE"/>
        </w:rPr>
        <w:t xml:space="preserve">Vahey et al.’s (2015) weighted-mean effect sizes in turn relied on the </w:t>
      </w:r>
      <w:r w:rsidR="00B53015">
        <w:rPr>
          <w:lang w:val="en-IE"/>
        </w:rPr>
        <w:t xml:space="preserve">accuracy of the individual effect sizes that were extracted from original research articles (along </w:t>
      </w:r>
      <w:r w:rsidR="00B53015">
        <w:rPr>
          <w:lang w:val="en-IE"/>
        </w:rPr>
        <w:lastRenderedPageBreak/>
        <w:t xml:space="preserve">with other statistics such as </w:t>
      </w:r>
      <w:r w:rsidR="00B53015" w:rsidRPr="00B53015">
        <w:rPr>
          <w:i/>
          <w:lang w:val="en-IE"/>
        </w:rPr>
        <w:t>N</w:t>
      </w:r>
      <w:r w:rsidR="00B53015">
        <w:rPr>
          <w:lang w:val="en-IE"/>
        </w:rPr>
        <w:t xml:space="preserve"> and </w:t>
      </w:r>
      <w:r w:rsidR="00B53015" w:rsidRPr="00B53015">
        <w:rPr>
          <w:i/>
          <w:lang w:val="en-IE"/>
        </w:rPr>
        <w:t>df</w:t>
      </w:r>
      <w:r w:rsidR="00B53015">
        <w:rPr>
          <w:lang w:val="en-IE"/>
        </w:rPr>
        <w:t xml:space="preserve">) and, where applicable, the mathematical conversion between other effect sizes to Pearson’s </w:t>
      </w:r>
      <w:r w:rsidR="00B53015" w:rsidRPr="00B53015">
        <w:rPr>
          <w:i/>
          <w:lang w:val="en-IE"/>
        </w:rPr>
        <w:t>r</w:t>
      </w:r>
      <w:r w:rsidR="00B53015">
        <w:rPr>
          <w:lang w:val="en-IE"/>
        </w:rPr>
        <w:t>.</w:t>
      </w:r>
      <w:r w:rsidR="003D12B6">
        <w:rPr>
          <w:lang w:val="en-IE"/>
        </w:rPr>
        <w:t xml:space="preserve"> I therefore </w:t>
      </w:r>
      <w:r w:rsidRPr="009505F5">
        <w:rPr>
          <w:lang w:val="en-IE"/>
        </w:rPr>
        <w:t xml:space="preserve">attempted to computationally reproduce the </w:t>
      </w:r>
      <w:r w:rsidR="003D12B6">
        <w:rPr>
          <w:lang w:val="en-IE"/>
        </w:rPr>
        <w:t xml:space="preserve">individual </w:t>
      </w:r>
      <w:r w:rsidRPr="009505F5">
        <w:rPr>
          <w:lang w:val="en-IE"/>
        </w:rPr>
        <w:t>effect size</w:t>
      </w:r>
      <w:r>
        <w:rPr>
          <w:lang w:val="en-IE"/>
        </w:rPr>
        <w:t>s</w:t>
      </w:r>
      <w:r w:rsidRPr="009505F5">
        <w:rPr>
          <w:lang w:val="en-IE"/>
        </w:rPr>
        <w:t xml:space="preserve"> </w:t>
      </w:r>
      <w:r>
        <w:rPr>
          <w:lang w:val="en-IE"/>
        </w:rPr>
        <w:t xml:space="preserve">presented in </w:t>
      </w:r>
      <w:r w:rsidR="003D12B6">
        <w:rPr>
          <w:lang w:val="en-IE"/>
        </w:rPr>
        <w:t xml:space="preserve">Vahey et al.’s (2015) </w:t>
      </w:r>
      <w:r>
        <w:rPr>
          <w:lang w:val="en-IE"/>
        </w:rPr>
        <w:t>supplementary online materials.</w:t>
      </w:r>
      <w:r w:rsidR="00864933">
        <w:rPr>
          <w:lang w:val="en-IE"/>
        </w:rPr>
        <w:t xml:space="preserve"> </w:t>
      </w:r>
      <w:r w:rsidR="008114DB">
        <w:rPr>
          <w:lang w:val="en-IE"/>
        </w:rPr>
        <w:t xml:space="preserve">I make a distinction between </w:t>
      </w:r>
      <w:r w:rsidR="004E4EA8">
        <w:rPr>
          <w:lang w:val="en-IE"/>
        </w:rPr>
        <w:t xml:space="preserve">two subsets of </w:t>
      </w:r>
      <w:r w:rsidR="008114DB">
        <w:rPr>
          <w:lang w:val="en-IE"/>
        </w:rPr>
        <w:t xml:space="preserve">effect sizes </w:t>
      </w:r>
      <w:r w:rsidR="004E4EA8">
        <w:rPr>
          <w:lang w:val="en-IE"/>
        </w:rPr>
        <w:t xml:space="preserve">and their reproducibility. </w:t>
      </w:r>
    </w:p>
    <w:p w14:paraId="1478402D" w14:textId="146C274D" w:rsidR="008B4671" w:rsidRDefault="008B4671" w:rsidP="008B2FD1">
      <w:pPr>
        <w:rPr>
          <w:lang w:val="en-IE"/>
        </w:rPr>
      </w:pPr>
      <w:r>
        <w:rPr>
          <w:lang w:val="en-IE"/>
        </w:rPr>
        <w:t xml:space="preserve">The first subset refers to effect sizes that </w:t>
      </w:r>
      <w:r w:rsidR="008114DB">
        <w:rPr>
          <w:lang w:val="en-IE"/>
        </w:rPr>
        <w:t xml:space="preserve">could be reextracted and converted to Pearson’s </w:t>
      </w:r>
      <w:r w:rsidR="008114DB" w:rsidRPr="008114DB">
        <w:rPr>
          <w:i/>
          <w:lang w:val="en-IE"/>
        </w:rPr>
        <w:t>r</w:t>
      </w:r>
      <w:r>
        <w:rPr>
          <w:lang w:val="en-IE"/>
        </w:rPr>
        <w:t xml:space="preserve">. </w:t>
      </w:r>
      <w:r w:rsidR="008B2FD1">
        <w:rPr>
          <w:lang w:val="en-IE"/>
        </w:rPr>
        <w:t xml:space="preserve">In these cases, reproducibility refers to the numerical congruence between the effect sizes I obtain and those reported by Vahey et al. (2015). </w:t>
      </w:r>
      <w:r w:rsidR="00B91DE6">
        <w:rPr>
          <w:lang w:val="en-IE"/>
        </w:rPr>
        <w:t xml:space="preserve">Wherever possible, the same effect size conversion method was employed as in the original meta-analysis, following the </w:t>
      </w:r>
      <w:r w:rsidR="004574B2">
        <w:rPr>
          <w:lang w:val="en-IE"/>
        </w:rPr>
        <w:t xml:space="preserve">approaches </w:t>
      </w:r>
      <w:r w:rsidR="00B91DE6">
        <w:rPr>
          <w:lang w:val="en-IE"/>
        </w:rPr>
        <w:t>listed in their supplementary materials. However, while the</w:t>
      </w:r>
      <w:r w:rsidR="009C1359">
        <w:rPr>
          <w:lang w:val="en-IE"/>
        </w:rPr>
        <w:t>se approaches were listed by name</w:t>
      </w:r>
      <w:r w:rsidR="00B91DE6">
        <w:rPr>
          <w:lang w:val="en-IE"/>
        </w:rPr>
        <w:t>, specific formulae or software implementations were not provided.</w:t>
      </w:r>
      <w:r w:rsidR="009C1359">
        <w:rPr>
          <w:lang w:val="en-IE"/>
        </w:rPr>
        <w:t xml:space="preserve"> </w:t>
      </w:r>
      <w:r>
        <w:rPr>
          <w:lang w:val="en-IE"/>
        </w:rPr>
        <w:t xml:space="preserve">29 </w:t>
      </w:r>
      <w:r w:rsidR="00A67CF3">
        <w:rPr>
          <w:lang w:val="en-IE"/>
        </w:rPr>
        <w:t xml:space="preserve">(52%) </w:t>
      </w:r>
      <w:r>
        <w:rPr>
          <w:lang w:val="en-IE"/>
        </w:rPr>
        <w:t xml:space="preserve">effect sizes could be reextracted. </w:t>
      </w:r>
      <w:r w:rsidR="008B2FD1">
        <w:rPr>
          <w:lang w:val="en-IE"/>
        </w:rPr>
        <w:t>When rounding all effect sizes to two decimal places, nearly half of the effect sizes reported by Vahey et al. (2015) could not be computationally reproduced (</w:t>
      </w:r>
      <w:r w:rsidR="00A67CF3">
        <w:rPr>
          <w:lang w:val="en-IE"/>
        </w:rPr>
        <w:t xml:space="preserve">13 </w:t>
      </w:r>
      <w:r w:rsidR="008B2FD1">
        <w:rPr>
          <w:lang w:val="en-IE"/>
        </w:rPr>
        <w:t xml:space="preserve">effect sizes, </w:t>
      </w:r>
      <w:r w:rsidR="00A67CF3">
        <w:rPr>
          <w:lang w:val="en-IE"/>
        </w:rPr>
        <w:t>45</w:t>
      </w:r>
      <w:r w:rsidR="008B2FD1">
        <w:rPr>
          <w:lang w:val="en-IE"/>
        </w:rPr>
        <w:t xml:space="preserve">%). </w:t>
      </w:r>
      <w:r w:rsidR="006455F4">
        <w:rPr>
          <w:lang w:val="en-IE"/>
        </w:rPr>
        <w:t>The magnitude of the difference</w:t>
      </w:r>
      <w:r w:rsidR="00282131">
        <w:rPr>
          <w:lang w:val="en-IE"/>
        </w:rPr>
        <w:t>s between Vahey et al.’s effect sizes and mine</w:t>
      </w:r>
      <w:r w:rsidR="006455F4">
        <w:rPr>
          <w:lang w:val="en-IE"/>
        </w:rPr>
        <w:t xml:space="preserve"> were large in some cases (</w:t>
      </w:r>
      <w:proofErr w:type="spellStart"/>
      <w:r w:rsidR="006455F4" w:rsidRPr="00FE49F5">
        <w:rPr>
          <w:lang w:val="en-IE"/>
        </w:rPr>
        <w:t>Δ</w:t>
      </w:r>
      <w:r w:rsidR="006455F4" w:rsidRPr="00FE49F5">
        <w:rPr>
          <w:i/>
          <w:lang w:val="en-IE"/>
        </w:rPr>
        <w:t>r</w:t>
      </w:r>
      <w:r w:rsidR="006455F4" w:rsidRPr="006455F4">
        <w:rPr>
          <w:rFonts w:cs="Times New Roman (Body CS)"/>
          <w:vertAlign w:val="subscript"/>
          <w:lang w:val="en-IE"/>
        </w:rPr>
        <w:t>max</w:t>
      </w:r>
      <w:proofErr w:type="spellEnd"/>
      <w:r w:rsidR="006455F4">
        <w:rPr>
          <w:lang w:val="en-IE"/>
        </w:rPr>
        <w:t xml:space="preserve"> = -.44).</w:t>
      </w:r>
      <w:r w:rsidR="008C4F52">
        <w:rPr>
          <w:lang w:val="en-IE"/>
        </w:rPr>
        <w:t xml:space="preserve"> </w:t>
      </w:r>
      <w:r w:rsidR="00FF3D11">
        <w:rPr>
          <w:lang w:val="en-IE"/>
        </w:rPr>
        <w:t xml:space="preserve">Where differences were observed, Vahey et al.’s (2015) effect sizes </w:t>
      </w:r>
      <w:r w:rsidR="006455F4">
        <w:rPr>
          <w:lang w:val="en-IE"/>
        </w:rPr>
        <w:t xml:space="preserve">were generally skewed in favour </w:t>
      </w:r>
      <w:r w:rsidR="00225CC3">
        <w:rPr>
          <w:lang w:val="en-IE"/>
        </w:rPr>
        <w:t xml:space="preserve">of the IRAP’s validity </w:t>
      </w:r>
      <w:r w:rsidR="00FF3D11">
        <w:rPr>
          <w:lang w:val="en-IE"/>
        </w:rPr>
        <w:t>(</w:t>
      </w:r>
      <w:r w:rsidR="006455F4">
        <w:rPr>
          <w:lang w:val="en-IE"/>
        </w:rPr>
        <w:t xml:space="preserve">see Figure </w:t>
      </w:r>
      <w:r w:rsidR="006455F4" w:rsidRPr="006455F4">
        <w:rPr>
          <w:highlight w:val="yellow"/>
          <w:lang w:val="en-IE"/>
        </w:rPr>
        <w:t>XX</w:t>
      </w:r>
      <w:r w:rsidR="006455F4">
        <w:rPr>
          <w:lang w:val="en-IE"/>
        </w:rPr>
        <w:t>).</w:t>
      </w:r>
    </w:p>
    <w:p w14:paraId="4C5879A9" w14:textId="794032CA" w:rsidR="00654045" w:rsidRDefault="00654045" w:rsidP="008114DB">
      <w:pPr>
        <w:rPr>
          <w:lang w:val="en-IE"/>
        </w:rPr>
      </w:pPr>
    </w:p>
    <w:p w14:paraId="2EE96CE4" w14:textId="0F69A8BE" w:rsidR="00654045" w:rsidRDefault="00654045" w:rsidP="00654045">
      <w:pPr>
        <w:ind w:firstLine="0"/>
        <w:jc w:val="center"/>
        <w:rPr>
          <w:lang w:val="en-IE"/>
        </w:rPr>
      </w:pPr>
      <w:r>
        <w:rPr>
          <w:noProof/>
          <w:lang w:val="en-IE"/>
        </w:rPr>
        <w:lastRenderedPageBreak/>
        <w:drawing>
          <wp:inline distT="0" distB="0" distL="0" distR="0" wp14:anchorId="7A660DC8" wp14:editId="2E9E7134">
            <wp:extent cx="4038600" cy="402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7-18 at 11.52.44.png"/>
                    <pic:cNvPicPr/>
                  </pic:nvPicPr>
                  <pic:blipFill>
                    <a:blip r:embed="rId14"/>
                    <a:stretch>
                      <a:fillRect/>
                    </a:stretch>
                  </pic:blipFill>
                  <pic:spPr>
                    <a:xfrm>
                      <a:off x="0" y="0"/>
                      <a:ext cx="4043857" cy="4034891"/>
                    </a:xfrm>
                    <a:prstGeom prst="rect">
                      <a:avLst/>
                    </a:prstGeom>
                  </pic:spPr>
                </pic:pic>
              </a:graphicData>
            </a:graphic>
          </wp:inline>
        </w:drawing>
      </w:r>
    </w:p>
    <w:p w14:paraId="488E45B3" w14:textId="574B5666" w:rsidR="00654045" w:rsidRDefault="000B3F7C" w:rsidP="000B3F7C">
      <w:pPr>
        <w:ind w:firstLine="0"/>
        <w:rPr>
          <w:lang w:val="en-IE"/>
        </w:rPr>
      </w:pPr>
      <w:r w:rsidRPr="000B3F7C">
        <w:rPr>
          <w:lang w:val="en-IE"/>
        </w:rPr>
        <w:t xml:space="preserve">Figure </w:t>
      </w:r>
      <w:r>
        <w:rPr>
          <w:lang w:val="en-IE"/>
        </w:rPr>
        <w:t>XX</w:t>
      </w:r>
      <w:r w:rsidRPr="000B3F7C">
        <w:rPr>
          <w:lang w:val="en-IE"/>
        </w:rPr>
        <w:t xml:space="preserve">. </w:t>
      </w:r>
      <w:r>
        <w:rPr>
          <w:lang w:val="en-IE"/>
        </w:rPr>
        <w:t>XX</w:t>
      </w:r>
    </w:p>
    <w:p w14:paraId="3B6616B6" w14:textId="77777777" w:rsidR="000B3F7C" w:rsidRDefault="000B3F7C" w:rsidP="00654045">
      <w:pPr>
        <w:ind w:firstLine="0"/>
        <w:jc w:val="center"/>
        <w:rPr>
          <w:lang w:val="en-IE"/>
        </w:rPr>
      </w:pPr>
    </w:p>
    <w:p w14:paraId="0BAF0493" w14:textId="6772412B" w:rsidR="00861275" w:rsidRDefault="006B5C85" w:rsidP="00F424FB">
      <w:pPr>
        <w:ind w:firstLine="0"/>
        <w:rPr>
          <w:lang w:val="en-IE"/>
        </w:rPr>
      </w:pPr>
      <w:r>
        <w:rPr>
          <w:lang w:val="en-IE"/>
        </w:rPr>
        <w:tab/>
      </w:r>
      <w:r w:rsidR="008B4671">
        <w:rPr>
          <w:lang w:val="en-IE"/>
        </w:rPr>
        <w:t xml:space="preserve">The second subset </w:t>
      </w:r>
      <w:r>
        <w:rPr>
          <w:lang w:val="en-IE"/>
        </w:rPr>
        <w:t xml:space="preserve">of effect sizes </w:t>
      </w:r>
      <w:r w:rsidR="008B4671">
        <w:rPr>
          <w:lang w:val="en-IE"/>
        </w:rPr>
        <w:t>refers to cases where I have</w:t>
      </w:r>
      <w:r w:rsidR="0031005A">
        <w:rPr>
          <w:lang w:val="en-IE"/>
        </w:rPr>
        <w:t xml:space="preserve"> a documented</w:t>
      </w:r>
      <w:r w:rsidR="008B4671">
        <w:rPr>
          <w:lang w:val="en-IE"/>
        </w:rPr>
        <w:t xml:space="preserve"> reason to believe that the effect size should not </w:t>
      </w:r>
      <w:r w:rsidR="00FD5DF5">
        <w:rPr>
          <w:lang w:val="en-IE"/>
        </w:rPr>
        <w:t xml:space="preserve">have been included </w:t>
      </w:r>
      <w:r w:rsidR="00F424FB">
        <w:rPr>
          <w:lang w:val="en-IE"/>
        </w:rPr>
        <w:t xml:space="preserve">in the meta-analysis for one or more of the following reasons. </w:t>
      </w:r>
      <w:r w:rsidR="00DD33E0">
        <w:rPr>
          <w:lang w:val="en-IE"/>
        </w:rPr>
        <w:t xml:space="preserve">First, </w:t>
      </w:r>
      <w:r w:rsidR="00EE2FAD" w:rsidRPr="00EE2FAD">
        <w:rPr>
          <w:lang w:val="en-IE"/>
        </w:rPr>
        <w:t xml:space="preserve">Vahey et al. </w:t>
      </w:r>
      <w:r w:rsidR="00DD33E0">
        <w:rPr>
          <w:lang w:val="en-IE"/>
        </w:rPr>
        <w:t xml:space="preserve">(2015) </w:t>
      </w:r>
      <w:r w:rsidR="00EE2FAD" w:rsidRPr="00EE2FAD">
        <w:rPr>
          <w:lang w:val="en-IE"/>
        </w:rPr>
        <w:t xml:space="preserve">appear to have treated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00EE2FAD" w:rsidRPr="00EE2FAD">
        <w:rPr>
          <w:lang w:val="en-IE"/>
        </w:rPr>
        <w:t xml:space="preserve"> as if it was equivalent to </w:t>
      </w:r>
      <m:oMath>
        <m:sSup>
          <m:sSupPr>
            <m:ctrlPr>
              <w:rPr>
                <w:rFonts w:ascii="Cambria Math" w:hAnsi="Cambria Math"/>
                <w:i/>
                <w:lang w:val="en-IE"/>
              </w:rPr>
            </m:ctrlPr>
          </m:sSupPr>
          <m:e>
            <m:r>
              <w:rPr>
                <w:rFonts w:ascii="Cambria Math" w:hAnsi="Cambria Math"/>
                <w:lang w:val="en-IE"/>
              </w:rPr>
              <m:t>η</m:t>
            </m:r>
          </m:e>
          <m:sup>
            <m:r>
              <w:rPr>
                <w:rFonts w:ascii="Cambria Math" w:hAnsi="Cambria Math"/>
                <w:lang w:val="en-IE"/>
              </w:rPr>
              <m:t>2</m:t>
            </m:r>
          </m:sup>
        </m:sSup>
      </m:oMath>
      <w:r w:rsidR="00EE2FAD" w:rsidRPr="00EE2FAD">
        <w:rPr>
          <w:lang w:val="en-IE"/>
        </w:rPr>
        <w:t xml:space="preserve">, which it is not: (a) </w:t>
      </w:r>
      <m:oMath>
        <m:sSup>
          <m:sSupPr>
            <m:ctrlPr>
              <w:rPr>
                <w:rFonts w:ascii="Cambria Math" w:hAnsi="Cambria Math"/>
                <w:i/>
                <w:lang w:val="en-IE"/>
              </w:rPr>
            </m:ctrlPr>
          </m:sSupPr>
          <m:e>
            <m:r>
              <w:rPr>
                <w:rFonts w:ascii="Cambria Math" w:hAnsi="Cambria Math"/>
                <w:lang w:val="en-IE"/>
              </w:rPr>
              <m:t>η</m:t>
            </m:r>
          </m:e>
          <m:sup>
            <m:r>
              <w:rPr>
                <w:rFonts w:ascii="Cambria Math" w:hAnsi="Cambria Math"/>
                <w:lang w:val="en-IE"/>
              </w:rPr>
              <m:t>2</m:t>
            </m:r>
          </m:sup>
        </m:sSup>
      </m:oMath>
      <w:r w:rsidR="00EE2FAD" w:rsidRPr="00EE2FAD">
        <w:rPr>
          <w:lang w:val="en-IE"/>
        </w:rPr>
        <w:t xml:space="preserve"> has a relatively simple mathematical transformation to Pearson’s </w:t>
      </w:r>
      <w:r w:rsidR="00EE2FAD" w:rsidRPr="00E255A3">
        <w:rPr>
          <w:i/>
          <w:lang w:val="en-IE"/>
        </w:rPr>
        <w:t>r</w:t>
      </w:r>
      <w:r w:rsidR="00EE2FAD" w:rsidRPr="00EE2FAD">
        <w:rPr>
          <w:lang w:val="en-IE"/>
        </w:rPr>
        <w:t xml:space="preserve">, </w:t>
      </w:r>
      <w:r w:rsidR="00E255A3">
        <w:rPr>
          <w:lang w:val="en-IE"/>
        </w:rPr>
        <w:t xml:space="preserve">which </w:t>
      </w:r>
      <w:r w:rsidR="00EE2FAD" w:rsidRPr="00EE2FAD">
        <w:rPr>
          <w:lang w:val="en-IE"/>
        </w:rPr>
        <w:t xml:space="preserve">Vahey et al. </w:t>
      </w:r>
      <w:r w:rsidR="00E255A3">
        <w:rPr>
          <w:lang w:val="en-IE"/>
        </w:rPr>
        <w:t xml:space="preserve">(2015) </w:t>
      </w:r>
      <w:r w:rsidR="00EE2FAD" w:rsidRPr="00EE2FAD">
        <w:rPr>
          <w:lang w:val="en-IE"/>
        </w:rPr>
        <w:t xml:space="preserve">appear to have </w:t>
      </w:r>
      <w:r w:rsidR="00E255A3">
        <w:rPr>
          <w:lang w:val="en-IE"/>
        </w:rPr>
        <w:t xml:space="preserve">incorrectly </w:t>
      </w:r>
      <w:r w:rsidR="00EE2FAD" w:rsidRPr="00EE2FAD">
        <w:rPr>
          <w:lang w:val="en-IE"/>
        </w:rPr>
        <w:t xml:space="preserve">applied to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00E255A3">
        <w:rPr>
          <w:lang w:val="en-IE"/>
        </w:rPr>
        <w:t>.</w:t>
      </w:r>
      <w:r w:rsidR="00EE2FAD" w:rsidRPr="00EE2FAD">
        <w:rPr>
          <w:lang w:val="en-IE"/>
        </w:rPr>
        <w:t xml:space="preserve"> </w:t>
      </w:r>
      <w:r w:rsidR="00E255A3">
        <w:rPr>
          <w:lang w:val="en-IE"/>
        </w:rPr>
        <w:t xml:space="preserve">However,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00E255A3">
        <w:rPr>
          <w:lang w:val="en-IE"/>
        </w:rPr>
        <w:t xml:space="preserve"> cannot be converted to </w:t>
      </w:r>
      <w:r w:rsidR="00E255A3" w:rsidRPr="00EE2FAD">
        <w:rPr>
          <w:lang w:val="en-IE"/>
        </w:rPr>
        <w:t xml:space="preserve">Pearson’s </w:t>
      </w:r>
      <w:r w:rsidR="00E255A3" w:rsidRPr="00E255A3">
        <w:rPr>
          <w:i/>
          <w:lang w:val="en-IE"/>
        </w:rPr>
        <w:t>r</w:t>
      </w:r>
      <w:r w:rsidR="00E255A3">
        <w:rPr>
          <w:lang w:val="en-IE"/>
        </w:rPr>
        <w:t xml:space="preserve"> as it is partial correlation. </w:t>
      </w:r>
      <w:r w:rsidR="0036380F">
        <w:rPr>
          <w:lang w:val="en-IE"/>
        </w:rPr>
        <w:t xml:space="preserve">Additionally,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0036380F">
        <w:rPr>
          <w:lang w:val="en-IE"/>
        </w:rPr>
        <w:t xml:space="preserve"> has non-equivalent interpretation between different factorial designs </w:t>
      </w:r>
      <w:r w:rsidR="0036380F">
        <w:rPr>
          <w:lang w:val="en-IE"/>
        </w:rPr>
        <w:fldChar w:fldCharType="begin"/>
      </w:r>
      <w:r w:rsidR="0036380F">
        <w:rPr>
          <w:lang w:val="en-IE"/>
        </w:rPr>
        <w:instrText xml:space="preserve"> ADDIN ZOTERO_ITEM CSL_CITATION {"citationID":"66zczdxl","properties":{"formattedCitation":"(Dani\\uc0\\u235{}l Lakens, 2013)","plainCitation":"(Daniël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schema":"https://github.com/citation-style-language/schema/raw/master/csl-citation.json"} </w:instrText>
      </w:r>
      <w:r w:rsidR="0036380F">
        <w:rPr>
          <w:lang w:val="en-IE"/>
        </w:rPr>
        <w:fldChar w:fldCharType="separate"/>
      </w:r>
      <w:r w:rsidR="0036380F" w:rsidRPr="0036380F">
        <w:rPr>
          <w:rFonts w:cs="CMU Serif Roman"/>
        </w:rPr>
        <w:t>(D</w:t>
      </w:r>
      <w:r w:rsidR="0036380F" w:rsidRPr="002E1C9F">
        <w:rPr>
          <w:rFonts w:cs="CMU Serif Roman"/>
          <w:highlight w:val="yellow"/>
        </w:rPr>
        <w:t>aniël L</w:t>
      </w:r>
      <w:r w:rsidR="0036380F" w:rsidRPr="0036380F">
        <w:rPr>
          <w:rFonts w:cs="CMU Serif Roman"/>
        </w:rPr>
        <w:t>akens, 2013)</w:t>
      </w:r>
      <w:r w:rsidR="0036380F">
        <w:rPr>
          <w:lang w:val="en-IE"/>
        </w:rPr>
        <w:fldChar w:fldCharType="end"/>
      </w:r>
      <w:r w:rsidR="0036380F">
        <w:rPr>
          <w:lang w:val="en-IE"/>
        </w:rPr>
        <w:t>.</w:t>
      </w:r>
      <w:r w:rsidR="00ED6466">
        <w:rPr>
          <w:lang w:val="en-IE"/>
        </w:rPr>
        <w:t xml:space="preserve"> </w:t>
      </w:r>
      <w:r w:rsidR="00DA0BFC">
        <w:rPr>
          <w:lang w:val="en-IE"/>
        </w:rPr>
        <w:t xml:space="preserve">As such, a number of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00DA0BFC">
        <w:rPr>
          <w:lang w:val="en-IE"/>
        </w:rPr>
        <w:t xml:space="preserve"> effect sizes included by Vahey et al. (2015) were not reproduced.  </w:t>
      </w:r>
    </w:p>
    <w:p w14:paraId="429889FB" w14:textId="77777777" w:rsidR="00E5076D" w:rsidRDefault="00ED6466" w:rsidP="001139F6">
      <w:pPr>
        <w:rPr>
          <w:lang w:val="en-IE"/>
        </w:rPr>
      </w:pPr>
      <w:r>
        <w:rPr>
          <w:lang w:val="en-IE"/>
        </w:rPr>
        <w:lastRenderedPageBreak/>
        <w:t>Second, i</w:t>
      </w:r>
      <w:r w:rsidR="00EE2FAD" w:rsidRPr="00EE2FAD">
        <w:rPr>
          <w:lang w:val="en-IE"/>
        </w:rPr>
        <w:t>n some cases, effect sizes reported in Vahey et al.’s</w:t>
      </w:r>
      <w:r>
        <w:rPr>
          <w:lang w:val="en-IE"/>
        </w:rPr>
        <w:t xml:space="preserve"> (2015)</w:t>
      </w:r>
      <w:r w:rsidR="00EE2FAD" w:rsidRPr="00EE2FAD">
        <w:rPr>
          <w:lang w:val="en-IE"/>
        </w:rPr>
        <w:t xml:space="preserve"> supplementary materials did not refer to effect sizes that were reported in the original article (e.g., Timko et al., 2010 Study 1</w:t>
      </w:r>
      <w:r>
        <w:rPr>
          <w:lang w:val="en-IE"/>
        </w:rPr>
        <w:t xml:space="preserve">: </w:t>
      </w:r>
      <w:r w:rsidR="00EE2FAD" w:rsidRPr="00EE2FAD">
        <w:rPr>
          <w:lang w:val="en-IE"/>
        </w:rPr>
        <w:t xml:space="preserve">correlation between overall </w:t>
      </w:r>
      <w:r>
        <w:rPr>
          <w:lang w:val="en-IE"/>
        </w:rPr>
        <w:t xml:space="preserve">IRAP </w:t>
      </w:r>
      <w:r w:rsidR="00EE2FAD" w:rsidRPr="00ED6466">
        <w:rPr>
          <w:i/>
          <w:lang w:val="en-IE"/>
        </w:rPr>
        <w:t>D</w:t>
      </w:r>
      <w:r w:rsidR="00EE2FAD" w:rsidRPr="00EE2FAD">
        <w:rPr>
          <w:lang w:val="en-IE"/>
        </w:rPr>
        <w:t xml:space="preserve"> score and DASS-total).</w:t>
      </w:r>
      <w:r w:rsidR="0098397A">
        <w:rPr>
          <w:lang w:val="en-IE"/>
        </w:rPr>
        <w:t xml:space="preserve"> </w:t>
      </w:r>
    </w:p>
    <w:p w14:paraId="5783797A" w14:textId="46BDD4EE" w:rsidR="00AB64FC" w:rsidRDefault="0098397A" w:rsidP="001139F6">
      <w:pPr>
        <w:rPr>
          <w:lang w:val="en-IE"/>
        </w:rPr>
      </w:pPr>
      <w:r>
        <w:rPr>
          <w:lang w:val="en-IE"/>
        </w:rPr>
        <w:t>Third, i</w:t>
      </w:r>
      <w:r w:rsidR="00EE2FAD" w:rsidRPr="00EE2FAD">
        <w:rPr>
          <w:lang w:val="en-IE"/>
        </w:rPr>
        <w:t xml:space="preserve">n some cases, effect sizes referred to </w:t>
      </w:r>
      <w:r>
        <w:rPr>
          <w:lang w:val="en-IE"/>
        </w:rPr>
        <w:t xml:space="preserve">ANOVAs </w:t>
      </w:r>
      <w:r w:rsidR="00EE2FAD" w:rsidRPr="00EE2FAD">
        <w:rPr>
          <w:lang w:val="en-IE"/>
        </w:rPr>
        <w:t xml:space="preserve">where mean IRAP </w:t>
      </w:r>
      <w:r w:rsidR="00EE2FAD" w:rsidRPr="0098397A">
        <w:rPr>
          <w:i/>
          <w:lang w:val="en-IE"/>
        </w:rPr>
        <w:t>D</w:t>
      </w:r>
      <w:r w:rsidR="00EE2FAD" w:rsidRPr="00EE2FAD">
        <w:rPr>
          <w:lang w:val="en-IE"/>
        </w:rPr>
        <w:t xml:space="preserve"> scores were </w:t>
      </w:r>
      <w:r w:rsidR="005D2D05">
        <w:rPr>
          <w:lang w:val="en-IE"/>
        </w:rPr>
        <w:t xml:space="preserve">used as </w:t>
      </w:r>
      <w:r w:rsidR="00EE2FAD" w:rsidRPr="00EE2FAD">
        <w:rPr>
          <w:lang w:val="en-IE"/>
        </w:rPr>
        <w:t xml:space="preserve">the Dependent Variable (e.g., </w:t>
      </w:r>
      <w:proofErr w:type="spellStart"/>
      <w:r w:rsidR="00EE2FAD" w:rsidRPr="00EE2FAD">
        <w:rPr>
          <w:lang w:val="en-IE"/>
        </w:rPr>
        <w:t>Kosnes</w:t>
      </w:r>
      <w:proofErr w:type="spellEnd"/>
      <w:r w:rsidR="00EE2FAD" w:rsidRPr="00EE2FAD">
        <w:rPr>
          <w:lang w:val="en-IE"/>
        </w:rPr>
        <w:t xml:space="preserve"> et al., 2013, Parling et al., 2012; Hussey et al., 2012; Timko et al., 2010).</w:t>
      </w:r>
      <w:r>
        <w:rPr>
          <w:lang w:val="en-IE"/>
        </w:rPr>
        <w:t xml:space="preserve"> </w:t>
      </w:r>
      <w:r w:rsidR="00A04509">
        <w:rPr>
          <w:lang w:val="en-IE"/>
        </w:rPr>
        <w:t>P</w:t>
      </w:r>
      <w:r w:rsidRPr="0098397A">
        <w:rPr>
          <w:lang w:val="en-IE"/>
        </w:rPr>
        <w:t>redicting mean IRAP effect</w:t>
      </w:r>
      <w:r>
        <w:rPr>
          <w:lang w:val="en-IE"/>
        </w:rPr>
        <w:t>s</w:t>
      </w:r>
      <w:r w:rsidRPr="0098397A">
        <w:rPr>
          <w:lang w:val="en-IE"/>
        </w:rPr>
        <w:t xml:space="preserve"> </w:t>
      </w:r>
      <w:r w:rsidR="00965908">
        <w:rPr>
          <w:lang w:val="en-IE"/>
        </w:rPr>
        <w:t xml:space="preserve">from </w:t>
      </w:r>
      <w:r w:rsidRPr="0098397A">
        <w:rPr>
          <w:lang w:val="en-IE"/>
        </w:rPr>
        <w:t xml:space="preserve">known groups </w:t>
      </w:r>
      <w:r>
        <w:rPr>
          <w:lang w:val="en-IE"/>
        </w:rPr>
        <w:t xml:space="preserve">tells us little about the IRAP’s </w:t>
      </w:r>
      <w:r w:rsidR="0073569A">
        <w:rPr>
          <w:lang w:val="en-IE"/>
        </w:rPr>
        <w:t xml:space="preserve">validity, which would be appropriately assessed by through the </w:t>
      </w:r>
      <w:r>
        <w:rPr>
          <w:lang w:val="en-IE"/>
        </w:rPr>
        <w:t>IRAP’s ability to predict group membership</w:t>
      </w:r>
      <w:r w:rsidR="0073569A">
        <w:rPr>
          <w:lang w:val="en-IE"/>
        </w:rPr>
        <w:t>.</w:t>
      </w:r>
      <w:r>
        <w:rPr>
          <w:lang w:val="en-IE"/>
        </w:rPr>
        <w:t xml:space="preserve"> T</w:t>
      </w:r>
      <w:r w:rsidRPr="0098397A">
        <w:rPr>
          <w:lang w:val="en-IE"/>
        </w:rPr>
        <w:t xml:space="preserve">his analytic </w:t>
      </w:r>
      <w:r w:rsidR="00E93FD9">
        <w:rPr>
          <w:lang w:val="en-IE"/>
        </w:rPr>
        <w:t>issue</w:t>
      </w:r>
      <w:r w:rsidRPr="0098397A">
        <w:rPr>
          <w:lang w:val="en-IE"/>
        </w:rPr>
        <w:t xml:space="preserve"> of </w:t>
      </w:r>
      <w:r w:rsidR="000C58AE">
        <w:rPr>
          <w:lang w:val="en-IE"/>
        </w:rPr>
        <w:t>swapping</w:t>
      </w:r>
      <w:r w:rsidRPr="0098397A">
        <w:rPr>
          <w:lang w:val="en-IE"/>
        </w:rPr>
        <w:t xml:space="preserve"> the IV and DV when attempting to provide evidence for a </w:t>
      </w:r>
      <w:r w:rsidR="00811B2D">
        <w:rPr>
          <w:lang w:val="en-IE"/>
        </w:rPr>
        <w:t>measure’s</w:t>
      </w:r>
      <w:r w:rsidRPr="0098397A">
        <w:rPr>
          <w:lang w:val="en-IE"/>
        </w:rPr>
        <w:t xml:space="preserve"> validity has been well documented elsewhere as a threat to research findings </w:t>
      </w:r>
      <w:r>
        <w:rPr>
          <w:lang w:val="en-IE"/>
        </w:rPr>
        <w:fldChar w:fldCharType="begin"/>
      </w:r>
      <w:r>
        <w:rPr>
          <w:lang w:val="en-IE"/>
        </w:rPr>
        <w:instrText xml:space="preserve"> ADDIN ZOTERO_ITEM CSL_CITATION {"citationID":"mNkFQuR8","properties":{"formattedCitation":"(Fried &amp; Kievit, 2016)","plainCitation":"(Fried &amp; Kievit, 2016)","noteIndex":0},"citationItems":[{"id":8300,"uris":["http://zotero.org/users/1687755/items/ACZEMPZ2"],"uri":["http://zotero.org/users/1687755/items/ACZEMPZ2"],"itemData":{"id":8300,"type":"article-journal","container-title":"Molecular Psychiatry","DOI":"10.1038/mp.2015.199","ISSN":"1359-4184, 1476-5578","issue":"6","language":"en","page":"724-725","source":"Crossref","title":"The volumes of subcortical regions in depressed and healthy individuals are strikingly similar: a reinterpretation of the results by Schmaal et al.","title-short":"The volumes of subcortical regions in depressed and healthy individuals are strikingly similar","volume":"21","author":[{"family":"Fried","given":"E I"},{"family":"Kievit","given":"R A"}],"issued":{"date-parts":[["2016",6]]}}}],"schema":"https://github.com/citation-style-language/schema/raw/master/csl-citation.json"} </w:instrText>
      </w:r>
      <w:r>
        <w:rPr>
          <w:lang w:val="en-IE"/>
        </w:rPr>
        <w:fldChar w:fldCharType="separate"/>
      </w:r>
      <w:r>
        <w:rPr>
          <w:noProof/>
          <w:lang w:val="en-IE"/>
        </w:rPr>
        <w:t>(Fried &amp; Kievit, 2016)</w:t>
      </w:r>
      <w:r>
        <w:rPr>
          <w:lang w:val="en-IE"/>
        </w:rPr>
        <w:fldChar w:fldCharType="end"/>
      </w:r>
      <w:r w:rsidR="000E6344">
        <w:rPr>
          <w:lang w:val="en-IE"/>
        </w:rPr>
        <w:t xml:space="preserve">. </w:t>
      </w:r>
    </w:p>
    <w:p w14:paraId="7B9E80F4" w14:textId="03E77A27" w:rsidR="00DA7AF4" w:rsidRDefault="00DA7AF4" w:rsidP="00034ED5">
      <w:pPr>
        <w:rPr>
          <w:lang w:val="en-IE"/>
        </w:rPr>
      </w:pPr>
      <w:r>
        <w:rPr>
          <w:lang w:val="en-IE"/>
        </w:rPr>
        <w:t xml:space="preserve">Fourth, </w:t>
      </w:r>
      <w:r w:rsidRPr="00EE2FAD">
        <w:rPr>
          <w:lang w:val="en-IE"/>
        </w:rPr>
        <w:t xml:space="preserve">Vahey et al. </w:t>
      </w:r>
      <w:r>
        <w:rPr>
          <w:lang w:val="en-IE"/>
        </w:rPr>
        <w:t xml:space="preserve">(2015) </w:t>
      </w:r>
      <w:r w:rsidRPr="00EE2FAD">
        <w:rPr>
          <w:lang w:val="en-IE"/>
        </w:rPr>
        <w:t xml:space="preserve">included </w:t>
      </w:r>
      <w:r w:rsidRPr="00735EF7">
        <w:rPr>
          <w:highlight w:val="yellow"/>
          <w:lang w:val="en-IE"/>
        </w:rPr>
        <w:t>a large number</w:t>
      </w:r>
      <w:r w:rsidRPr="00EE2FAD">
        <w:rPr>
          <w:lang w:val="en-IE"/>
        </w:rPr>
        <w:t xml:space="preserve"> of</w:t>
      </w:r>
      <w:r>
        <w:rPr>
          <w:lang w:val="en-IE"/>
        </w:rPr>
        <w:t xml:space="preserve"> effect sizes that referred to tests of whether an</w:t>
      </w:r>
      <w:r w:rsidRPr="00EE2FAD">
        <w:rPr>
          <w:lang w:val="en-IE"/>
        </w:rPr>
        <w:t xml:space="preserve"> IRAP effect</w:t>
      </w:r>
      <w:r>
        <w:rPr>
          <w:lang w:val="en-IE"/>
        </w:rPr>
        <w:t xml:space="preserve"> had been demonstrated. That is, whether mean IRAP </w:t>
      </w:r>
      <w:r w:rsidRPr="00DA7AF4">
        <w:rPr>
          <w:i/>
          <w:lang w:val="en-IE"/>
        </w:rPr>
        <w:t>D</w:t>
      </w:r>
      <w:r>
        <w:rPr>
          <w:lang w:val="en-IE"/>
        </w:rPr>
        <w:t xml:space="preserve"> scores were non-zero, or whether </w:t>
      </w:r>
      <w:r w:rsidRPr="00EE2FAD">
        <w:rPr>
          <w:lang w:val="en-IE"/>
        </w:rPr>
        <w:t xml:space="preserve">a reaction time differential </w:t>
      </w:r>
      <w:r>
        <w:rPr>
          <w:lang w:val="en-IE"/>
        </w:rPr>
        <w:t xml:space="preserve">was found between the consistent and inconsistent </w:t>
      </w:r>
      <w:r w:rsidRPr="00EE2FAD">
        <w:rPr>
          <w:lang w:val="en-IE"/>
        </w:rPr>
        <w:t>bloc</w:t>
      </w:r>
      <w:r>
        <w:rPr>
          <w:lang w:val="en-IE"/>
        </w:rPr>
        <w:t xml:space="preserve">ks. </w:t>
      </w:r>
      <w:r w:rsidRPr="00EE2FAD">
        <w:rPr>
          <w:lang w:val="en-IE"/>
        </w:rPr>
        <w:t xml:space="preserve">However, criterion </w:t>
      </w:r>
      <w:r w:rsidR="00F508C1">
        <w:rPr>
          <w:lang w:val="en-IE"/>
        </w:rPr>
        <w:t xml:space="preserve">validity can by definition only be established with reference to external </w:t>
      </w:r>
      <w:r w:rsidRPr="00EE2FAD">
        <w:rPr>
          <w:lang w:val="en-IE"/>
        </w:rPr>
        <w:t>variable</w:t>
      </w:r>
      <w:r w:rsidR="00F508C1">
        <w:rPr>
          <w:lang w:val="en-IE"/>
        </w:rPr>
        <w:t xml:space="preserve">s. </w:t>
      </w:r>
      <w:r w:rsidR="00877221">
        <w:rPr>
          <w:lang w:val="en-IE"/>
        </w:rPr>
        <w:t xml:space="preserve">Quantifying the evidence for IRAP effects in isolation is at odds with Vahey et al.’s (2015) stated goal of assessing the IRAP’s clinically relevant criterion validity. As such, </w:t>
      </w:r>
      <w:r w:rsidR="00877221" w:rsidRPr="008C1BF0">
        <w:rPr>
          <w:highlight w:val="yellow"/>
          <w:lang w:val="en-IE"/>
        </w:rPr>
        <w:t>a number</w:t>
      </w:r>
      <w:r w:rsidR="00877221">
        <w:rPr>
          <w:lang w:val="en-IE"/>
        </w:rPr>
        <w:t xml:space="preserve"> of effect sizes were</w:t>
      </w:r>
      <w:r w:rsidR="009010EC">
        <w:rPr>
          <w:lang w:val="en-IE"/>
        </w:rPr>
        <w:t xml:space="preserve"> not reproduced</w:t>
      </w:r>
      <w:r w:rsidR="001A517A">
        <w:rPr>
          <w:lang w:val="en-IE"/>
        </w:rPr>
        <w:t xml:space="preserve"> for this reason.</w:t>
      </w:r>
    </w:p>
    <w:p w14:paraId="71C21260" w14:textId="629CBB5B" w:rsidR="00EE2FAD" w:rsidRDefault="00DA7AF4" w:rsidP="001139F6">
      <w:pPr>
        <w:rPr>
          <w:lang w:val="en-IE"/>
        </w:rPr>
      </w:pPr>
      <w:r>
        <w:rPr>
          <w:lang w:val="en-IE"/>
        </w:rPr>
        <w:lastRenderedPageBreak/>
        <w:t>Finally</w:t>
      </w:r>
      <w:r w:rsidR="00A66C10">
        <w:rPr>
          <w:lang w:val="en-IE"/>
        </w:rPr>
        <w:t>, s</w:t>
      </w:r>
      <w:r w:rsidR="00EE2FAD" w:rsidRPr="00EE2FAD">
        <w:rPr>
          <w:lang w:val="en-IE"/>
        </w:rPr>
        <w:t xml:space="preserve">ome </w:t>
      </w:r>
      <w:r w:rsidR="00A66C10">
        <w:rPr>
          <w:lang w:val="en-IE"/>
        </w:rPr>
        <w:t xml:space="preserve">effect sizes </w:t>
      </w:r>
      <w:r w:rsidR="00EE2FAD" w:rsidRPr="00EE2FAD">
        <w:rPr>
          <w:lang w:val="en-IE"/>
        </w:rPr>
        <w:t>were not reported in sufficient detail in the original paper to allow for the calculation of an effect size</w:t>
      </w:r>
      <w:r w:rsidR="00A66C10">
        <w:rPr>
          <w:lang w:val="en-IE"/>
        </w:rPr>
        <w:t xml:space="preserve">. In such cases, I contacted the original authors, however in many cases I was not able to obtain additional data. </w:t>
      </w:r>
      <w:r w:rsidR="00EB5F63">
        <w:rPr>
          <w:lang w:val="en-IE"/>
        </w:rPr>
        <w:t xml:space="preserve">These cases represent greater success </w:t>
      </w:r>
      <w:r w:rsidR="00362AAC">
        <w:rPr>
          <w:lang w:val="en-IE"/>
        </w:rPr>
        <w:t>by</w:t>
      </w:r>
      <w:r w:rsidR="00EB5F63">
        <w:rPr>
          <w:lang w:val="en-IE"/>
        </w:rPr>
        <w:t xml:space="preserve"> Vahey et al. (2015) </w:t>
      </w:r>
      <w:r w:rsidR="00362AAC">
        <w:rPr>
          <w:lang w:val="en-IE"/>
        </w:rPr>
        <w:t>in assembling results than I was able to achieve</w:t>
      </w:r>
      <w:r w:rsidR="00EB5F63">
        <w:rPr>
          <w:lang w:val="en-IE"/>
        </w:rPr>
        <w:t>.</w:t>
      </w:r>
    </w:p>
    <w:p w14:paraId="31CC8C6B" w14:textId="65C486B5" w:rsidR="0001495B" w:rsidRDefault="0001495B" w:rsidP="001139F6">
      <w:pPr>
        <w:rPr>
          <w:lang w:val="en-IE"/>
        </w:rPr>
      </w:pPr>
      <w:r>
        <w:rPr>
          <w:lang w:val="en-IE"/>
        </w:rPr>
        <w:t xml:space="preserve">In total, only </w:t>
      </w:r>
      <w:r w:rsidRPr="00791DC6">
        <w:rPr>
          <w:highlight w:val="yellow"/>
          <w:lang w:val="en-IE"/>
        </w:rPr>
        <w:t>XX of XX</w:t>
      </w:r>
      <w:r>
        <w:rPr>
          <w:lang w:val="en-IE"/>
        </w:rPr>
        <w:t xml:space="preserve"> effect sizes </w:t>
      </w:r>
      <w:r w:rsidR="00DA45E7">
        <w:rPr>
          <w:lang w:val="en-IE"/>
        </w:rPr>
        <w:t xml:space="preserve">included in Vahey et al.’s (2015) supplementary materials </w:t>
      </w:r>
      <w:r>
        <w:rPr>
          <w:lang w:val="en-IE"/>
        </w:rPr>
        <w:t xml:space="preserve">were </w:t>
      </w:r>
      <w:r w:rsidR="006A1252">
        <w:rPr>
          <w:lang w:val="en-IE"/>
        </w:rPr>
        <w:t>found</w:t>
      </w:r>
      <w:r>
        <w:rPr>
          <w:lang w:val="en-IE"/>
        </w:rPr>
        <w:t xml:space="preserve"> to be computationally reproducible</w:t>
      </w:r>
      <w:r w:rsidR="0076531A">
        <w:rPr>
          <w:lang w:val="en-IE"/>
        </w:rPr>
        <w:t>.</w:t>
      </w:r>
      <w:r w:rsidR="009B2296">
        <w:rPr>
          <w:lang w:val="en-IE"/>
        </w:rPr>
        <w:t xml:space="preserve"> Where reextracted values were found to differ, these differences were generally in the IRAP’s favour in Vahey et al. (2015, see Figure </w:t>
      </w:r>
      <w:r w:rsidR="009B2296" w:rsidRPr="009B2296">
        <w:rPr>
          <w:highlight w:val="yellow"/>
          <w:lang w:val="en-IE"/>
        </w:rPr>
        <w:t>XX</w:t>
      </w:r>
      <w:r w:rsidR="009B2296">
        <w:rPr>
          <w:lang w:val="en-IE"/>
        </w:rPr>
        <w:t>).</w:t>
      </w:r>
    </w:p>
    <w:p w14:paraId="60FC96D4" w14:textId="40944862" w:rsidR="00C25389" w:rsidRPr="00C462B6" w:rsidRDefault="00147BEF" w:rsidP="003D4E29">
      <w:pPr>
        <w:pStyle w:val="Heading2"/>
      </w:pPr>
      <w:r w:rsidRPr="0074538C">
        <w:rPr>
          <w:highlight w:val="yellow"/>
        </w:rPr>
        <w:t>Selection of effect sizes</w:t>
      </w:r>
    </w:p>
    <w:p w14:paraId="304BE204" w14:textId="77777777" w:rsidR="000D155D" w:rsidRPr="000D155D" w:rsidRDefault="000D155D" w:rsidP="000D155D">
      <w:pPr>
        <w:rPr>
          <w:highlight w:val="yellow"/>
        </w:rPr>
      </w:pPr>
      <w:r w:rsidRPr="000D155D">
        <w:rPr>
          <w:highlight w:val="yellow"/>
        </w:rPr>
        <w:t>Vahey et al.’s extractions were incorrect, but also his choices for what to include or not were also highly questionable.</w:t>
      </w:r>
    </w:p>
    <w:p w14:paraId="6A2A7863" w14:textId="77777777" w:rsidR="000D155D" w:rsidRPr="000D155D" w:rsidRDefault="000D155D" w:rsidP="000D155D">
      <w:pPr>
        <w:pStyle w:val="ListParagraph"/>
        <w:numPr>
          <w:ilvl w:val="0"/>
          <w:numId w:val="12"/>
        </w:numPr>
        <w:rPr>
          <w:highlight w:val="yellow"/>
        </w:rPr>
      </w:pPr>
      <w:r w:rsidRPr="000D155D">
        <w:rPr>
          <w:highlight w:val="yellow"/>
        </w:rPr>
        <w:t>No mention of how many effect sizes were considered or rejected.</w:t>
      </w:r>
    </w:p>
    <w:p w14:paraId="7A594BFF" w14:textId="77777777" w:rsidR="000D155D" w:rsidRPr="000D155D" w:rsidRDefault="000D155D" w:rsidP="000D155D">
      <w:pPr>
        <w:pStyle w:val="ListParagraph"/>
        <w:numPr>
          <w:ilvl w:val="0"/>
          <w:numId w:val="12"/>
        </w:numPr>
        <w:rPr>
          <w:highlight w:val="yellow"/>
        </w:rPr>
      </w:pPr>
      <w:r w:rsidRPr="000D155D">
        <w:rPr>
          <w:highlight w:val="yellow"/>
        </w:rPr>
        <w:t>Questionable omissions and blinding. Examples.</w:t>
      </w:r>
    </w:p>
    <w:p w14:paraId="4EC57444" w14:textId="77777777" w:rsidR="000D155D" w:rsidRPr="000D155D" w:rsidRDefault="000D155D" w:rsidP="000D155D">
      <w:pPr>
        <w:pStyle w:val="ListParagraph"/>
        <w:numPr>
          <w:ilvl w:val="0"/>
          <w:numId w:val="12"/>
        </w:numPr>
        <w:rPr>
          <w:highlight w:val="yellow"/>
        </w:rPr>
      </w:pPr>
      <w:r w:rsidRPr="000D155D">
        <w:rPr>
          <w:highlight w:val="yellow"/>
        </w:rPr>
        <w:t>Significance from zero effects</w:t>
      </w:r>
    </w:p>
    <w:p w14:paraId="080A2DA6" w14:textId="77777777" w:rsidR="000D155D" w:rsidRPr="000D155D" w:rsidRDefault="000D155D" w:rsidP="000D155D">
      <w:pPr>
        <w:pStyle w:val="ListParagraph"/>
        <w:numPr>
          <w:ilvl w:val="0"/>
          <w:numId w:val="12"/>
        </w:numPr>
        <w:rPr>
          <w:highlight w:val="yellow"/>
        </w:rPr>
      </w:pPr>
      <w:r w:rsidRPr="000D155D">
        <w:rPr>
          <w:highlight w:val="yellow"/>
        </w:rPr>
        <w:t>IRAP as the DV</w:t>
      </w:r>
    </w:p>
    <w:p w14:paraId="0985DDB9" w14:textId="77777777" w:rsidR="000D155D" w:rsidRPr="000D155D" w:rsidRDefault="000D155D" w:rsidP="000D155D">
      <w:pPr>
        <w:pStyle w:val="ListParagraph"/>
        <w:numPr>
          <w:ilvl w:val="0"/>
          <w:numId w:val="12"/>
        </w:numPr>
        <w:rPr>
          <w:highlight w:val="yellow"/>
        </w:rPr>
      </w:pPr>
      <w:r w:rsidRPr="000D155D">
        <w:rPr>
          <w:highlight w:val="yellow"/>
        </w:rPr>
        <w:t xml:space="preserve">Retrospective </w:t>
      </w:r>
      <w:r w:rsidRPr="000D155D">
        <w:rPr>
          <w:i/>
          <w:highlight w:val="yellow"/>
        </w:rPr>
        <w:t>a priori</w:t>
      </w:r>
      <w:r w:rsidRPr="000D155D">
        <w:rPr>
          <w:highlight w:val="yellow"/>
        </w:rPr>
        <w:t xml:space="preserve"> predictions</w:t>
      </w:r>
    </w:p>
    <w:p w14:paraId="2C14AD5F" w14:textId="32AEB9DA" w:rsidR="000D155D" w:rsidRDefault="000D155D" w:rsidP="0029064B">
      <w:pPr>
        <w:pStyle w:val="ListParagraph"/>
        <w:numPr>
          <w:ilvl w:val="0"/>
          <w:numId w:val="12"/>
        </w:numPr>
        <w:rPr>
          <w:highlight w:val="yellow"/>
        </w:rPr>
      </w:pPr>
      <w:r w:rsidRPr="000D155D">
        <w:rPr>
          <w:highlight w:val="yellow"/>
        </w:rPr>
        <w:t>Inclusion of effects that do not meet the inclusion criterion of clinical relevance.</w:t>
      </w:r>
    </w:p>
    <w:p w14:paraId="594627F0" w14:textId="379DBE4B" w:rsidR="00410BB6" w:rsidRDefault="00F578DA" w:rsidP="00874215">
      <w:r>
        <w:t xml:space="preserve">Vahey et al. extracted 56 effect sizes from 15 articles, but provided no information about the number of effects that were not included or details of these </w:t>
      </w:r>
      <w:r>
        <w:lastRenderedPageBreak/>
        <w:t xml:space="preserve">excluded effects. I re-extracted all effect sizes reported in these 15 articles, resulting in 334 effect sizes. Some additional effect sizes were found that were non-independent with the extracted ones (e.g., follow-up </w:t>
      </w:r>
      <w:r w:rsidRPr="00F578DA">
        <w:rPr>
          <w:i/>
        </w:rPr>
        <w:t>t</w:t>
      </w:r>
      <w:r>
        <w:t xml:space="preserve"> tests after ANOVA, correlations with the overall IRAP score when its component trial types were also correlated, or correlations with a scale’s sum score when </w:t>
      </w:r>
      <w:r w:rsidR="00BF5F1B">
        <w:t xml:space="preserve">correlations with </w:t>
      </w:r>
      <w:r>
        <w:t xml:space="preserve">its subscale sum scores were also available). </w:t>
      </w:r>
    </w:p>
    <w:p w14:paraId="741CB250" w14:textId="01B97D4C" w:rsidR="00F578DA" w:rsidRDefault="00F578DA" w:rsidP="00874215">
      <w:pPr>
        <w:rPr>
          <w:lang w:val="en-IE"/>
        </w:rPr>
      </w:pPr>
      <w:r>
        <w:t>Two independent raters then rated each effect (both the IRAP domain and the criterion) for clinical relevance using Vahey</w:t>
      </w:r>
      <w:r w:rsidR="0074538C">
        <w:t xml:space="preserve"> et al.</w:t>
      </w:r>
      <w:r>
        <w:t xml:space="preserve">’s </w:t>
      </w:r>
      <w:r w:rsidR="0074538C">
        <w:t xml:space="preserve">(2015) </w:t>
      </w:r>
      <w:r>
        <w:t xml:space="preserve">definition. </w:t>
      </w:r>
      <w:r w:rsidRPr="00F578DA">
        <w:rPr>
          <w:lang w:val="en-IE"/>
        </w:rPr>
        <w:t xml:space="preserve">If </w:t>
      </w:r>
      <w:r w:rsidR="005100CA">
        <w:rPr>
          <w:lang w:val="en-IE"/>
        </w:rPr>
        <w:t>both</w:t>
      </w:r>
      <w:r w:rsidRPr="00F578DA">
        <w:rPr>
          <w:lang w:val="en-IE"/>
        </w:rPr>
        <w:t xml:space="preserve"> </w:t>
      </w:r>
      <w:proofErr w:type="spellStart"/>
      <w:r w:rsidRPr="00F578DA">
        <w:rPr>
          <w:lang w:val="en-IE"/>
        </w:rPr>
        <w:t>rater</w:t>
      </w:r>
      <w:r w:rsidR="005100CA">
        <w:rPr>
          <w:lang w:val="en-IE"/>
        </w:rPr>
        <w:t>s</w:t>
      </w:r>
      <w:proofErr w:type="spellEnd"/>
      <w:r w:rsidRPr="00F578DA">
        <w:rPr>
          <w:lang w:val="en-IE"/>
        </w:rPr>
        <w:t xml:space="preserve"> </w:t>
      </w:r>
      <w:r w:rsidR="00A86191">
        <w:rPr>
          <w:lang w:val="en-IE"/>
        </w:rPr>
        <w:t>scored</w:t>
      </w:r>
      <w:r w:rsidRPr="00F578DA">
        <w:rPr>
          <w:lang w:val="en-IE"/>
        </w:rPr>
        <w:t xml:space="preserve"> the effect as clinically relevant it was included in the meta-analysis. Agreement was found in 90% of cases (Cohen’s </w:t>
      </w:r>
      <m:oMath>
        <m:r>
          <w:rPr>
            <w:rFonts w:ascii="Cambria Math" w:hAnsi="Cambria Math"/>
            <w:lang w:val="en-IE"/>
          </w:rPr>
          <m:t>κ</m:t>
        </m:r>
      </m:oMath>
      <w:r w:rsidR="00927A58">
        <w:rPr>
          <w:lang w:val="en-IE"/>
        </w:rPr>
        <w:t xml:space="preserve"> </w:t>
      </w:r>
      <w:r w:rsidRPr="00F578DA">
        <w:rPr>
          <w:lang w:val="en-IE"/>
        </w:rPr>
        <w:t xml:space="preserve">= 0.88, </w:t>
      </w:r>
      <w:r w:rsidRPr="00F578DA">
        <w:rPr>
          <w:i/>
          <w:lang w:val="en-IE"/>
        </w:rPr>
        <w:t>p</w:t>
      </w:r>
      <w:r w:rsidRPr="00F578DA">
        <w:rPr>
          <w:lang w:val="en-IE"/>
        </w:rPr>
        <w:t xml:space="preserve"> &lt; .0001). </w:t>
      </w:r>
    </w:p>
    <w:p w14:paraId="7E3C80CF" w14:textId="324421E4" w:rsidR="00952F89" w:rsidRPr="00874215" w:rsidRDefault="00874215" w:rsidP="00874215">
      <w:r>
        <w:rPr>
          <w:lang w:val="en-IE"/>
        </w:rPr>
        <w:t>Effect sizes were excluded if they were not rated as clinically relevant</w:t>
      </w:r>
      <w:r>
        <w:rPr>
          <w:lang w:val="en-IE"/>
        </w:rPr>
        <w:t xml:space="preserve">. </w:t>
      </w:r>
      <w:r>
        <w:t xml:space="preserve">No exclusions were made on the basis of ‘retrospective a priori predictions’ </w:t>
      </w:r>
      <w:r w:rsidRPr="00874215">
        <w:rPr>
          <w:highlight w:val="yellow"/>
        </w:rPr>
        <w:t>for the reasons discussed above</w:t>
      </w:r>
      <w:r>
        <w:t>.</w:t>
      </w:r>
      <w:r>
        <w:t xml:space="preserve"> </w:t>
      </w:r>
      <w:r w:rsidR="00952F89" w:rsidRPr="00A067A4">
        <w:rPr>
          <w:color w:val="FF0000"/>
        </w:rPr>
        <w:t xml:space="preserve">144 effect sizes remained </w:t>
      </w:r>
      <w:r w:rsidR="00410BB6">
        <w:rPr>
          <w:color w:val="FF0000"/>
        </w:rPr>
        <w:t>were selected for inclusion in the meta-analysis</w:t>
      </w:r>
      <w:r w:rsidR="00952F89" w:rsidRPr="00A067A4">
        <w:rPr>
          <w:color w:val="FF0000"/>
        </w:rPr>
        <w:t>.</w:t>
      </w:r>
    </w:p>
    <w:p w14:paraId="2192AB8D" w14:textId="1323508D" w:rsidR="00634C36" w:rsidRDefault="006A7A3F" w:rsidP="00634C36">
      <w:pPr>
        <w:pStyle w:val="Heading2"/>
        <w:rPr>
          <w:lang w:val="en-IE"/>
        </w:rPr>
      </w:pPr>
      <w:r>
        <w:t>Re</w:t>
      </w:r>
      <w:r>
        <w:t>vised</w:t>
      </w:r>
      <w:r>
        <w:rPr>
          <w:lang w:val="en-IE"/>
        </w:rPr>
        <w:t xml:space="preserve"> </w:t>
      </w:r>
      <w:r w:rsidR="00F505BC">
        <w:rPr>
          <w:lang w:val="en-IE"/>
        </w:rPr>
        <w:t>meta-analysis</w:t>
      </w:r>
    </w:p>
    <w:p w14:paraId="2083276A" w14:textId="2FFA0A9C" w:rsidR="00665D0E" w:rsidRDefault="00E06989" w:rsidP="009E7E38">
      <w:pPr>
        <w:rPr>
          <w:lang w:val="en-IE"/>
        </w:rPr>
      </w:pPr>
      <w:r>
        <w:rPr>
          <w:lang w:val="en-IE"/>
        </w:rPr>
        <w:t>O</w:t>
      </w:r>
      <w:r w:rsidR="00CF0F00">
        <w:rPr>
          <w:lang w:val="en-IE"/>
        </w:rPr>
        <w:t xml:space="preserve">ne could argue that </w:t>
      </w:r>
      <w:r>
        <w:rPr>
          <w:lang w:val="en-IE"/>
        </w:rPr>
        <w:t xml:space="preserve">while some of the above steps were </w:t>
      </w:r>
      <w:r w:rsidR="00410BB6">
        <w:rPr>
          <w:lang w:val="en-IE"/>
        </w:rPr>
        <w:t>not f</w:t>
      </w:r>
      <w:r>
        <w:rPr>
          <w:lang w:val="en-IE"/>
        </w:rPr>
        <w:t xml:space="preserve">ound to be computationally reproducible, the </w:t>
      </w:r>
      <w:r w:rsidR="00CF0F00">
        <w:rPr>
          <w:lang w:val="en-IE"/>
        </w:rPr>
        <w:t>differences between the results reported by Vahey et al. (2015) and th</w:t>
      </w:r>
      <w:r w:rsidR="005852C0">
        <w:rPr>
          <w:lang w:val="en-IE"/>
        </w:rPr>
        <w:t xml:space="preserve">e reproduced results </w:t>
      </w:r>
      <w:r w:rsidR="00CF0F00">
        <w:rPr>
          <w:lang w:val="en-IE"/>
        </w:rPr>
        <w:t xml:space="preserve">here are small </w:t>
      </w:r>
      <w:r>
        <w:rPr>
          <w:lang w:val="en-IE"/>
        </w:rPr>
        <w:t xml:space="preserve">in many cases </w:t>
      </w:r>
      <w:r w:rsidR="00CF0F00">
        <w:rPr>
          <w:lang w:val="en-IE"/>
        </w:rPr>
        <w:t xml:space="preserve">(e.g., </w:t>
      </w:r>
      <w:r>
        <w:rPr>
          <w:lang w:val="en-IE"/>
        </w:rPr>
        <w:t xml:space="preserve">the </w:t>
      </w:r>
      <w:r w:rsidR="008E7BF5">
        <w:rPr>
          <w:lang w:val="en-IE"/>
        </w:rPr>
        <w:t xml:space="preserve">meta-analytic effect size estimate). However, </w:t>
      </w:r>
      <w:r>
        <w:rPr>
          <w:lang w:val="en-IE"/>
        </w:rPr>
        <w:t xml:space="preserve">it is important to appreciate that the </w:t>
      </w:r>
      <w:r w:rsidR="00620BA7">
        <w:rPr>
          <w:lang w:val="en-IE"/>
        </w:rPr>
        <w:t>individual step</w:t>
      </w:r>
      <w:r>
        <w:rPr>
          <w:lang w:val="en-IE"/>
        </w:rPr>
        <w:t>s</w:t>
      </w:r>
      <w:r w:rsidR="00620BA7">
        <w:rPr>
          <w:lang w:val="en-IE"/>
        </w:rPr>
        <w:t xml:space="preserve"> can</w:t>
      </w:r>
      <w:r>
        <w:rPr>
          <w:lang w:val="en-IE"/>
        </w:rPr>
        <w:t xml:space="preserve">not </w:t>
      </w:r>
      <w:r w:rsidR="00620BA7">
        <w:rPr>
          <w:lang w:val="en-IE"/>
        </w:rPr>
        <w:t>be viewed in isolation</w:t>
      </w:r>
      <w:r w:rsidR="00A34BED">
        <w:rPr>
          <w:lang w:val="en-IE"/>
        </w:rPr>
        <w:t>. For example, the</w:t>
      </w:r>
      <w:r w:rsidR="00006FFE">
        <w:rPr>
          <w:lang w:val="en-IE"/>
        </w:rPr>
        <w:t xml:space="preserve"> impact of issues early on the analytic process (e.g., the extraction and conversion of </w:t>
      </w:r>
      <w:r w:rsidR="00620BA7">
        <w:rPr>
          <w:lang w:val="en-IE"/>
        </w:rPr>
        <w:t>effect sizes</w:t>
      </w:r>
      <w:r w:rsidR="00006FFE">
        <w:rPr>
          <w:lang w:val="en-IE"/>
        </w:rPr>
        <w:t xml:space="preserve">) may </w:t>
      </w:r>
      <w:r w:rsidR="00006FFE">
        <w:rPr>
          <w:lang w:val="en-IE"/>
        </w:rPr>
        <w:lastRenderedPageBreak/>
        <w:t xml:space="preserve">have implications for later steps (e.g., the </w:t>
      </w:r>
      <w:r w:rsidR="00A34BED">
        <w:rPr>
          <w:lang w:val="en-IE"/>
        </w:rPr>
        <w:t>meta-analytic effect size estimate</w:t>
      </w:r>
      <w:r w:rsidR="00006FFE">
        <w:rPr>
          <w:lang w:val="en-IE"/>
        </w:rPr>
        <w:t xml:space="preserve">) that are not visible when attempting to reproduce each step separately. </w:t>
      </w:r>
      <w:r w:rsidR="000E19BC">
        <w:rPr>
          <w:lang w:val="en-IE"/>
        </w:rPr>
        <w:t xml:space="preserve">In order to assess the compound impact of </w:t>
      </w:r>
      <w:r w:rsidR="00A16808">
        <w:rPr>
          <w:lang w:val="en-IE"/>
        </w:rPr>
        <w:t>the</w:t>
      </w:r>
      <w:r w:rsidR="004F2358">
        <w:rPr>
          <w:lang w:val="en-IE"/>
        </w:rPr>
        <w:t>se</w:t>
      </w:r>
      <w:r w:rsidR="00A16808">
        <w:rPr>
          <w:lang w:val="en-IE"/>
        </w:rPr>
        <w:t xml:space="preserve"> reproducibility issues </w:t>
      </w:r>
      <w:r w:rsidR="00443928">
        <w:rPr>
          <w:lang w:val="en-IE"/>
        </w:rPr>
        <w:t>on</w:t>
      </w:r>
      <w:r w:rsidR="00A16808">
        <w:rPr>
          <w:lang w:val="en-IE"/>
        </w:rPr>
        <w:t xml:space="preserve"> </w:t>
      </w:r>
      <w:r w:rsidR="00D72CAF">
        <w:rPr>
          <w:lang w:val="en-IE"/>
        </w:rPr>
        <w:t xml:space="preserve">Vahey et al.’s (2015) </w:t>
      </w:r>
      <w:r w:rsidR="00A16808">
        <w:rPr>
          <w:lang w:val="en-IE"/>
        </w:rPr>
        <w:t xml:space="preserve">conclusions, </w:t>
      </w:r>
      <w:r w:rsidR="000E19BC">
        <w:rPr>
          <w:lang w:val="en-IE"/>
        </w:rPr>
        <w:t xml:space="preserve">a </w:t>
      </w:r>
      <w:r w:rsidR="0012699D">
        <w:rPr>
          <w:lang w:val="en-IE"/>
        </w:rPr>
        <w:t>revised</w:t>
      </w:r>
      <w:r w:rsidR="000E19BC">
        <w:rPr>
          <w:lang w:val="en-IE"/>
        </w:rPr>
        <w:t xml:space="preserve"> meta-analysis </w:t>
      </w:r>
      <w:r w:rsidR="0012699D">
        <w:rPr>
          <w:lang w:val="en-IE"/>
        </w:rPr>
        <w:t xml:space="preserve">was </w:t>
      </w:r>
      <w:r w:rsidR="000E19BC">
        <w:rPr>
          <w:lang w:val="en-IE"/>
        </w:rPr>
        <w:t>conducted</w:t>
      </w:r>
      <w:r w:rsidR="004A3732">
        <w:rPr>
          <w:lang w:val="en-IE"/>
        </w:rPr>
        <w:t xml:space="preserve"> using the reextracted effect sizes.</w:t>
      </w:r>
    </w:p>
    <w:p w14:paraId="3D4703C3" w14:textId="0177DA38" w:rsidR="00502D65" w:rsidRPr="00A067A4" w:rsidRDefault="000042A4" w:rsidP="00A067A4">
      <w:pPr>
        <w:rPr>
          <w:lang w:val="en-IE"/>
        </w:rPr>
      </w:pPr>
      <w:r>
        <w:rPr>
          <w:lang w:val="en-IE"/>
        </w:rPr>
        <w:t xml:space="preserve">The meta-analytic strategy was </w:t>
      </w:r>
      <w:r w:rsidR="00CC2C84">
        <w:rPr>
          <w:lang w:val="en-IE"/>
        </w:rPr>
        <w:t>updated</w:t>
      </w:r>
      <w:r>
        <w:rPr>
          <w:lang w:val="en-IE"/>
        </w:rPr>
        <w:t xml:space="preserve"> in the following ways relative to Vahey et al. (2015) in order to employ contemporary standards.</w:t>
      </w:r>
      <w:r w:rsidR="00A067A4">
        <w:rPr>
          <w:lang w:val="en-IE"/>
        </w:rPr>
        <w:t xml:space="preserve"> </w:t>
      </w:r>
      <w:r>
        <w:rPr>
          <w:lang w:val="en-IE"/>
        </w:rPr>
        <w:t>Effect sizes were w</w:t>
      </w:r>
      <w:r w:rsidRPr="000042A4">
        <w:rPr>
          <w:lang w:val="en-IE"/>
        </w:rPr>
        <w:t>eighting by inverse variance</w:t>
      </w:r>
      <w:r w:rsidR="007910AC">
        <w:rPr>
          <w:lang w:val="en-IE"/>
        </w:rPr>
        <w:t>s</w:t>
      </w:r>
      <w:r w:rsidRPr="000042A4">
        <w:rPr>
          <w:lang w:val="en-IE"/>
        </w:rPr>
        <w:t xml:space="preserve"> rather than sample size, </w:t>
      </w:r>
      <w:r>
        <w:rPr>
          <w:lang w:val="en-IE"/>
        </w:rPr>
        <w:t xml:space="preserve">on the basis that </w:t>
      </w:r>
      <w:r w:rsidRPr="000042A4">
        <w:rPr>
          <w:lang w:val="en-IE"/>
        </w:rPr>
        <w:t xml:space="preserve">sample size provides a poorer proxy of measurement error. </w:t>
      </w:r>
      <w:r>
        <w:rPr>
          <w:lang w:val="en-IE"/>
        </w:rPr>
        <w:t xml:space="preserve">Effect sizes were transformed using </w:t>
      </w:r>
      <w:r w:rsidRPr="000042A4">
        <w:rPr>
          <w:lang w:val="en-IE"/>
        </w:rPr>
        <w:t xml:space="preserve">Fishers </w:t>
      </w:r>
      <w:r w:rsidRPr="000042A4">
        <w:rPr>
          <w:i/>
          <w:lang w:val="en-IE"/>
        </w:rPr>
        <w:t>r</w:t>
      </w:r>
      <w:r w:rsidRPr="000042A4">
        <w:rPr>
          <w:lang w:val="en-IE"/>
        </w:rPr>
        <w:t>-to-</w:t>
      </w:r>
      <w:r w:rsidRPr="000042A4">
        <w:rPr>
          <w:i/>
          <w:lang w:val="en-IE"/>
        </w:rPr>
        <w:t>z</w:t>
      </w:r>
      <w:r w:rsidRPr="000042A4">
        <w:rPr>
          <w:lang w:val="en-IE"/>
        </w:rPr>
        <w:t xml:space="preserve"> transformations </w:t>
      </w:r>
      <w:r>
        <w:rPr>
          <w:lang w:val="en-IE"/>
        </w:rPr>
        <w:t xml:space="preserve">prior to meta-analysis, in order to deal with </w:t>
      </w:r>
      <w:r w:rsidRPr="000042A4">
        <w:rPr>
          <w:lang w:val="en-IE"/>
        </w:rPr>
        <w:t xml:space="preserve">ceiling effects </w:t>
      </w:r>
      <w:r>
        <w:rPr>
          <w:lang w:val="en-IE"/>
        </w:rPr>
        <w:t>in C</w:t>
      </w:r>
      <w:r w:rsidRPr="000042A4">
        <w:rPr>
          <w:lang w:val="en-IE"/>
        </w:rPr>
        <w:t xml:space="preserve">onfidence </w:t>
      </w:r>
      <w:r>
        <w:rPr>
          <w:lang w:val="en-IE"/>
        </w:rPr>
        <w:t>I</w:t>
      </w:r>
      <w:r w:rsidRPr="000042A4">
        <w:rPr>
          <w:lang w:val="en-IE"/>
        </w:rPr>
        <w:t>ntervals</w:t>
      </w:r>
      <w:r w:rsidR="00285434">
        <w:rPr>
          <w:lang w:val="en-IE"/>
        </w:rPr>
        <w:t xml:space="preserve">, and results were back transformed for </w:t>
      </w:r>
      <w:r w:rsidR="00BF5F1B">
        <w:rPr>
          <w:lang w:val="en-IE"/>
        </w:rPr>
        <w:t>reporting</w:t>
      </w:r>
      <w:r w:rsidRPr="000042A4">
        <w:rPr>
          <w:lang w:val="en-IE"/>
        </w:rPr>
        <w:t>.</w:t>
      </w:r>
      <w:r w:rsidR="004541BC">
        <w:rPr>
          <w:lang w:val="en-IE"/>
        </w:rPr>
        <w:t xml:space="preserve"> A </w:t>
      </w:r>
      <w:r w:rsidR="004541BC">
        <w:t>Restricted Maximum Likelihood estimator function</w:t>
      </w:r>
      <w:r w:rsidR="004541BC">
        <w:t xml:space="preserve"> was used. </w:t>
      </w:r>
      <w:r w:rsidR="002959F9">
        <w:t xml:space="preserve">Recent results from simulation studies suggests that the method employed by Vahey et al. (2015) to deal with the non-independence of multiple effect sizes estimates from a given study (i.e., weighted-mean effect sizes) provides poor statistical power. The more powerful and recommended approach of employ a multi-level meta-analysis model was employed instead (REF). </w:t>
      </w:r>
      <w:r w:rsidR="002959F9">
        <w:t xml:space="preserve">The individual effect sizes were entered in the model without averaging, and their source article was entered as a random effect (i.e., random intercept). </w:t>
      </w:r>
    </w:p>
    <w:p w14:paraId="7BEFC16D" w14:textId="2812C28C" w:rsidR="00502D65" w:rsidRPr="00F05172" w:rsidRDefault="00502D65" w:rsidP="00FA1258">
      <w:pPr>
        <w:rPr>
          <w:color w:val="000000" w:themeColor="text1"/>
          <w:lang w:val="en-IE"/>
        </w:rPr>
      </w:pPr>
      <w:r w:rsidRPr="00E7398C">
        <w:t xml:space="preserve">Results demonstrated a meta effect size </w:t>
      </w:r>
      <w:r w:rsidR="00F05172" w:rsidRPr="00E7398C">
        <w:rPr>
          <w:i/>
          <w:color w:val="000000" w:themeColor="text1"/>
          <w:lang w:val="en-IE"/>
        </w:rPr>
        <w:t>r</w:t>
      </w:r>
      <w:r w:rsidR="00F05172" w:rsidRPr="00E7398C">
        <w:rPr>
          <w:color w:val="000000" w:themeColor="text1"/>
          <w:lang w:val="en-IE"/>
        </w:rPr>
        <w:t xml:space="preserve"> = .18, 95% CI [.10, .26], 95% CR [-.04, .39], </w:t>
      </w:r>
      <w:r w:rsidR="00F05172" w:rsidRPr="00E7398C">
        <w:rPr>
          <w:i/>
          <w:color w:val="000000" w:themeColor="text1"/>
          <w:lang w:val="en-IE"/>
        </w:rPr>
        <w:t>p</w:t>
      </w:r>
      <w:r w:rsidR="00F05172" w:rsidRPr="00E7398C">
        <w:rPr>
          <w:color w:val="000000" w:themeColor="text1"/>
          <w:lang w:val="en-IE"/>
        </w:rPr>
        <w:t xml:space="preserve"> = .00001</w:t>
      </w:r>
      <w:r w:rsidR="00F05172" w:rsidRPr="00E7398C">
        <w:rPr>
          <w:color w:val="000000" w:themeColor="text1"/>
          <w:lang w:val="en-IE"/>
        </w:rPr>
        <w:t xml:space="preserve">. </w:t>
      </w:r>
      <w:r w:rsidR="00FA1258" w:rsidRPr="00E7398C">
        <w:rPr>
          <w:color w:val="000000" w:themeColor="text1"/>
          <w:lang w:val="en-IE"/>
        </w:rPr>
        <w:t>No e</w:t>
      </w:r>
      <w:r w:rsidRPr="00E7398C">
        <w:rPr>
          <w:color w:val="000000" w:themeColor="text1"/>
          <w:lang w:val="en-IE"/>
        </w:rPr>
        <w:t xml:space="preserve">vidence of heterogeneity was found, </w:t>
      </w:r>
      <w:r w:rsidRPr="00E7398C">
        <w:rPr>
          <w:i/>
          <w:color w:val="000000" w:themeColor="text1"/>
          <w:lang w:val="en-IE"/>
        </w:rPr>
        <w:t>Q</w:t>
      </w:r>
      <w:r w:rsidRPr="00E7398C">
        <w:rPr>
          <w:color w:val="000000" w:themeColor="text1"/>
          <w:lang w:val="en-IE"/>
        </w:rPr>
        <w:t xml:space="preserve">(df = 141) = </w:t>
      </w:r>
      <w:r w:rsidR="00FA1258" w:rsidRPr="00E7398C">
        <w:rPr>
          <w:color w:val="000000" w:themeColor="text1"/>
          <w:lang w:val="en-IE"/>
        </w:rPr>
        <w:t>159.03</w:t>
      </w:r>
      <w:r w:rsidRPr="00E7398C">
        <w:rPr>
          <w:color w:val="000000" w:themeColor="text1"/>
          <w:lang w:val="en-IE"/>
        </w:rPr>
        <w:t xml:space="preserve">, </w:t>
      </w:r>
      <w:r w:rsidRPr="00E7398C">
        <w:rPr>
          <w:i/>
          <w:color w:val="000000" w:themeColor="text1"/>
          <w:lang w:val="en-IE"/>
        </w:rPr>
        <w:t>p</w:t>
      </w:r>
      <w:r w:rsidRPr="00E7398C">
        <w:rPr>
          <w:color w:val="000000" w:themeColor="text1"/>
          <w:lang w:val="en-IE"/>
        </w:rPr>
        <w:t xml:space="preserve"> = .</w:t>
      </w:r>
      <w:r w:rsidR="00FA1258" w:rsidRPr="00E7398C">
        <w:rPr>
          <w:color w:val="000000" w:themeColor="text1"/>
          <w:lang w:val="en-IE"/>
        </w:rPr>
        <w:t>142</w:t>
      </w:r>
      <w:r w:rsidRPr="00E7398C">
        <w:rPr>
          <w:color w:val="000000" w:themeColor="text1"/>
          <w:lang w:val="en-IE"/>
        </w:rPr>
        <w:t xml:space="preserve">, </w:t>
      </w:r>
      <w:r w:rsidRPr="00E7398C">
        <w:rPr>
          <w:rFonts w:ascii="Cambria Math" w:hAnsi="Cambria Math" w:cs="Cambria Math"/>
          <w:color w:val="000000" w:themeColor="text1"/>
        </w:rPr>
        <w:t>𝜏</w:t>
      </w:r>
      <w:r w:rsidRPr="00E7398C">
        <w:rPr>
          <w:rFonts w:cs="Times New Roman (Body CS)"/>
          <w:color w:val="000000" w:themeColor="text1"/>
          <w:vertAlign w:val="superscript"/>
        </w:rPr>
        <w:t>2</w:t>
      </w:r>
      <w:r w:rsidRPr="00E7398C">
        <w:rPr>
          <w:color w:val="000000" w:themeColor="text1"/>
          <w:lang w:val="en-IE"/>
        </w:rPr>
        <w:t xml:space="preserve"> </w:t>
      </w:r>
      <w:r w:rsidR="00FA1258" w:rsidRPr="00E7398C">
        <w:rPr>
          <w:color w:val="000000" w:themeColor="text1"/>
          <w:lang w:val="en-IE"/>
        </w:rPr>
        <w:t>=</w:t>
      </w:r>
      <w:r w:rsidRPr="00E7398C">
        <w:rPr>
          <w:color w:val="000000" w:themeColor="text1"/>
          <w:lang w:val="en-IE"/>
        </w:rPr>
        <w:t xml:space="preserve"> 0.00. </w:t>
      </w:r>
      <w:r w:rsidR="00574382" w:rsidRPr="00E7398C">
        <w:rPr>
          <w:lang w:val="en-IE"/>
        </w:rPr>
        <w:t xml:space="preserve">Based on the non-overlap of their confidence intervals, </w:t>
      </w:r>
      <w:r w:rsidR="00574382" w:rsidRPr="00E7398C">
        <w:rPr>
          <w:lang w:val="en-IE"/>
        </w:rPr>
        <w:lastRenderedPageBreak/>
        <w:t>this estimate was significantly</w:t>
      </w:r>
      <w:r w:rsidR="00574382">
        <w:rPr>
          <w:lang w:val="en-IE"/>
        </w:rPr>
        <w:t xml:space="preserve"> smaller than the effect size reported in Vahey et al. (2015: </w:t>
      </w:r>
      <w:r w:rsidR="00574382" w:rsidRPr="00E97327">
        <w:rPr>
          <w:i/>
          <w:lang w:val="en-IE"/>
        </w:rPr>
        <w:t>r</w:t>
      </w:r>
      <w:r w:rsidR="00574382" w:rsidRPr="00E97327">
        <w:rPr>
          <w:lang w:val="en-IE"/>
        </w:rPr>
        <w:t xml:space="preserve"> = .45, 95% CI [.40, .54]</w:t>
      </w:r>
      <w:r w:rsidR="00574382">
        <w:rPr>
          <w:lang w:val="en-IE"/>
        </w:rPr>
        <w:t xml:space="preserve">). </w:t>
      </w:r>
      <w:r w:rsidR="00783D60">
        <w:rPr>
          <w:color w:val="000000" w:themeColor="text1"/>
          <w:lang w:val="en-IE"/>
        </w:rPr>
        <w:t xml:space="preserve">Given the large number of effect sizes involves, these results are illustrated in </w:t>
      </w:r>
      <w:r w:rsidR="00783D60">
        <w:t xml:space="preserve">a </w:t>
      </w:r>
      <w:r w:rsidR="003B1681">
        <w:t>c</w:t>
      </w:r>
      <w:r w:rsidR="00783D60">
        <w:t xml:space="preserve">aterpillar plot </w:t>
      </w:r>
      <w:r w:rsidR="00783D60">
        <w:t xml:space="preserve">rather than a forest plot (see Figure XX; similar to a forest plot but does not include </w:t>
      </w:r>
      <w:r w:rsidR="00783D60">
        <w:t>article labels</w:t>
      </w:r>
      <w:r w:rsidR="00783D60">
        <w:t>,</w:t>
      </w:r>
      <w:r w:rsidR="00783D60">
        <w:t xml:space="preserve"> </w:t>
      </w:r>
      <w:r w:rsidR="00783D60">
        <w:t xml:space="preserve">and </w:t>
      </w:r>
      <w:r w:rsidR="00783D60">
        <w:t>sort</w:t>
      </w:r>
      <w:r w:rsidR="00783D60">
        <w:t>s</w:t>
      </w:r>
      <w:r w:rsidR="00783D60">
        <w:t xml:space="preserve"> </w:t>
      </w:r>
      <w:r w:rsidR="00783D60">
        <w:t>effect sizes by magnitude</w:t>
      </w:r>
      <w:r w:rsidR="00783D60">
        <w:t xml:space="preserve">). </w:t>
      </w:r>
    </w:p>
    <w:p w14:paraId="37DC7C9E" w14:textId="587D8076" w:rsidR="00502D65" w:rsidRDefault="00DC5153" w:rsidP="001E6F21">
      <w:pPr>
        <w:ind w:firstLine="0"/>
        <w:jc w:val="center"/>
        <w:rPr>
          <w:lang w:val="en-IE"/>
        </w:rPr>
      </w:pPr>
      <w:r>
        <w:rPr>
          <w:noProof/>
          <w:lang w:val="en-IE"/>
        </w:rPr>
        <w:drawing>
          <wp:inline distT="0" distB="0" distL="0" distR="0" wp14:anchorId="61B609E7" wp14:editId="2B6A0F68">
            <wp:extent cx="4210050" cy="561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erpillar_plot.pdf"/>
                    <pic:cNvPicPr/>
                  </pic:nvPicPr>
                  <pic:blipFill>
                    <a:blip r:embed="rId15"/>
                    <a:stretch>
                      <a:fillRect/>
                    </a:stretch>
                  </pic:blipFill>
                  <pic:spPr>
                    <a:xfrm>
                      <a:off x="0" y="0"/>
                      <a:ext cx="4210050" cy="5613400"/>
                    </a:xfrm>
                    <a:prstGeom prst="rect">
                      <a:avLst/>
                    </a:prstGeom>
                  </pic:spPr>
                </pic:pic>
              </a:graphicData>
            </a:graphic>
          </wp:inline>
        </w:drawing>
      </w:r>
    </w:p>
    <w:p w14:paraId="20A5835B" w14:textId="242603B5" w:rsidR="00502D65" w:rsidRDefault="00502D65" w:rsidP="00502D65">
      <w:pPr>
        <w:ind w:firstLine="0"/>
      </w:pPr>
      <w:r w:rsidRPr="00EB2899">
        <w:rPr>
          <w:i/>
        </w:rPr>
        <w:t>Figure 2.</w:t>
      </w:r>
      <w:r>
        <w:t xml:space="preserve"> Caterpillar plot of the effect sizes and meta</w:t>
      </w:r>
      <w:r w:rsidR="007A780D">
        <w:t>-analytic</w:t>
      </w:r>
      <w:r>
        <w:t xml:space="preserve"> effect size estimate for the </w:t>
      </w:r>
      <w:r w:rsidR="007705FB">
        <w:t>revised</w:t>
      </w:r>
      <w:r>
        <w:t xml:space="preserve"> meta-analysis.</w:t>
      </w:r>
    </w:p>
    <w:p w14:paraId="2F5ADAF8" w14:textId="4B8F3316" w:rsidR="00F15C67" w:rsidRDefault="00F15C67" w:rsidP="00F15C67">
      <w:pPr>
        <w:ind w:firstLine="0"/>
      </w:pPr>
    </w:p>
    <w:p w14:paraId="4FA7A869" w14:textId="2065EB18" w:rsidR="00F15C67" w:rsidRDefault="00F15C67" w:rsidP="00F15C67">
      <w:pPr>
        <w:pStyle w:val="Heading2"/>
        <w:rPr>
          <w:lang w:val="en-IE"/>
        </w:rPr>
      </w:pPr>
      <w:r>
        <w:rPr>
          <w:lang w:val="en-IE"/>
        </w:rPr>
        <w:t>Revised power analyses</w:t>
      </w:r>
    </w:p>
    <w:p w14:paraId="205DA92F" w14:textId="5FD7DF60" w:rsidR="00502D65" w:rsidRDefault="00502D65" w:rsidP="00502D65">
      <w:r>
        <w:rPr>
          <w:lang w:val="en-IE"/>
        </w:rPr>
        <w:t xml:space="preserve">As in </w:t>
      </w:r>
      <w:r w:rsidR="0046051A">
        <w:rPr>
          <w:lang w:val="en-IE"/>
        </w:rPr>
        <w:t>Vahey et al. (2015)</w:t>
      </w:r>
      <w:r>
        <w:rPr>
          <w:lang w:val="en-IE"/>
        </w:rPr>
        <w:t xml:space="preserve">, this estimate of </w:t>
      </w:r>
      <w:r w:rsidR="00BF3266">
        <w:rPr>
          <w:lang w:val="en-IE"/>
        </w:rPr>
        <w:t xml:space="preserve">meta-analytic </w:t>
      </w:r>
      <w:r>
        <w:rPr>
          <w:lang w:val="en-IE"/>
        </w:rPr>
        <w:t xml:space="preserve">effect size was </w:t>
      </w:r>
      <w:r w:rsidR="0079694D">
        <w:rPr>
          <w:lang w:val="en-IE"/>
        </w:rPr>
        <w:t xml:space="preserve">in a </w:t>
      </w:r>
      <w:r w:rsidRPr="00536A52">
        <w:rPr>
          <w:lang w:val="en-IE"/>
        </w:rPr>
        <w:t xml:space="preserve">power analysis for future </w:t>
      </w:r>
      <w:r>
        <w:rPr>
          <w:lang w:val="en-IE"/>
        </w:rPr>
        <w:t>sample size planning</w:t>
      </w:r>
      <w:r w:rsidRPr="00536A52">
        <w:rPr>
          <w:lang w:val="en-IE"/>
        </w:rPr>
        <w:t xml:space="preserve">. </w:t>
      </w:r>
      <w:r>
        <w:t xml:space="preserve">To detect a zero order correlation with 80% power </w:t>
      </w:r>
      <w:r w:rsidR="00F04CA9">
        <w:t>(</w:t>
      </w:r>
      <w:r>
        <w:t>alpha = .05</w:t>
      </w:r>
      <w:r w:rsidR="00F04CA9">
        <w:t xml:space="preserve">, </w:t>
      </w:r>
      <w:r>
        <w:t xml:space="preserve">two-sided), the minimum sample size was </w:t>
      </w:r>
      <w:r w:rsidR="004B515D">
        <w:t>240</w:t>
      </w:r>
      <w:r>
        <w:t xml:space="preserve"> participants </w:t>
      </w:r>
      <w:r w:rsidR="0004002A">
        <w:t xml:space="preserve">when using the revised meta-analytic </w:t>
      </w:r>
      <w:r>
        <w:t>estimate</w:t>
      </w:r>
      <w:r w:rsidR="0004002A">
        <w:t>,</w:t>
      </w:r>
      <w:r>
        <w:t xml:space="preserve"> or </w:t>
      </w:r>
      <w:r w:rsidR="004B515D">
        <w:t>782</w:t>
      </w:r>
      <w:r>
        <w:t xml:space="preserve"> </w:t>
      </w:r>
      <w:r w:rsidR="0004002A">
        <w:t xml:space="preserve">when using the more conservative </w:t>
      </w:r>
      <w:r>
        <w:t xml:space="preserve">lower bound of the estimate’s </w:t>
      </w:r>
      <w:r w:rsidR="0004002A">
        <w:t>95% C</w:t>
      </w:r>
      <w:r>
        <w:t xml:space="preserve">onfidence </w:t>
      </w:r>
      <w:r w:rsidR="0004002A">
        <w:t>I</w:t>
      </w:r>
      <w:r>
        <w:t xml:space="preserve">nterval. </w:t>
      </w:r>
      <w:r w:rsidR="0044324E">
        <w:t xml:space="preserve">These revised recommendations are more than 8 times the sample sizes </w:t>
      </w:r>
      <w:r>
        <w:t xml:space="preserve">recommended by Vahey et al. </w:t>
      </w:r>
      <w:r w:rsidR="0044324E">
        <w:t>(2015).</w:t>
      </w:r>
    </w:p>
    <w:p w14:paraId="7FFF7F46" w14:textId="77777777" w:rsidR="00502D65" w:rsidRPr="0043190E" w:rsidRDefault="00502D65" w:rsidP="00F578DA">
      <w:pPr>
        <w:rPr>
          <w:lang w:val="en-IE"/>
        </w:rPr>
      </w:pPr>
    </w:p>
    <w:p w14:paraId="27D60571" w14:textId="77777777" w:rsidR="00665D0E" w:rsidRDefault="00665D0E" w:rsidP="00634C36">
      <w:pPr>
        <w:rPr>
          <w:lang w:val="en-IE"/>
        </w:rPr>
      </w:pPr>
    </w:p>
    <w:p w14:paraId="62DC1AB7" w14:textId="30F9CF19" w:rsidR="00665D0E" w:rsidRDefault="00665D0E" w:rsidP="00634C36">
      <w:pPr>
        <w:rPr>
          <w:lang w:val="en-IE"/>
        </w:rPr>
      </w:pPr>
    </w:p>
    <w:p w14:paraId="7A8ACC25" w14:textId="77777777" w:rsidR="00665D0E" w:rsidRPr="00634C36" w:rsidRDefault="00665D0E" w:rsidP="00634C36">
      <w:pPr>
        <w:rPr>
          <w:lang w:val="en-IE"/>
        </w:rPr>
      </w:pPr>
    </w:p>
    <w:p w14:paraId="07BBCFAE" w14:textId="77777777" w:rsidR="006A25B4" w:rsidRPr="000C1279" w:rsidRDefault="006A25B4" w:rsidP="009806F8">
      <w:pPr>
        <w:rPr>
          <w:lang w:val="en-IE"/>
        </w:rPr>
      </w:pPr>
    </w:p>
    <w:p w14:paraId="1D7E4552" w14:textId="77777777" w:rsidR="00DC5A0D" w:rsidRDefault="00DC5A0D" w:rsidP="009505F5">
      <w:pPr>
        <w:rPr>
          <w:lang w:val="en-IE"/>
        </w:rPr>
      </w:pPr>
    </w:p>
    <w:p w14:paraId="1E738C7E" w14:textId="51E1718C" w:rsidR="00770D92" w:rsidRDefault="00770D92" w:rsidP="00670235">
      <w:pPr>
        <w:rPr>
          <w:lang w:val="en-IE"/>
        </w:rPr>
      </w:pPr>
    </w:p>
    <w:p w14:paraId="50CDF567" w14:textId="084C5FB1" w:rsidR="00770D92" w:rsidRDefault="00770D92" w:rsidP="00670235">
      <w:pPr>
        <w:rPr>
          <w:lang w:val="en-IE"/>
        </w:rPr>
      </w:pPr>
    </w:p>
    <w:p w14:paraId="74FFB2A9" w14:textId="77777777" w:rsidR="00770D92" w:rsidRPr="00670235" w:rsidRDefault="00770D92" w:rsidP="00670235">
      <w:pPr>
        <w:rPr>
          <w:lang w:val="en-IE"/>
        </w:rPr>
      </w:pPr>
    </w:p>
    <w:p w14:paraId="1555D8F5" w14:textId="77777777" w:rsidR="00770D92" w:rsidRDefault="00770D92">
      <w:pPr>
        <w:rPr>
          <w:rFonts w:eastAsiaTheme="majorEastAsia" w:cstheme="majorBidi"/>
          <w:b/>
          <w:bCs/>
          <w:lang w:val="en-IE"/>
        </w:rPr>
      </w:pPr>
      <w:r>
        <w:rPr>
          <w:lang w:val="en-IE"/>
        </w:rPr>
        <w:br w:type="page"/>
      </w:r>
    </w:p>
    <w:p w14:paraId="3354D2CD" w14:textId="299C431C" w:rsidR="009129E1" w:rsidRDefault="009129E1" w:rsidP="0075115C">
      <w:pPr>
        <w:pStyle w:val="Heading2"/>
        <w:rPr>
          <w:lang w:val="en-IE"/>
        </w:rPr>
      </w:pPr>
      <w:r>
        <w:rPr>
          <w:lang w:val="en-IE"/>
        </w:rPr>
        <w:lastRenderedPageBreak/>
        <w:t xml:space="preserve">[old </w:t>
      </w:r>
      <w:r w:rsidR="001E6542">
        <w:rPr>
          <w:lang w:val="en-IE"/>
        </w:rPr>
        <w:t>points</w:t>
      </w:r>
      <w:r w:rsidR="003179FC">
        <w:rPr>
          <w:lang w:val="en-IE"/>
        </w:rPr>
        <w:t>]</w:t>
      </w:r>
    </w:p>
    <w:p w14:paraId="4D5B2D41" w14:textId="62228F1E" w:rsidR="009B0F9F" w:rsidRPr="001E6542" w:rsidRDefault="009B0F9F" w:rsidP="001E6542">
      <w:pPr>
        <w:rPr>
          <w:highlight w:val="yellow"/>
          <w:lang w:val="en-IE"/>
        </w:rPr>
      </w:pPr>
      <w:r w:rsidRPr="001E6542">
        <w:rPr>
          <w:highlight w:val="yellow"/>
          <w:lang w:val="en-IE"/>
        </w:rPr>
        <w:t xml:space="preserve">The numeric results reported in the forest plot were also compared against estimations of the values displayed in the plot. No discrepancies were found in either the estimates or the confidence intervals. </w:t>
      </w:r>
    </w:p>
    <w:p w14:paraId="36CFAE3F" w14:textId="0C15088A" w:rsidR="005F049C" w:rsidRDefault="004D4480" w:rsidP="005F049C">
      <w:pPr>
        <w:rPr>
          <w:lang w:val="en-IE"/>
        </w:rPr>
      </w:pPr>
      <w:r w:rsidRPr="001E6542">
        <w:rPr>
          <w:highlight w:val="yellow"/>
          <w:lang w:val="en-IE"/>
        </w:rPr>
        <w:t xml:space="preserve">While the degrees of freedom used were reported in supplementary materials, </w:t>
      </w:r>
      <w:r w:rsidR="008D7DF1" w:rsidRPr="001E6542">
        <w:rPr>
          <w:highlight w:val="yellow"/>
          <w:lang w:val="en-IE"/>
        </w:rPr>
        <w:t xml:space="preserve">it was less clear how the samples sizes </w:t>
      </w:r>
      <w:r w:rsidRPr="001E6542">
        <w:rPr>
          <w:highlight w:val="yellow"/>
          <w:lang w:val="en-IE"/>
        </w:rPr>
        <w:t xml:space="preserve">used for weightings and </w:t>
      </w:r>
      <w:r w:rsidR="008D7DF1" w:rsidRPr="001E6542">
        <w:rPr>
          <w:highlight w:val="yellow"/>
          <w:lang w:val="en-IE"/>
        </w:rPr>
        <w:t>reported in the for</w:t>
      </w:r>
      <w:r w:rsidR="00EF7756" w:rsidRPr="001E6542">
        <w:rPr>
          <w:highlight w:val="yellow"/>
          <w:lang w:val="en-IE"/>
        </w:rPr>
        <w:t>e</w:t>
      </w:r>
      <w:r w:rsidR="008D7DF1" w:rsidRPr="001E6542">
        <w:rPr>
          <w:highlight w:val="yellow"/>
          <w:lang w:val="en-IE"/>
        </w:rPr>
        <w:t xml:space="preserve">st plot were </w:t>
      </w:r>
      <w:r w:rsidRPr="001E6542">
        <w:rPr>
          <w:highlight w:val="yellow"/>
          <w:lang w:val="en-IE"/>
        </w:rPr>
        <w:t>obtained,</w:t>
      </w:r>
      <w:r w:rsidR="008D7DF1" w:rsidRPr="001E6542">
        <w:rPr>
          <w:highlight w:val="yellow"/>
          <w:lang w:val="en-IE"/>
        </w:rPr>
        <w:t xml:space="preserve"> g</w:t>
      </w:r>
      <w:r w:rsidR="00D32ABD" w:rsidRPr="001E6542">
        <w:rPr>
          <w:highlight w:val="yellow"/>
          <w:lang w:val="en-IE"/>
        </w:rPr>
        <w:t xml:space="preserve">iven that the </w:t>
      </w:r>
      <w:r w:rsidRPr="001E6542">
        <w:rPr>
          <w:highlight w:val="yellow"/>
          <w:lang w:val="en-IE"/>
        </w:rPr>
        <w:t xml:space="preserve">individual </w:t>
      </w:r>
      <w:r w:rsidR="00D32ABD" w:rsidRPr="001E6542">
        <w:rPr>
          <w:highlight w:val="yellow"/>
          <w:lang w:val="en-IE"/>
        </w:rPr>
        <w:t xml:space="preserve">effect sizes </w:t>
      </w:r>
      <w:r w:rsidRPr="001E6542">
        <w:rPr>
          <w:highlight w:val="yellow"/>
          <w:lang w:val="en-IE"/>
        </w:rPr>
        <w:t xml:space="preserve">that were converted to mean effect sizes </w:t>
      </w:r>
      <w:r w:rsidR="008D7DF1" w:rsidRPr="001E6542">
        <w:rPr>
          <w:highlight w:val="yellow"/>
          <w:lang w:val="en-IE"/>
        </w:rPr>
        <w:t>were in many cases</w:t>
      </w:r>
      <w:r w:rsidR="00D32ABD" w:rsidRPr="001E6542">
        <w:rPr>
          <w:highlight w:val="yellow"/>
          <w:lang w:val="en-IE"/>
        </w:rPr>
        <w:t xml:space="preserve"> calculated from different sample sizes</w:t>
      </w:r>
      <w:r w:rsidR="008D7DF1" w:rsidRPr="001E6542">
        <w:rPr>
          <w:highlight w:val="yellow"/>
          <w:lang w:val="en-IE"/>
        </w:rPr>
        <w:t>, yet the reported sample sizes were even numbers.</w:t>
      </w:r>
      <w:r w:rsidR="008D7DF1" w:rsidRPr="004D4480">
        <w:rPr>
          <w:lang w:val="en-IE"/>
        </w:rPr>
        <w:t xml:space="preserve"> </w:t>
      </w:r>
    </w:p>
    <w:p w14:paraId="6F22387B" w14:textId="733AE3C4" w:rsidR="005F049C" w:rsidRDefault="005F049C" w:rsidP="00D32ABD">
      <w:pPr>
        <w:rPr>
          <w:lang w:val="en-IE"/>
        </w:rPr>
      </w:pPr>
      <w:r>
        <w:rPr>
          <w:lang w:val="en-IE"/>
        </w:rPr>
        <w:t>Assessment of bias</w:t>
      </w:r>
    </w:p>
    <w:p w14:paraId="70FDDBE1" w14:textId="77777777" w:rsidR="009C4BD3" w:rsidRDefault="005F049C" w:rsidP="009C4BD3">
      <w:pPr>
        <w:pStyle w:val="ListParagraph"/>
        <w:numPr>
          <w:ilvl w:val="0"/>
          <w:numId w:val="12"/>
        </w:numPr>
        <w:rPr>
          <w:highlight w:val="yellow"/>
          <w:lang w:val="en-IE"/>
        </w:rPr>
      </w:pPr>
      <w:r w:rsidRPr="009C4BD3">
        <w:rPr>
          <w:highlight w:val="yellow"/>
          <w:lang w:val="en-IE"/>
        </w:rPr>
        <w:t>One or more authors of Vahey et al. (20</w:t>
      </w:r>
      <w:r w:rsidR="008C489A" w:rsidRPr="009C4BD3">
        <w:rPr>
          <w:highlight w:val="yellow"/>
          <w:lang w:val="en-IE"/>
        </w:rPr>
        <w:t>1</w:t>
      </w:r>
      <w:r w:rsidRPr="009C4BD3">
        <w:rPr>
          <w:highlight w:val="yellow"/>
          <w:lang w:val="en-IE"/>
        </w:rPr>
        <w:t>5) was also an author of 12 of the 15 articles (80.0%) from which effect sizes were extracted, indicating that the authors of the original meta-analysis were familiar with the research they were meta-analysing.</w:t>
      </w:r>
    </w:p>
    <w:p w14:paraId="01C5ECF3" w14:textId="65860F85" w:rsidR="009C4BD3" w:rsidRPr="009C4BD3" w:rsidRDefault="009C4BD3" w:rsidP="009C4BD3">
      <w:pPr>
        <w:pStyle w:val="ListParagraph"/>
        <w:numPr>
          <w:ilvl w:val="0"/>
          <w:numId w:val="12"/>
        </w:numPr>
        <w:rPr>
          <w:highlight w:val="yellow"/>
          <w:lang w:val="en-IE"/>
        </w:rPr>
      </w:pPr>
      <w:r>
        <w:rPr>
          <w:lang w:val="en-IE"/>
        </w:rPr>
        <w:t>“</w:t>
      </w:r>
      <w:r w:rsidRPr="009C4BD3">
        <w:rPr>
          <w:lang w:val="en-IE"/>
        </w:rPr>
        <w:t>our meta-analysis did not appear to prioritize consideration of statistically significant effects over non-significant effects</w:t>
      </w:r>
      <w:r>
        <w:rPr>
          <w:lang w:val="en-IE"/>
        </w:rPr>
        <w:t>”</w:t>
      </w:r>
      <w:bookmarkStart w:id="1" w:name="_GoBack"/>
      <w:bookmarkEnd w:id="1"/>
    </w:p>
    <w:p w14:paraId="38A5FDBB" w14:textId="5303C028" w:rsidR="009C4BD3" w:rsidRDefault="009C4BD3" w:rsidP="00D32ABD">
      <w:pPr>
        <w:rPr>
          <w:highlight w:val="yellow"/>
          <w:lang w:val="en-IE"/>
        </w:rPr>
      </w:pPr>
    </w:p>
    <w:p w14:paraId="51EF9479" w14:textId="77777777" w:rsidR="009C4BD3" w:rsidRDefault="009C4BD3" w:rsidP="00D32ABD">
      <w:pPr>
        <w:rPr>
          <w:highlight w:val="yellow"/>
          <w:lang w:val="en-IE"/>
        </w:rPr>
      </w:pPr>
    </w:p>
    <w:p w14:paraId="5B96C4FF" w14:textId="421041C8" w:rsidR="009266F5" w:rsidRDefault="009266F5" w:rsidP="00D32ABD">
      <w:pPr>
        <w:rPr>
          <w:lang w:val="en-IE"/>
        </w:rPr>
      </w:pPr>
      <w:r w:rsidRPr="00590666">
        <w:rPr>
          <w:highlight w:val="yellow"/>
        </w:rPr>
        <w:t>According to the systematic review (see Supplementary Materials), both of these estimates are more than ten times larger than the mean sample sizes employed in IRAP research to date.</w:t>
      </w:r>
    </w:p>
    <w:p w14:paraId="503556DD" w14:textId="77777777" w:rsidR="009B0F9F" w:rsidRPr="004D4480" w:rsidRDefault="009B0F9F" w:rsidP="00D32ABD">
      <w:pPr>
        <w:rPr>
          <w:lang w:val="en-IE"/>
        </w:rPr>
      </w:pPr>
    </w:p>
    <w:p w14:paraId="3BE39494" w14:textId="1BFA6E8A" w:rsidR="00273F0D" w:rsidRDefault="00273F0D" w:rsidP="00273F0D">
      <w:pPr>
        <w:pStyle w:val="Heading1"/>
        <w:rPr>
          <w:lang w:val="en-IE"/>
        </w:rPr>
      </w:pPr>
      <w:r>
        <w:rPr>
          <w:lang w:val="en-IE"/>
        </w:rPr>
        <w:t>Discussion</w:t>
      </w:r>
    </w:p>
    <w:p w14:paraId="55B7E18E" w14:textId="77777777" w:rsidR="00AD218C" w:rsidRDefault="00140174" w:rsidP="00AD218C">
      <w:pPr>
        <w:rPr>
          <w:lang w:val="en-IE"/>
        </w:rPr>
      </w:pPr>
      <w:r>
        <w:rPr>
          <w:lang w:val="en-IE"/>
        </w:rPr>
        <w:t xml:space="preserve">The majority of the steps in Vahey et al.’s (2015) meta-analysis </w:t>
      </w:r>
      <w:r w:rsidR="00B72127">
        <w:rPr>
          <w:lang w:val="en-IE"/>
        </w:rPr>
        <w:t xml:space="preserve">were not </w:t>
      </w:r>
      <w:r>
        <w:rPr>
          <w:lang w:val="en-IE"/>
        </w:rPr>
        <w:t>found to be computationally reproducible (i.e., meta-analysis results, calculation of weighted-mean effect sizes, extraction and conversion of individual effect sizes, and selection of effect sizes). Where one step were found to be computationally reproducible (power analyses), it was found to be poorly justified.</w:t>
      </w:r>
    </w:p>
    <w:p w14:paraId="756CE730" w14:textId="77777777" w:rsidR="00AD218C" w:rsidRDefault="002013B3" w:rsidP="00AD218C">
      <w:pPr>
        <w:rPr>
          <w:lang w:val="en-IE"/>
        </w:rPr>
      </w:pPr>
      <w:r>
        <w:rPr>
          <w:lang w:val="en-IE"/>
        </w:rPr>
        <w:t xml:space="preserve">Nearly half of the effect sizes included in the original </w:t>
      </w:r>
      <w:r w:rsidR="005A4CFA">
        <w:rPr>
          <w:lang w:val="en-IE"/>
        </w:rPr>
        <w:t>meta-anal</w:t>
      </w:r>
      <w:r>
        <w:rPr>
          <w:lang w:val="en-IE"/>
        </w:rPr>
        <w:t xml:space="preserve">ysis did not match those reextracted from the original articles. In one third of cases, the effect sizes used in the original </w:t>
      </w:r>
      <w:r w:rsidR="005A4CFA">
        <w:rPr>
          <w:lang w:val="en-IE"/>
        </w:rPr>
        <w:t>meta-anal</w:t>
      </w:r>
      <w:r>
        <w:rPr>
          <w:lang w:val="en-IE"/>
        </w:rPr>
        <w:t xml:space="preserve">ysis were biased upwards relative to the re-extractions done here. </w:t>
      </w:r>
    </w:p>
    <w:p w14:paraId="62747542" w14:textId="77777777" w:rsidR="00AD218C" w:rsidRDefault="0033644A" w:rsidP="00AD218C">
      <w:pPr>
        <w:rPr>
          <w:lang w:val="en-IE"/>
        </w:rPr>
      </w:pPr>
      <w:r>
        <w:rPr>
          <w:lang w:val="en-IE"/>
        </w:rPr>
        <w:t xml:space="preserve">Data processing was found to not be reproducible, with 13% of cases demonstrating disagreement between the weighted average effect sizes reported in the forest plot and those recalculated from the effect sizes reported in the supplementary materials. </w:t>
      </w:r>
    </w:p>
    <w:p w14:paraId="675925B2" w14:textId="77777777" w:rsidR="00F320FC" w:rsidRDefault="00FC44CA" w:rsidP="00AD218C">
      <w:pPr>
        <w:rPr>
          <w:lang w:val="en-IE"/>
        </w:rPr>
      </w:pPr>
      <w:r>
        <w:rPr>
          <w:lang w:val="en-IE"/>
        </w:rPr>
        <w:t xml:space="preserve">More worryingly, when all effect sizes were reextracted from the original articles a large number of questionable inclusions and inclusions were highlighted. </w:t>
      </w:r>
      <w:r w:rsidR="00AD04AE">
        <w:rPr>
          <w:lang w:val="en-IE"/>
        </w:rPr>
        <w:t>When all effect sizes were included that a) met Vahey et al.’s inclusion criterion of being clinically relevan</w:t>
      </w:r>
      <w:r w:rsidR="00D70D80">
        <w:rPr>
          <w:lang w:val="en-IE"/>
        </w:rPr>
        <w:t>t and</w:t>
      </w:r>
      <w:r w:rsidR="00AD04AE">
        <w:rPr>
          <w:lang w:val="en-IE"/>
        </w:rPr>
        <w:t xml:space="preserve"> b) were not derived from types of analyses that were defined a priori as producing invalid or misleading results or conclusions</w:t>
      </w:r>
      <w:r w:rsidR="00D70D80">
        <w:rPr>
          <w:lang w:val="en-IE"/>
        </w:rPr>
        <w:t xml:space="preserve">, </w:t>
      </w:r>
      <w:r w:rsidR="00162E13">
        <w:rPr>
          <w:lang w:val="en-IE"/>
        </w:rPr>
        <w:t xml:space="preserve">the meta </w:t>
      </w:r>
      <w:r w:rsidR="00162E13">
        <w:rPr>
          <w:lang w:val="en-IE"/>
        </w:rPr>
        <w:lastRenderedPageBreak/>
        <w:t>effect size estimate reduced greatly (</w:t>
      </w:r>
      <w:r w:rsidR="007A42CB">
        <w:rPr>
          <w:lang w:val="en-IE"/>
        </w:rPr>
        <w:t>original</w:t>
      </w:r>
      <w:r w:rsidR="00162E13">
        <w:rPr>
          <w:lang w:val="en-IE"/>
        </w:rPr>
        <w:t xml:space="preserve"> </w:t>
      </w:r>
      <w:r w:rsidR="00162E13" w:rsidRPr="00162E13">
        <w:rPr>
          <w:i/>
          <w:lang w:val="en-IE"/>
        </w:rPr>
        <w:t>r</w:t>
      </w:r>
      <w:r w:rsidR="00162E13">
        <w:rPr>
          <w:lang w:val="en-IE"/>
        </w:rPr>
        <w:t xml:space="preserve"> = .45, 95% CI [.40, .54], new: </w:t>
      </w:r>
      <w:r w:rsidR="00162E13" w:rsidRPr="00536A52">
        <w:rPr>
          <w:i/>
          <w:lang w:val="en-IE"/>
        </w:rPr>
        <w:t>r</w:t>
      </w:r>
      <w:r w:rsidR="00162E13" w:rsidRPr="00536A52">
        <w:rPr>
          <w:lang w:val="en-IE"/>
        </w:rPr>
        <w:t xml:space="preserve"> = 0.13, 95% CI [0.03, 0.23]</w:t>
      </w:r>
      <w:r w:rsidR="00162E13">
        <w:rPr>
          <w:lang w:val="en-IE"/>
        </w:rPr>
        <w:t xml:space="preserve">). </w:t>
      </w:r>
    </w:p>
    <w:p w14:paraId="1DCCC2A6" w14:textId="1F6E5900" w:rsidR="00C62477" w:rsidRPr="00AD218C" w:rsidRDefault="00CA67FC" w:rsidP="00AD218C">
      <w:pPr>
        <w:rPr>
          <w:lang w:val="en-IE"/>
        </w:rPr>
      </w:pPr>
      <w:r>
        <w:rPr>
          <w:lang w:val="en-IE"/>
        </w:rPr>
        <w:t xml:space="preserve">Power analyses calculations for future research using this updated effect size estimate suggest </w:t>
      </w:r>
      <w:r>
        <w:t xml:space="preserve">minimum sample sizes </w:t>
      </w:r>
      <w:r w:rsidR="002243D5">
        <w:t>of more than</w:t>
      </w:r>
      <w:r>
        <w:t xml:space="preserve"> 460 participants</w:t>
      </w:r>
      <w:r w:rsidR="002243D5">
        <w:t>; an estimate that is 16 times larger than recommended by Vahey et al. and 10 times larger than the mean sample sizes employed in IRAP research to date.</w:t>
      </w:r>
    </w:p>
    <w:p w14:paraId="53542695" w14:textId="77777777" w:rsidR="00D75C92" w:rsidRDefault="00D75C92" w:rsidP="002243D5">
      <w:pPr>
        <w:ind w:firstLine="0"/>
      </w:pPr>
      <w:r>
        <w:tab/>
        <w:t>At first glance, these sample sizes seem unfeasible, especially given many researchers experience of conducting IRAP research and obtaining significant results. However, results are not incompatible with this: IRAP papers frequently include a large number of statistical tests and comparisons and a very high ratio of tests to sample size. As such, the false positive rate is inevitably inflated. Future research should attempt to estimate the false positive rate in IRAP research</w:t>
      </w:r>
      <w:r w:rsidR="00ED1AE4">
        <w:t xml:space="preserve">, possibly via simulation studies </w:t>
      </w:r>
      <w:r>
        <w:t>(e.g., due to analytic degrees of freedom and multiple testing)</w:t>
      </w:r>
      <w:r w:rsidR="00ED1AE4">
        <w:t>.</w:t>
      </w:r>
    </w:p>
    <w:p w14:paraId="5E58F885" w14:textId="468FA9D1" w:rsidR="00273F0D" w:rsidRDefault="00273F0D" w:rsidP="00C62477">
      <w:pPr>
        <w:pStyle w:val="Heading2"/>
        <w:rPr>
          <w:lang w:val="en-IE"/>
        </w:rPr>
      </w:pPr>
      <w:r>
        <w:rPr>
          <w:lang w:val="en-IE"/>
        </w:rPr>
        <w:t xml:space="preserve">Improving the reproducibility of future </w:t>
      </w:r>
      <w:r w:rsidR="005A4CFA">
        <w:rPr>
          <w:lang w:val="en-IE"/>
        </w:rPr>
        <w:t>meta-anal</w:t>
      </w:r>
      <w:r>
        <w:rPr>
          <w:lang w:val="en-IE"/>
        </w:rPr>
        <w:t>yses</w:t>
      </w:r>
    </w:p>
    <w:p w14:paraId="74A8FB0E" w14:textId="6D6A465F" w:rsidR="000E7B94" w:rsidRPr="00F119E0" w:rsidRDefault="000E7B94" w:rsidP="00F119E0">
      <w:r>
        <w:t xml:space="preserve">Results have implications for both the IRAP specifically (e.g., the interpretation of previously published findings and use in future studies), and also meta-analysis more generally. potential pitfalls involved in producing reproducible </w:t>
      </w:r>
      <w:r w:rsidR="005A4CFA">
        <w:t>meta-anal</w:t>
      </w:r>
      <w:r>
        <w:t xml:space="preserve">yses and interpreting the reproducibility of existing </w:t>
      </w:r>
      <w:r w:rsidR="005A4CFA">
        <w:t>meta-anal</w:t>
      </w:r>
      <w:r>
        <w:t xml:space="preserve">yses more generally. </w:t>
      </w:r>
    </w:p>
    <w:p w14:paraId="1642F0B8" w14:textId="5C8FBC07" w:rsidR="00655BC4" w:rsidRDefault="00655BC4" w:rsidP="00655BC4">
      <w:pPr>
        <w:rPr>
          <w:lang w:val="en-IE"/>
        </w:rPr>
      </w:pPr>
      <w:r>
        <w:rPr>
          <w:lang w:val="en-IE"/>
        </w:rPr>
        <w:t xml:space="preserve">Provide all data, including a codebook, and data regarding the excluded effect sizes. Provide all code and scripts for data processing and analyses. No written </w:t>
      </w:r>
      <w:r>
        <w:rPr>
          <w:lang w:val="en-IE"/>
        </w:rPr>
        <w:lastRenderedPageBreak/>
        <w:t xml:space="preserve">description of the analytic strategy will provide the same precision as the code used to implement them (along with session info information that includes the versions of software used along with details of the operating system and hardware used). Supplementary materials should not only be hosted on the journal’s website but also on reliable archival services (e.g., OSF, </w:t>
      </w:r>
      <w:proofErr w:type="spellStart"/>
      <w:r>
        <w:rPr>
          <w:lang w:val="en-IE"/>
        </w:rPr>
        <w:t>Zenodo</w:t>
      </w:r>
      <w:proofErr w:type="spellEnd"/>
      <w:r>
        <w:rPr>
          <w:lang w:val="en-IE"/>
        </w:rPr>
        <w:t xml:space="preserve">, etc.). Organizing and publicly archiving such data ahead of time removes avoids many issues likely to be encountered in the future. For example, loss or misplacement of data and materials over time or unwillingness to search </w:t>
      </w:r>
      <w:r w:rsidR="00CB58A9">
        <w:rPr>
          <w:lang w:val="en-IE"/>
        </w:rPr>
        <w:t xml:space="preserve">for </w:t>
      </w:r>
      <w:r w:rsidR="009347ED">
        <w:rPr>
          <w:lang w:val="en-IE"/>
        </w:rPr>
        <w:t>them</w:t>
      </w:r>
      <w:r>
        <w:rPr>
          <w:lang w:val="en-IE"/>
        </w:rPr>
        <w:t xml:space="preserve"> (</w:t>
      </w:r>
      <w:r w:rsidR="00CB58A9">
        <w:rPr>
          <w:lang w:val="en-IE"/>
        </w:rPr>
        <w:t>all</w:t>
      </w:r>
      <w:r>
        <w:rPr>
          <w:lang w:val="en-IE"/>
        </w:rPr>
        <w:t xml:space="preserve"> of which were </w:t>
      </w:r>
      <w:r w:rsidR="00CB58A9">
        <w:rPr>
          <w:lang w:val="en-IE"/>
        </w:rPr>
        <w:t>encountered</w:t>
      </w:r>
      <w:r>
        <w:rPr>
          <w:lang w:val="en-IE"/>
        </w:rPr>
        <w:t xml:space="preserve"> here when attempting to obtain data and materials from the authors of the original </w:t>
      </w:r>
      <w:r w:rsidR="005A4CFA">
        <w:rPr>
          <w:lang w:val="en-IE"/>
        </w:rPr>
        <w:t>meta-anal</w:t>
      </w:r>
      <w:r>
        <w:rPr>
          <w:lang w:val="en-IE"/>
        </w:rPr>
        <w:t xml:space="preserve">ysis). </w:t>
      </w:r>
    </w:p>
    <w:p w14:paraId="68757E1D" w14:textId="77777777" w:rsidR="0019318C" w:rsidRDefault="0019318C" w:rsidP="0019318C">
      <w:pPr>
        <w:pStyle w:val="Heading2"/>
        <w:rPr>
          <w:lang w:val="en-IE"/>
        </w:rPr>
      </w:pPr>
      <w:r>
        <w:rPr>
          <w:lang w:val="en-IE"/>
        </w:rPr>
        <w:t>Conclusion</w:t>
      </w:r>
    </w:p>
    <w:p w14:paraId="7E741930" w14:textId="3BDCBB86" w:rsidR="00020CCE" w:rsidRDefault="0019318C" w:rsidP="0019318C">
      <w:pPr>
        <w:rPr>
          <w:lang w:val="en-IE"/>
        </w:rPr>
      </w:pPr>
      <w:r>
        <w:rPr>
          <w:lang w:val="en-IE"/>
        </w:rPr>
        <w:t>XXX</w:t>
      </w:r>
    </w:p>
    <w:p w14:paraId="1E12E251" w14:textId="77777777" w:rsidR="00020CCE" w:rsidRDefault="00020CCE">
      <w:pPr>
        <w:rPr>
          <w:lang w:val="en-IE"/>
        </w:rPr>
      </w:pPr>
      <w:r>
        <w:rPr>
          <w:lang w:val="en-IE"/>
        </w:rPr>
        <w:br w:type="page"/>
      </w:r>
    </w:p>
    <w:p w14:paraId="63EA4F2D" w14:textId="63D6D81D" w:rsidR="00020CCE" w:rsidRDefault="00020CCE" w:rsidP="00020CCE">
      <w:pPr>
        <w:pStyle w:val="Bibliography"/>
        <w:jc w:val="center"/>
        <w:rPr>
          <w:lang w:val="en-IE"/>
        </w:rPr>
      </w:pPr>
      <w:r>
        <w:rPr>
          <w:lang w:val="en-IE"/>
        </w:rPr>
        <w:lastRenderedPageBreak/>
        <w:t>References</w:t>
      </w:r>
    </w:p>
    <w:p w14:paraId="0AC4FA70" w14:textId="77777777" w:rsidR="0098397A" w:rsidRPr="0098397A" w:rsidRDefault="00020CCE" w:rsidP="0098397A">
      <w:pPr>
        <w:pStyle w:val="Bibliography"/>
        <w:rPr>
          <w:rFonts w:cs="CMU Serif Roman"/>
        </w:rPr>
      </w:pPr>
      <w:r>
        <w:rPr>
          <w:lang w:val="en-IE"/>
        </w:rPr>
        <w:fldChar w:fldCharType="begin"/>
      </w:r>
      <w:r w:rsidR="002E1C9F">
        <w:rPr>
          <w:lang w:val="en-IE"/>
        </w:rPr>
        <w:instrText xml:space="preserve"> ADDIN ZOTERO_BIBL {"uncited":[],"omitted":[],"custom":[]} CSL_BIBLIOGRAPHY </w:instrText>
      </w:r>
      <w:r>
        <w:rPr>
          <w:lang w:val="en-IE"/>
        </w:rPr>
        <w:fldChar w:fldCharType="separate"/>
      </w:r>
      <w:r w:rsidR="0098397A" w:rsidRPr="0098397A">
        <w:rPr>
          <w:rFonts w:cs="CMU Serif Roman"/>
        </w:rPr>
        <w:t xml:space="preserve">Barnes-Holmes, D., Barnes-Holmes, Y., Stewart, I., &amp; Boles, S. (2010). A sketch of the Implicit Relational Assessment Procedure (IRAP) and the Relational Elaboration and Coherence (REC) model. </w:t>
      </w:r>
      <w:r w:rsidR="0098397A" w:rsidRPr="0098397A">
        <w:rPr>
          <w:rFonts w:cs="CMU Serif Roman"/>
          <w:i/>
          <w:iCs/>
        </w:rPr>
        <w:t>The Psychological Record</w:t>
      </w:r>
      <w:r w:rsidR="0098397A" w:rsidRPr="0098397A">
        <w:rPr>
          <w:rFonts w:cs="CMU Serif Roman"/>
        </w:rPr>
        <w:t xml:space="preserve">, </w:t>
      </w:r>
      <w:r w:rsidR="0098397A" w:rsidRPr="0098397A">
        <w:rPr>
          <w:rFonts w:cs="CMU Serif Roman"/>
          <w:i/>
          <w:iCs/>
        </w:rPr>
        <w:t>60</w:t>
      </w:r>
      <w:r w:rsidR="0098397A" w:rsidRPr="0098397A">
        <w:rPr>
          <w:rFonts w:cs="CMU Serif Roman"/>
        </w:rPr>
        <w:t>, 527–542.</w:t>
      </w:r>
    </w:p>
    <w:p w14:paraId="41C84C97" w14:textId="77777777" w:rsidR="0098397A" w:rsidRPr="0098397A" w:rsidRDefault="0098397A" w:rsidP="0098397A">
      <w:pPr>
        <w:pStyle w:val="Bibliography"/>
        <w:rPr>
          <w:rFonts w:cs="CMU Serif Roman"/>
        </w:rPr>
      </w:pPr>
      <w:r w:rsidRPr="0098397A">
        <w:rPr>
          <w:rFonts w:cs="CMU Serif Roman"/>
        </w:rPr>
        <w:t xml:space="preserve">Corneille, O., &amp; Hütter, M. (2020). Implicit? What Do You Mean? A Comprehensive Review of the Delusive Implicitness Construct in Attitude Research. </w:t>
      </w:r>
      <w:r w:rsidRPr="0098397A">
        <w:rPr>
          <w:rFonts w:cs="CMU Serif Roman"/>
          <w:i/>
          <w:iCs/>
        </w:rPr>
        <w:t>Personality and Social Psychology Review</w:t>
      </w:r>
      <w:r w:rsidRPr="0098397A">
        <w:rPr>
          <w:rFonts w:cs="CMU Serif Roman"/>
        </w:rPr>
        <w:t>, 1088868320911325. https://doi.org/10.1177/1088868320911325</w:t>
      </w:r>
    </w:p>
    <w:p w14:paraId="3C2F15A5" w14:textId="77777777" w:rsidR="0098397A" w:rsidRPr="0098397A" w:rsidRDefault="0098397A" w:rsidP="0098397A">
      <w:pPr>
        <w:pStyle w:val="Bibliography"/>
        <w:rPr>
          <w:rFonts w:cs="CMU Serif Roman"/>
        </w:rPr>
      </w:pPr>
      <w:r w:rsidRPr="0098397A">
        <w:rPr>
          <w:rFonts w:cs="CMU Serif Roman"/>
        </w:rPr>
        <w:t xml:space="preserve">De Houwer, J., &amp; Moors, A. (2010). Implicit measures: Similarities and differences. In </w:t>
      </w:r>
      <w:r w:rsidRPr="0098397A">
        <w:rPr>
          <w:rFonts w:cs="CMU Serif Roman"/>
          <w:i/>
          <w:iCs/>
        </w:rPr>
        <w:t>Handbook of implicit social cognition: Measurement, theory, and applications</w:t>
      </w:r>
      <w:r w:rsidRPr="0098397A">
        <w:rPr>
          <w:rFonts w:cs="CMU Serif Roman"/>
        </w:rPr>
        <w:t xml:space="preserve"> (pp. 176–193). Guildford Press.</w:t>
      </w:r>
    </w:p>
    <w:p w14:paraId="755E3E25" w14:textId="77777777" w:rsidR="0098397A" w:rsidRPr="0098397A" w:rsidRDefault="0098397A" w:rsidP="0098397A">
      <w:pPr>
        <w:pStyle w:val="Bibliography"/>
        <w:rPr>
          <w:rFonts w:cs="CMU Serif Roman"/>
        </w:rPr>
      </w:pPr>
      <w:r w:rsidRPr="0098397A">
        <w:rPr>
          <w:rFonts w:cs="CMU Serif Roman"/>
        </w:rPr>
        <w:t xml:space="preserve">Fried, E. I., &amp; Kievit, R. A. (2016). The volumes of subcortical regions in depressed and healthy individuals are strikingly similar: A reinterpretation of the results by Schmaal et al. </w:t>
      </w:r>
      <w:r w:rsidRPr="0098397A">
        <w:rPr>
          <w:rFonts w:cs="CMU Serif Roman"/>
          <w:i/>
          <w:iCs/>
        </w:rPr>
        <w:t>Molecular Psychiatry</w:t>
      </w:r>
      <w:r w:rsidRPr="0098397A">
        <w:rPr>
          <w:rFonts w:cs="CMU Serif Roman"/>
        </w:rPr>
        <w:t xml:space="preserve">, </w:t>
      </w:r>
      <w:r w:rsidRPr="0098397A">
        <w:rPr>
          <w:rFonts w:cs="CMU Serif Roman"/>
          <w:i/>
          <w:iCs/>
        </w:rPr>
        <w:t>21</w:t>
      </w:r>
      <w:r w:rsidRPr="0098397A">
        <w:rPr>
          <w:rFonts w:cs="CMU Serif Roman"/>
        </w:rPr>
        <w:t>(6), 724–725. https://doi.org/10.1038/mp.2015.199</w:t>
      </w:r>
    </w:p>
    <w:p w14:paraId="3B82FE2A" w14:textId="77777777" w:rsidR="0098397A" w:rsidRPr="0098397A" w:rsidRDefault="0098397A" w:rsidP="0098397A">
      <w:pPr>
        <w:pStyle w:val="Bibliography"/>
        <w:rPr>
          <w:rFonts w:cs="CMU Serif Roman"/>
        </w:rPr>
      </w:pPr>
      <w:r w:rsidRPr="0098397A">
        <w:rPr>
          <w:rFonts w:cs="CMU Serif Roman"/>
        </w:rPr>
        <w:t xml:space="preserve">Gemar, M. C., Segal, Z. V., Sagrati, S., &amp; Kennedy, S. J. (2001). Mood-induced changes on the Implicit Association Test in recovered depressed patients. </w:t>
      </w:r>
      <w:r w:rsidRPr="0098397A">
        <w:rPr>
          <w:rFonts w:cs="CMU Serif Roman"/>
          <w:i/>
          <w:iCs/>
        </w:rPr>
        <w:t>Journal of Abnormal Psychology</w:t>
      </w:r>
      <w:r w:rsidRPr="0098397A">
        <w:rPr>
          <w:rFonts w:cs="CMU Serif Roman"/>
        </w:rPr>
        <w:t xml:space="preserve">, </w:t>
      </w:r>
      <w:r w:rsidRPr="0098397A">
        <w:rPr>
          <w:rFonts w:cs="CMU Serif Roman"/>
          <w:i/>
          <w:iCs/>
        </w:rPr>
        <w:t>110</w:t>
      </w:r>
      <w:r w:rsidRPr="0098397A">
        <w:rPr>
          <w:rFonts w:cs="CMU Serif Roman"/>
        </w:rPr>
        <w:t>(2), 282–289. https://doi.org/10.1037//0021-843X.110.2.282</w:t>
      </w:r>
    </w:p>
    <w:p w14:paraId="2B5D5A51" w14:textId="77777777" w:rsidR="0098397A" w:rsidRPr="0098397A" w:rsidRDefault="0098397A" w:rsidP="0098397A">
      <w:pPr>
        <w:pStyle w:val="Bibliography"/>
        <w:rPr>
          <w:rFonts w:cs="CMU Serif Roman"/>
        </w:rPr>
      </w:pPr>
      <w:r w:rsidRPr="0098397A">
        <w:rPr>
          <w:rFonts w:cs="CMU Serif Roman"/>
        </w:rPr>
        <w:lastRenderedPageBreak/>
        <w:t xml:space="preserve">Golijani-Moghaddam, N., Hart, A., &amp; Dawson, D. L. (2013). The Implicit Relational Assessment Procedure: Emerging reliability and validity data. </w:t>
      </w:r>
      <w:r w:rsidRPr="0098397A">
        <w:rPr>
          <w:rFonts w:cs="CMU Serif Roman"/>
          <w:i/>
          <w:iCs/>
        </w:rPr>
        <w:t>Journal of Contextual Behavioral Science</w:t>
      </w:r>
      <w:r w:rsidRPr="0098397A">
        <w:rPr>
          <w:rFonts w:cs="CMU Serif Roman"/>
        </w:rPr>
        <w:t xml:space="preserve">, </w:t>
      </w:r>
      <w:r w:rsidRPr="0098397A">
        <w:rPr>
          <w:rFonts w:cs="CMU Serif Roman"/>
          <w:i/>
          <w:iCs/>
        </w:rPr>
        <w:t>2</w:t>
      </w:r>
      <w:r w:rsidRPr="0098397A">
        <w:rPr>
          <w:rFonts w:cs="CMU Serif Roman"/>
        </w:rPr>
        <w:t>(3–4), 105–119. https://doi.org/10.1016/j.jcbs.2013.05.002</w:t>
      </w:r>
    </w:p>
    <w:p w14:paraId="375E8CB9" w14:textId="77777777" w:rsidR="0098397A" w:rsidRPr="0098397A" w:rsidRDefault="0098397A" w:rsidP="0098397A">
      <w:pPr>
        <w:pStyle w:val="Bibliography"/>
        <w:rPr>
          <w:rFonts w:cs="CMU Serif Roman"/>
        </w:rPr>
      </w:pPr>
      <w:r w:rsidRPr="0098397A">
        <w:rPr>
          <w:rFonts w:cs="CMU Serif Roman"/>
        </w:rPr>
        <w:t xml:space="preserve">Greenwald, A. G., &amp; Lai, C. K. (2020). Implicit Social Cognition. </w:t>
      </w:r>
      <w:r w:rsidRPr="0098397A">
        <w:rPr>
          <w:rFonts w:cs="CMU Serif Roman"/>
          <w:i/>
          <w:iCs/>
        </w:rPr>
        <w:t>Annual Review of Psychology</w:t>
      </w:r>
      <w:r w:rsidRPr="0098397A">
        <w:rPr>
          <w:rFonts w:cs="CMU Serif Roman"/>
        </w:rPr>
        <w:t xml:space="preserve">, </w:t>
      </w:r>
      <w:r w:rsidRPr="0098397A">
        <w:rPr>
          <w:rFonts w:cs="CMU Serif Roman"/>
          <w:i/>
          <w:iCs/>
        </w:rPr>
        <w:t>71</w:t>
      </w:r>
      <w:r w:rsidRPr="0098397A">
        <w:rPr>
          <w:rFonts w:cs="CMU Serif Roman"/>
        </w:rPr>
        <w:t>(1), 419–445. https://doi.org/10.1146/annurev-psych-010419-050837</w:t>
      </w:r>
    </w:p>
    <w:p w14:paraId="414970FF" w14:textId="77777777" w:rsidR="0098397A" w:rsidRPr="0098397A" w:rsidRDefault="0098397A" w:rsidP="0098397A">
      <w:pPr>
        <w:pStyle w:val="Bibliography"/>
        <w:rPr>
          <w:rFonts w:cs="CMU Serif Roman"/>
        </w:rPr>
      </w:pPr>
      <w:r w:rsidRPr="0098397A">
        <w:rPr>
          <w:rFonts w:cs="CMU Serif Roman"/>
        </w:rPr>
        <w:t xml:space="preserve">Greenwald, A. G., McGhee, D. E., &amp; Schwartz, J. L. (1998). Measuring individual differences in implicit cognition: The Implicit Association Test. </w:t>
      </w:r>
      <w:r w:rsidRPr="0098397A">
        <w:rPr>
          <w:rFonts w:cs="CMU Serif Roman"/>
          <w:i/>
          <w:iCs/>
        </w:rPr>
        <w:t>Journal of Personality and Social Psychology</w:t>
      </w:r>
      <w:r w:rsidRPr="0098397A">
        <w:rPr>
          <w:rFonts w:cs="CMU Serif Roman"/>
        </w:rPr>
        <w:t xml:space="preserve">, </w:t>
      </w:r>
      <w:r w:rsidRPr="0098397A">
        <w:rPr>
          <w:rFonts w:cs="CMU Serif Roman"/>
          <w:i/>
          <w:iCs/>
        </w:rPr>
        <w:t>74</w:t>
      </w:r>
      <w:r w:rsidRPr="0098397A">
        <w:rPr>
          <w:rFonts w:cs="CMU Serif Roman"/>
        </w:rPr>
        <w:t>(6), 1464–1480. https://doi.org/10.1037/0022-3514.74.6.1464</w:t>
      </w:r>
    </w:p>
    <w:p w14:paraId="3980ADAB" w14:textId="77777777" w:rsidR="0098397A" w:rsidRPr="0098397A" w:rsidRDefault="0098397A" w:rsidP="0098397A">
      <w:pPr>
        <w:pStyle w:val="Bibliography"/>
        <w:rPr>
          <w:rFonts w:cs="CMU Serif Roman"/>
        </w:rPr>
      </w:pPr>
      <w:r w:rsidRPr="0098397A">
        <w:rPr>
          <w:rFonts w:cs="CMU Serif Roman"/>
        </w:rPr>
        <w:t xml:space="preserve">Hussey, I., &amp; Barnes-Holmes, D. (2012). The implicit relational assessment procedure as a measure of implicit depression and the role of psychological flexibility. </w:t>
      </w:r>
      <w:r w:rsidRPr="0098397A">
        <w:rPr>
          <w:rFonts w:cs="CMU Serif Roman"/>
          <w:i/>
          <w:iCs/>
        </w:rPr>
        <w:t>Cognitive and Behavioral Practice</w:t>
      </w:r>
      <w:r w:rsidRPr="0098397A">
        <w:rPr>
          <w:rFonts w:cs="CMU Serif Roman"/>
        </w:rPr>
        <w:t xml:space="preserve">, </w:t>
      </w:r>
      <w:r w:rsidRPr="0098397A">
        <w:rPr>
          <w:rFonts w:cs="CMU Serif Roman"/>
          <w:i/>
          <w:iCs/>
        </w:rPr>
        <w:t>19</w:t>
      </w:r>
      <w:r w:rsidRPr="0098397A">
        <w:rPr>
          <w:rFonts w:cs="CMU Serif Roman"/>
        </w:rPr>
        <w:t>(4), 573–582. https://doi.org/10.1016/j.cbpra.2012.03.002</w:t>
      </w:r>
    </w:p>
    <w:p w14:paraId="18935A75" w14:textId="77777777" w:rsidR="0098397A" w:rsidRPr="0098397A" w:rsidRDefault="0098397A" w:rsidP="0098397A">
      <w:pPr>
        <w:pStyle w:val="Bibliography"/>
        <w:rPr>
          <w:rFonts w:cs="CMU Serif Roman"/>
        </w:rPr>
      </w:pPr>
      <w:r w:rsidRPr="0098397A">
        <w:rPr>
          <w:rFonts w:cs="CMU Serif Roman"/>
        </w:rPr>
        <w:t xml:space="preserve">Lakens, Daniël. (2013). Calculating and reporting effect sizes to facilitate cumulative science: A practical primer for t-tests and ANOVAs. </w:t>
      </w:r>
      <w:r w:rsidRPr="0098397A">
        <w:rPr>
          <w:rFonts w:cs="CMU Serif Roman"/>
          <w:i/>
          <w:iCs/>
        </w:rPr>
        <w:t>Frontiers in Psychology</w:t>
      </w:r>
      <w:r w:rsidRPr="0098397A">
        <w:rPr>
          <w:rFonts w:cs="CMU Serif Roman"/>
        </w:rPr>
        <w:t xml:space="preserve">, </w:t>
      </w:r>
      <w:r w:rsidRPr="0098397A">
        <w:rPr>
          <w:rFonts w:cs="CMU Serif Roman"/>
          <w:i/>
          <w:iCs/>
        </w:rPr>
        <w:t>4</w:t>
      </w:r>
      <w:r w:rsidRPr="0098397A">
        <w:rPr>
          <w:rFonts w:cs="CMU Serif Roman"/>
        </w:rPr>
        <w:t>. https://doi.org/10.3389/fpsyg.2013.00863</w:t>
      </w:r>
    </w:p>
    <w:p w14:paraId="6801EC1B" w14:textId="77777777" w:rsidR="0098397A" w:rsidRPr="0098397A" w:rsidRDefault="0098397A" w:rsidP="0098397A">
      <w:pPr>
        <w:pStyle w:val="Bibliography"/>
        <w:rPr>
          <w:rFonts w:cs="CMU Serif Roman"/>
        </w:rPr>
      </w:pPr>
      <w:r w:rsidRPr="0098397A">
        <w:rPr>
          <w:rFonts w:cs="CMU Serif Roman"/>
        </w:rPr>
        <w:t xml:space="preserve">Lakens, Daniël, Page-Gould, E., van Assen, M. A. L. M., Spellman, B., Schönbrodt, F. D., Hasselman, F., Corker, K. S., Grange, J., Sharples, A., Cavender, C., Augusteijn, H., Augusteijn, H., Gerger, H., Locher, C., Miller, I. D., Anvari, </w:t>
      </w:r>
      <w:r w:rsidRPr="0098397A">
        <w:rPr>
          <w:rFonts w:cs="CMU Serif Roman"/>
        </w:rPr>
        <w:lastRenderedPageBreak/>
        <w:t xml:space="preserve">F., &amp; Scheel, A. M. (2017). </w:t>
      </w:r>
      <w:r w:rsidRPr="0098397A">
        <w:rPr>
          <w:rFonts w:cs="CMU Serif Roman"/>
          <w:i/>
          <w:iCs/>
        </w:rPr>
        <w:t>Examining the Reproducibility of Meta-Analyses in Psychology: A Preliminary Report</w:t>
      </w:r>
      <w:r w:rsidRPr="0098397A">
        <w:rPr>
          <w:rFonts w:cs="CMU Serif Roman"/>
        </w:rPr>
        <w:t xml:space="preserve"> [Preprint]. BITSS. https://doi.org/10.31222/osf.io/xfbjf</w:t>
      </w:r>
    </w:p>
    <w:p w14:paraId="2CCBAB17" w14:textId="77777777" w:rsidR="0098397A" w:rsidRPr="0098397A" w:rsidRDefault="0098397A" w:rsidP="0098397A">
      <w:pPr>
        <w:pStyle w:val="Bibliography"/>
        <w:rPr>
          <w:rFonts w:cs="CMU Serif Roman"/>
        </w:rPr>
      </w:pPr>
      <w:r w:rsidRPr="0098397A">
        <w:rPr>
          <w:rFonts w:cs="CMU Serif Roman"/>
        </w:rPr>
        <w:t xml:space="preserve">Maassen, E., Assen, M. A. L. M. van, Nuijten, M. B., Olsson-Collentine, A., &amp; Wicherts, J. M. (2020). Reproducibility of individual effect sizes in meta-analyses in psychology. </w:t>
      </w:r>
      <w:r w:rsidRPr="0098397A">
        <w:rPr>
          <w:rFonts w:cs="CMU Serif Roman"/>
          <w:i/>
          <w:iCs/>
        </w:rPr>
        <w:t>PLOS ONE</w:t>
      </w:r>
      <w:r w:rsidRPr="0098397A">
        <w:rPr>
          <w:rFonts w:cs="CMU Serif Roman"/>
        </w:rPr>
        <w:t xml:space="preserve">, </w:t>
      </w:r>
      <w:r w:rsidRPr="0098397A">
        <w:rPr>
          <w:rFonts w:cs="CMU Serif Roman"/>
          <w:i/>
          <w:iCs/>
        </w:rPr>
        <w:t>15</w:t>
      </w:r>
      <w:r w:rsidRPr="0098397A">
        <w:rPr>
          <w:rFonts w:cs="CMU Serif Roman"/>
        </w:rPr>
        <w:t>(5), e0233107. https://doi.org/10.1371/journal.pone.0233107</w:t>
      </w:r>
    </w:p>
    <w:p w14:paraId="1C6F5EAF" w14:textId="77777777" w:rsidR="0098397A" w:rsidRPr="0098397A" w:rsidRDefault="0098397A" w:rsidP="0098397A">
      <w:pPr>
        <w:pStyle w:val="Bibliography"/>
        <w:rPr>
          <w:rFonts w:cs="CMU Serif Roman"/>
        </w:rPr>
      </w:pPr>
      <w:r w:rsidRPr="0098397A">
        <w:rPr>
          <w:rFonts w:cs="CMU Serif Roman"/>
        </w:rPr>
        <w:t xml:space="preserve">Nock, M. K., Park, J. M., Finn, C. T., Deliberto, T. L., Dour, H. J., &amp; Banaji, M. R. (2010). Measuring the suicidal mind: Implicit cognition predicts suicidal behavior. </w:t>
      </w:r>
      <w:r w:rsidRPr="0098397A">
        <w:rPr>
          <w:rFonts w:cs="CMU Serif Roman"/>
          <w:i/>
          <w:iCs/>
        </w:rPr>
        <w:t>Psychological Science</w:t>
      </w:r>
      <w:r w:rsidRPr="0098397A">
        <w:rPr>
          <w:rFonts w:cs="CMU Serif Roman"/>
        </w:rPr>
        <w:t xml:space="preserve">, </w:t>
      </w:r>
      <w:r w:rsidRPr="0098397A">
        <w:rPr>
          <w:rFonts w:cs="CMU Serif Roman"/>
          <w:i/>
          <w:iCs/>
        </w:rPr>
        <w:t>21</w:t>
      </w:r>
      <w:r w:rsidRPr="0098397A">
        <w:rPr>
          <w:rFonts w:cs="CMU Serif Roman"/>
        </w:rPr>
        <w:t>(4), 511–517. https://doi.org/10.1177/0956797610364762</w:t>
      </w:r>
    </w:p>
    <w:p w14:paraId="7790246E" w14:textId="77777777" w:rsidR="0098397A" w:rsidRPr="0098397A" w:rsidRDefault="0098397A" w:rsidP="0098397A">
      <w:pPr>
        <w:pStyle w:val="Bibliography"/>
        <w:rPr>
          <w:rFonts w:cs="CMU Serif Roman"/>
        </w:rPr>
      </w:pPr>
      <w:r w:rsidRPr="0098397A">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98397A">
        <w:rPr>
          <w:rFonts w:cs="CMU Serif Roman"/>
          <w:i/>
          <w:iCs/>
        </w:rPr>
        <w:t>Cognition &amp; Emotion</w:t>
      </w:r>
      <w:r w:rsidRPr="0098397A">
        <w:rPr>
          <w:rFonts w:cs="CMU Serif Roman"/>
        </w:rPr>
        <w:t xml:space="preserve">, </w:t>
      </w:r>
      <w:r w:rsidRPr="0098397A">
        <w:rPr>
          <w:rFonts w:cs="CMU Serif Roman"/>
          <w:i/>
          <w:iCs/>
        </w:rPr>
        <w:t>27</w:t>
      </w:r>
      <w:r w:rsidRPr="0098397A">
        <w:rPr>
          <w:rFonts w:cs="CMU Serif Roman"/>
        </w:rPr>
        <w:t>(8), 1441–1449. https://doi.org/10.1080/02699931.2013.786681</w:t>
      </w:r>
    </w:p>
    <w:p w14:paraId="6FD28D63" w14:textId="77777777" w:rsidR="0098397A" w:rsidRPr="0098397A" w:rsidRDefault="0098397A" w:rsidP="0098397A">
      <w:pPr>
        <w:pStyle w:val="Bibliography"/>
        <w:rPr>
          <w:rFonts w:cs="CMU Serif Roman"/>
        </w:rPr>
      </w:pPr>
      <w:r w:rsidRPr="0098397A">
        <w:rPr>
          <w:rFonts w:cs="CMU Serif Roman"/>
        </w:rPr>
        <w:t xml:space="preserve">Roefs, A., Huijding, J., Smulders, F. T. Y., MacLeod, C. M., de Jong, P. J., Wiers, R. W., &amp; Jansen, A. T. M. (2011). Implicit measures of association in psychopathology research. </w:t>
      </w:r>
      <w:r w:rsidRPr="0098397A">
        <w:rPr>
          <w:rFonts w:cs="CMU Serif Roman"/>
          <w:i/>
          <w:iCs/>
        </w:rPr>
        <w:t>Psychological Bulletin</w:t>
      </w:r>
      <w:r w:rsidRPr="0098397A">
        <w:rPr>
          <w:rFonts w:cs="CMU Serif Roman"/>
        </w:rPr>
        <w:t xml:space="preserve">, </w:t>
      </w:r>
      <w:r w:rsidRPr="0098397A">
        <w:rPr>
          <w:rFonts w:cs="CMU Serif Roman"/>
          <w:i/>
          <w:iCs/>
        </w:rPr>
        <w:t>137</w:t>
      </w:r>
      <w:r w:rsidRPr="0098397A">
        <w:rPr>
          <w:rFonts w:cs="CMU Serif Roman"/>
        </w:rPr>
        <w:t>(1), 149–193. https://doi.org/10.1037/a0021729</w:t>
      </w:r>
    </w:p>
    <w:p w14:paraId="7B8711DC" w14:textId="77777777" w:rsidR="0098397A" w:rsidRPr="0098397A" w:rsidRDefault="0098397A" w:rsidP="0098397A">
      <w:pPr>
        <w:pStyle w:val="Bibliography"/>
        <w:rPr>
          <w:rFonts w:cs="CMU Serif Roman"/>
        </w:rPr>
      </w:pPr>
      <w:r w:rsidRPr="0098397A">
        <w:rPr>
          <w:rFonts w:cs="CMU Serif Roman"/>
        </w:rPr>
        <w:lastRenderedPageBreak/>
        <w:t xml:space="preserve">Tello, N., Harika-Germaneau, G., Serra, W., Jaafari, N., &amp; Chatard, A. (2020). Forecasting a Fatal Decision: Direct Replication of the Predictive Validity of the Suicide–Implicit Association Test. </w:t>
      </w:r>
      <w:r w:rsidRPr="0098397A">
        <w:rPr>
          <w:rFonts w:cs="CMU Serif Roman"/>
          <w:i/>
          <w:iCs/>
        </w:rPr>
        <w:t>Psychological Science</w:t>
      </w:r>
      <w:r w:rsidRPr="0098397A">
        <w:rPr>
          <w:rFonts w:cs="CMU Serif Roman"/>
        </w:rPr>
        <w:t xml:space="preserve">, </w:t>
      </w:r>
      <w:r w:rsidRPr="0098397A">
        <w:rPr>
          <w:rFonts w:cs="CMU Serif Roman"/>
          <w:i/>
          <w:iCs/>
        </w:rPr>
        <w:t>31</w:t>
      </w:r>
      <w:r w:rsidRPr="0098397A">
        <w:rPr>
          <w:rFonts w:cs="CMU Serif Roman"/>
        </w:rPr>
        <w:t>(1), 65–74. https://doi.org/10.1177/0956797619893062</w:t>
      </w:r>
    </w:p>
    <w:p w14:paraId="07C531B7" w14:textId="77777777" w:rsidR="0098397A" w:rsidRPr="0098397A" w:rsidRDefault="0098397A" w:rsidP="0098397A">
      <w:pPr>
        <w:pStyle w:val="Bibliography"/>
        <w:rPr>
          <w:rFonts w:cs="CMU Serif Roman"/>
        </w:rPr>
      </w:pPr>
      <w:r w:rsidRPr="0098397A">
        <w:rPr>
          <w:rFonts w:cs="CMU Serif Roman"/>
        </w:rPr>
        <w:t xml:space="preserve">Vahey, N. A., Nicholson, E., &amp; Barnes-Holmes, D. (2015). A meta-analysis of criterion effects for the Implicit Relational Assessment Procedure (IRAP) in the clinical domain. </w:t>
      </w:r>
      <w:r w:rsidRPr="0098397A">
        <w:rPr>
          <w:rFonts w:cs="CMU Serif Roman"/>
          <w:i/>
          <w:iCs/>
        </w:rPr>
        <w:t>Journal of Behavior Therapy and Experimental Psychiatry</w:t>
      </w:r>
      <w:r w:rsidRPr="0098397A">
        <w:rPr>
          <w:rFonts w:cs="CMU Serif Roman"/>
        </w:rPr>
        <w:t xml:space="preserve">, </w:t>
      </w:r>
      <w:r w:rsidRPr="0098397A">
        <w:rPr>
          <w:rFonts w:cs="CMU Serif Roman"/>
          <w:i/>
          <w:iCs/>
        </w:rPr>
        <w:t>48</w:t>
      </w:r>
      <w:r w:rsidRPr="0098397A">
        <w:rPr>
          <w:rFonts w:cs="CMU Serif Roman"/>
        </w:rPr>
        <w:t>, 59–65. https://doi.org/10.1016/j.jbtep.2015.01.004</w:t>
      </w:r>
    </w:p>
    <w:p w14:paraId="37EDE0FA" w14:textId="3B9F9348" w:rsidR="0019318C" w:rsidRPr="0019318C" w:rsidRDefault="00020CCE" w:rsidP="0019318C">
      <w:pPr>
        <w:rPr>
          <w:lang w:val="en-IE"/>
        </w:rPr>
      </w:pPr>
      <w:r>
        <w:rPr>
          <w:lang w:val="en-IE"/>
        </w:rPr>
        <w:fldChar w:fldCharType="end"/>
      </w:r>
    </w:p>
    <w:sectPr w:rsidR="0019318C" w:rsidRPr="0019318C" w:rsidSect="00FA58C6">
      <w:headerReference w:type="default" r:id="rId16"/>
      <w:headerReference w:type="first" r:id="rId17"/>
      <w:footnotePr>
        <w:pos w:val="beneathText"/>
      </w:footnotePr>
      <w:pgSz w:w="11900" w:h="16840"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06-17T16:56:00Z" w:initials="IH">
    <w:p w14:paraId="67F13FBF" w14:textId="77777777" w:rsidR="0098397A" w:rsidRDefault="0098397A" w:rsidP="00F970A1">
      <w:pPr>
        <w:pStyle w:val="CommentText"/>
      </w:pPr>
      <w:r>
        <w:rPr>
          <w:rStyle w:val="CommentReference"/>
        </w:rPr>
        <w:annotationRef/>
      </w:r>
      <w:r>
        <w:t>Does Vahey?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F13F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F13FBF" w16cid:durableId="2294C9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BA212" w14:textId="77777777" w:rsidR="00E213F1" w:rsidRDefault="00E213F1">
      <w:pPr>
        <w:spacing w:line="240" w:lineRule="auto"/>
      </w:pPr>
      <w:r>
        <w:separator/>
      </w:r>
    </w:p>
  </w:endnote>
  <w:endnote w:type="continuationSeparator" w:id="0">
    <w:p w14:paraId="113FD4AF" w14:textId="77777777" w:rsidR="00E213F1" w:rsidRDefault="00E21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4A017" w14:textId="77777777" w:rsidR="00E213F1" w:rsidRDefault="00E213F1">
      <w:pPr>
        <w:spacing w:line="240" w:lineRule="auto"/>
      </w:pPr>
      <w:r>
        <w:separator/>
      </w:r>
    </w:p>
  </w:footnote>
  <w:footnote w:type="continuationSeparator" w:id="0">
    <w:p w14:paraId="4F8A7A31" w14:textId="77777777" w:rsidR="00E213F1" w:rsidRDefault="00E213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153F0" w14:textId="5B0321A2" w:rsidR="0098397A" w:rsidRDefault="00E213F1">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Strong"/>
        </w:rPr>
      </w:sdtEndPr>
      <w:sdtContent>
        <w:r w:rsidR="0098397A">
          <w:rPr>
            <w:rStyle w:val="Strong"/>
          </w:rPr>
          <w:t>CRITICAL REANALYSIS OF VAHEY ET AL. (2015)</w:t>
        </w:r>
      </w:sdtContent>
    </w:sdt>
    <w:r w:rsidR="0098397A">
      <w:rPr>
        <w:rStyle w:val="Strong"/>
      </w:rPr>
      <w:t xml:space="preserve"> </w:t>
    </w:r>
    <w:r w:rsidR="0098397A">
      <w:rPr>
        <w:rStyle w:val="Strong"/>
      </w:rPr>
      <w:ptab w:relativeTo="margin" w:alignment="right" w:leader="none"/>
    </w:r>
    <w:r w:rsidR="0098397A">
      <w:rPr>
        <w:rStyle w:val="Strong"/>
      </w:rPr>
      <w:fldChar w:fldCharType="begin"/>
    </w:r>
    <w:r w:rsidR="0098397A">
      <w:rPr>
        <w:rStyle w:val="Strong"/>
      </w:rPr>
      <w:instrText xml:space="preserve"> PAGE   \* MERGEFORMAT </w:instrText>
    </w:r>
    <w:r w:rsidR="0098397A">
      <w:rPr>
        <w:rStyle w:val="Strong"/>
      </w:rPr>
      <w:fldChar w:fldCharType="separate"/>
    </w:r>
    <w:r w:rsidR="0098397A">
      <w:rPr>
        <w:rStyle w:val="Strong"/>
        <w:noProof/>
      </w:rPr>
      <w:t>2</w:t>
    </w:r>
    <w:r w:rsidR="0098397A">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A22C3" w14:textId="3290604D" w:rsidR="0098397A" w:rsidRDefault="0098397A">
    <w:pPr>
      <w:pStyle w:val="Header"/>
      <w:rPr>
        <w:rStyle w:val="Strong"/>
      </w:rPr>
    </w:pPr>
    <w:r>
      <w:t xml:space="preserve">Running head: </w:t>
    </w:r>
    <w:sdt>
      <w:sdtPr>
        <w:rPr>
          <w:caps/>
        </w:rPr>
        <w:alias w:val="Running head"/>
        <w:tag w:val=""/>
        <w:id w:val="-696842620"/>
        <w:dataBinding w:prefixMappings="xmlns:ns0='http://schemas.microsoft.com/office/2006/coverPageProps' " w:xpath="/ns0:CoverPageProperties[1]/ns0:Abstract[1]" w:storeItemID="{55AF091B-3C7A-41E3-B477-F2FDAA23CFDA}"/>
        <w:text/>
      </w:sdtPr>
      <w:sdtEndPr/>
      <w:sdtContent>
        <w:r w:rsidRPr="003242D3">
          <w:rPr>
            <w:caps/>
          </w:rPr>
          <w:t>CRITICAL REANALYSIS OF VAHEY ET AL. (2015)</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6A5568"/>
    <w:multiLevelType w:val="hybridMultilevel"/>
    <w:tmpl w:val="00B46508"/>
    <w:lvl w:ilvl="0" w:tplc="E3C23AE0">
      <w:start w:val="2"/>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7"/>
  <w:proofState w:spelling="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45"/>
    <w:rsid w:val="00000607"/>
    <w:rsid w:val="0000256A"/>
    <w:rsid w:val="00004245"/>
    <w:rsid w:val="000042A4"/>
    <w:rsid w:val="000058FE"/>
    <w:rsid w:val="00006FFE"/>
    <w:rsid w:val="00007E38"/>
    <w:rsid w:val="00012D86"/>
    <w:rsid w:val="0001495B"/>
    <w:rsid w:val="00015929"/>
    <w:rsid w:val="000176AB"/>
    <w:rsid w:val="00020CCE"/>
    <w:rsid w:val="0002563C"/>
    <w:rsid w:val="0003306F"/>
    <w:rsid w:val="00034ED5"/>
    <w:rsid w:val="00035512"/>
    <w:rsid w:val="000368E9"/>
    <w:rsid w:val="00037818"/>
    <w:rsid w:val="0004002A"/>
    <w:rsid w:val="00044F35"/>
    <w:rsid w:val="00050B95"/>
    <w:rsid w:val="00051346"/>
    <w:rsid w:val="0005547F"/>
    <w:rsid w:val="00055C04"/>
    <w:rsid w:val="00057A48"/>
    <w:rsid w:val="00060AAC"/>
    <w:rsid w:val="000615B6"/>
    <w:rsid w:val="00061C7B"/>
    <w:rsid w:val="00071AF0"/>
    <w:rsid w:val="00072127"/>
    <w:rsid w:val="00073AEA"/>
    <w:rsid w:val="00073C14"/>
    <w:rsid w:val="0007436D"/>
    <w:rsid w:val="00077814"/>
    <w:rsid w:val="0008131C"/>
    <w:rsid w:val="00085519"/>
    <w:rsid w:val="00087D71"/>
    <w:rsid w:val="00091D39"/>
    <w:rsid w:val="000A4830"/>
    <w:rsid w:val="000B0E0C"/>
    <w:rsid w:val="000B37DC"/>
    <w:rsid w:val="000B3F7C"/>
    <w:rsid w:val="000B410D"/>
    <w:rsid w:val="000B7F13"/>
    <w:rsid w:val="000C05E3"/>
    <w:rsid w:val="000C1279"/>
    <w:rsid w:val="000C1AB7"/>
    <w:rsid w:val="000C39C4"/>
    <w:rsid w:val="000C58AE"/>
    <w:rsid w:val="000C7CE5"/>
    <w:rsid w:val="000D0343"/>
    <w:rsid w:val="000D155D"/>
    <w:rsid w:val="000D55D4"/>
    <w:rsid w:val="000E0A02"/>
    <w:rsid w:val="000E19BC"/>
    <w:rsid w:val="000E42E9"/>
    <w:rsid w:val="000E5B2E"/>
    <w:rsid w:val="000E6344"/>
    <w:rsid w:val="000E757F"/>
    <w:rsid w:val="000E758E"/>
    <w:rsid w:val="000E7B94"/>
    <w:rsid w:val="000F3C3D"/>
    <w:rsid w:val="000F57B4"/>
    <w:rsid w:val="000F6CD8"/>
    <w:rsid w:val="00101766"/>
    <w:rsid w:val="001032C0"/>
    <w:rsid w:val="001032EC"/>
    <w:rsid w:val="0011061B"/>
    <w:rsid w:val="001139F6"/>
    <w:rsid w:val="00113C12"/>
    <w:rsid w:val="00115ADA"/>
    <w:rsid w:val="00121D59"/>
    <w:rsid w:val="001222A1"/>
    <w:rsid w:val="00124C3A"/>
    <w:rsid w:val="001264E4"/>
    <w:rsid w:val="0012699D"/>
    <w:rsid w:val="001368B2"/>
    <w:rsid w:val="00140174"/>
    <w:rsid w:val="001402CB"/>
    <w:rsid w:val="00147BEF"/>
    <w:rsid w:val="001502EC"/>
    <w:rsid w:val="001560E6"/>
    <w:rsid w:val="00156855"/>
    <w:rsid w:val="00160057"/>
    <w:rsid w:val="00162E13"/>
    <w:rsid w:val="00163676"/>
    <w:rsid w:val="001666E1"/>
    <w:rsid w:val="001712EB"/>
    <w:rsid w:val="00172017"/>
    <w:rsid w:val="00174892"/>
    <w:rsid w:val="001769BA"/>
    <w:rsid w:val="001830F2"/>
    <w:rsid w:val="00184CFF"/>
    <w:rsid w:val="00187488"/>
    <w:rsid w:val="00191A59"/>
    <w:rsid w:val="0019318C"/>
    <w:rsid w:val="00194085"/>
    <w:rsid w:val="00194817"/>
    <w:rsid w:val="001972F3"/>
    <w:rsid w:val="00197FAA"/>
    <w:rsid w:val="001A517A"/>
    <w:rsid w:val="001A6DB5"/>
    <w:rsid w:val="001A7A79"/>
    <w:rsid w:val="001B0992"/>
    <w:rsid w:val="001C2057"/>
    <w:rsid w:val="001C2C87"/>
    <w:rsid w:val="001C3D91"/>
    <w:rsid w:val="001C52EA"/>
    <w:rsid w:val="001D1A3D"/>
    <w:rsid w:val="001D3487"/>
    <w:rsid w:val="001D4387"/>
    <w:rsid w:val="001E558B"/>
    <w:rsid w:val="001E6542"/>
    <w:rsid w:val="001E6F21"/>
    <w:rsid w:val="001F1E93"/>
    <w:rsid w:val="001F3AC4"/>
    <w:rsid w:val="001F4423"/>
    <w:rsid w:val="001F5853"/>
    <w:rsid w:val="001F7AED"/>
    <w:rsid w:val="002013B3"/>
    <w:rsid w:val="00201ABF"/>
    <w:rsid w:val="00201AE3"/>
    <w:rsid w:val="002041AD"/>
    <w:rsid w:val="00205DA3"/>
    <w:rsid w:val="00211ACD"/>
    <w:rsid w:val="002216D6"/>
    <w:rsid w:val="002243D5"/>
    <w:rsid w:val="00225075"/>
    <w:rsid w:val="00225CC3"/>
    <w:rsid w:val="002364CC"/>
    <w:rsid w:val="00237293"/>
    <w:rsid w:val="00242097"/>
    <w:rsid w:val="00242EBE"/>
    <w:rsid w:val="0024689D"/>
    <w:rsid w:val="0025196A"/>
    <w:rsid w:val="00255BBA"/>
    <w:rsid w:val="002565B3"/>
    <w:rsid w:val="00256E49"/>
    <w:rsid w:val="002605B5"/>
    <w:rsid w:val="00264364"/>
    <w:rsid w:val="002677E0"/>
    <w:rsid w:val="00270399"/>
    <w:rsid w:val="002714D2"/>
    <w:rsid w:val="002717CB"/>
    <w:rsid w:val="002726B7"/>
    <w:rsid w:val="00273D10"/>
    <w:rsid w:val="00273F0D"/>
    <w:rsid w:val="002743D5"/>
    <w:rsid w:val="00275017"/>
    <w:rsid w:val="00276C78"/>
    <w:rsid w:val="00276D04"/>
    <w:rsid w:val="002770F4"/>
    <w:rsid w:val="00282131"/>
    <w:rsid w:val="00285272"/>
    <w:rsid w:val="00285434"/>
    <w:rsid w:val="002864F4"/>
    <w:rsid w:val="00286B6B"/>
    <w:rsid w:val="0029064B"/>
    <w:rsid w:val="002927D0"/>
    <w:rsid w:val="002937F5"/>
    <w:rsid w:val="00294461"/>
    <w:rsid w:val="002959F9"/>
    <w:rsid w:val="00296D82"/>
    <w:rsid w:val="002A3D27"/>
    <w:rsid w:val="002B250C"/>
    <w:rsid w:val="002C1065"/>
    <w:rsid w:val="002C281B"/>
    <w:rsid w:val="002C4652"/>
    <w:rsid w:val="002C4756"/>
    <w:rsid w:val="002D0827"/>
    <w:rsid w:val="002D710D"/>
    <w:rsid w:val="002E0D11"/>
    <w:rsid w:val="002E1C9F"/>
    <w:rsid w:val="002E47E0"/>
    <w:rsid w:val="002E70FA"/>
    <w:rsid w:val="002E765C"/>
    <w:rsid w:val="002F6EBF"/>
    <w:rsid w:val="00306729"/>
    <w:rsid w:val="0031005A"/>
    <w:rsid w:val="0031006D"/>
    <w:rsid w:val="00310626"/>
    <w:rsid w:val="00311B15"/>
    <w:rsid w:val="00313670"/>
    <w:rsid w:val="00315A3A"/>
    <w:rsid w:val="00317063"/>
    <w:rsid w:val="003179FC"/>
    <w:rsid w:val="003215DD"/>
    <w:rsid w:val="003242D3"/>
    <w:rsid w:val="00331375"/>
    <w:rsid w:val="00332A63"/>
    <w:rsid w:val="00335204"/>
    <w:rsid w:val="003352BD"/>
    <w:rsid w:val="0033644A"/>
    <w:rsid w:val="00336A63"/>
    <w:rsid w:val="00340BC8"/>
    <w:rsid w:val="00345D17"/>
    <w:rsid w:val="00362AAC"/>
    <w:rsid w:val="0036380F"/>
    <w:rsid w:val="00363F7C"/>
    <w:rsid w:val="00363FD4"/>
    <w:rsid w:val="00367E4D"/>
    <w:rsid w:val="00370731"/>
    <w:rsid w:val="003731B6"/>
    <w:rsid w:val="003764FB"/>
    <w:rsid w:val="00377AF7"/>
    <w:rsid w:val="00380BF0"/>
    <w:rsid w:val="00385161"/>
    <w:rsid w:val="003857BC"/>
    <w:rsid w:val="00385DD4"/>
    <w:rsid w:val="003862A9"/>
    <w:rsid w:val="003925A2"/>
    <w:rsid w:val="00392AFE"/>
    <w:rsid w:val="003A2CD5"/>
    <w:rsid w:val="003A30EB"/>
    <w:rsid w:val="003A397A"/>
    <w:rsid w:val="003A5E02"/>
    <w:rsid w:val="003B1681"/>
    <w:rsid w:val="003B531E"/>
    <w:rsid w:val="003B7BD1"/>
    <w:rsid w:val="003C1C06"/>
    <w:rsid w:val="003C4C45"/>
    <w:rsid w:val="003C516C"/>
    <w:rsid w:val="003D12B6"/>
    <w:rsid w:val="003D45FB"/>
    <w:rsid w:val="003D4E29"/>
    <w:rsid w:val="003D6374"/>
    <w:rsid w:val="003E4396"/>
    <w:rsid w:val="003E517D"/>
    <w:rsid w:val="003E6DD6"/>
    <w:rsid w:val="003E7A09"/>
    <w:rsid w:val="003E7C3F"/>
    <w:rsid w:val="003F0681"/>
    <w:rsid w:val="003F2528"/>
    <w:rsid w:val="00410BB6"/>
    <w:rsid w:val="00413951"/>
    <w:rsid w:val="00420735"/>
    <w:rsid w:val="004215DD"/>
    <w:rsid w:val="00422C9C"/>
    <w:rsid w:val="004233F8"/>
    <w:rsid w:val="004255B7"/>
    <w:rsid w:val="0043190E"/>
    <w:rsid w:val="004334BA"/>
    <w:rsid w:val="00434FBC"/>
    <w:rsid w:val="0044324E"/>
    <w:rsid w:val="00443928"/>
    <w:rsid w:val="004476FB"/>
    <w:rsid w:val="00447726"/>
    <w:rsid w:val="00450520"/>
    <w:rsid w:val="00451E68"/>
    <w:rsid w:val="0045396C"/>
    <w:rsid w:val="004541BC"/>
    <w:rsid w:val="004561EA"/>
    <w:rsid w:val="004574B2"/>
    <w:rsid w:val="0046051A"/>
    <w:rsid w:val="00463941"/>
    <w:rsid w:val="00464610"/>
    <w:rsid w:val="00465850"/>
    <w:rsid w:val="00466018"/>
    <w:rsid w:val="00466A92"/>
    <w:rsid w:val="00471791"/>
    <w:rsid w:val="004762B3"/>
    <w:rsid w:val="00481684"/>
    <w:rsid w:val="00491391"/>
    <w:rsid w:val="00491ACD"/>
    <w:rsid w:val="004950E7"/>
    <w:rsid w:val="00495B40"/>
    <w:rsid w:val="004A13AC"/>
    <w:rsid w:val="004A2BE6"/>
    <w:rsid w:val="004A3732"/>
    <w:rsid w:val="004A41BF"/>
    <w:rsid w:val="004A735A"/>
    <w:rsid w:val="004B2AD5"/>
    <w:rsid w:val="004B515D"/>
    <w:rsid w:val="004B66D0"/>
    <w:rsid w:val="004B7D55"/>
    <w:rsid w:val="004C0520"/>
    <w:rsid w:val="004C1ADE"/>
    <w:rsid w:val="004C4AFF"/>
    <w:rsid w:val="004C4C32"/>
    <w:rsid w:val="004D2067"/>
    <w:rsid w:val="004D4480"/>
    <w:rsid w:val="004E4EA8"/>
    <w:rsid w:val="004F041A"/>
    <w:rsid w:val="004F2358"/>
    <w:rsid w:val="00502344"/>
    <w:rsid w:val="00502D65"/>
    <w:rsid w:val="00506BD0"/>
    <w:rsid w:val="005100CA"/>
    <w:rsid w:val="00510EB2"/>
    <w:rsid w:val="005115B7"/>
    <w:rsid w:val="00517930"/>
    <w:rsid w:val="00526465"/>
    <w:rsid w:val="00536A52"/>
    <w:rsid w:val="005378BE"/>
    <w:rsid w:val="00543565"/>
    <w:rsid w:val="00545E99"/>
    <w:rsid w:val="00550542"/>
    <w:rsid w:val="00557CAB"/>
    <w:rsid w:val="005608DB"/>
    <w:rsid w:val="0056242D"/>
    <w:rsid w:val="005636E8"/>
    <w:rsid w:val="005664ED"/>
    <w:rsid w:val="005706E2"/>
    <w:rsid w:val="00573E33"/>
    <w:rsid w:val="00574382"/>
    <w:rsid w:val="00577EE5"/>
    <w:rsid w:val="005852C0"/>
    <w:rsid w:val="00590666"/>
    <w:rsid w:val="00592AD7"/>
    <w:rsid w:val="005949B3"/>
    <w:rsid w:val="00596747"/>
    <w:rsid w:val="0059682C"/>
    <w:rsid w:val="00597B37"/>
    <w:rsid w:val="005A0231"/>
    <w:rsid w:val="005A4CFA"/>
    <w:rsid w:val="005A527A"/>
    <w:rsid w:val="005A5E0D"/>
    <w:rsid w:val="005B1217"/>
    <w:rsid w:val="005B2050"/>
    <w:rsid w:val="005B207E"/>
    <w:rsid w:val="005B5258"/>
    <w:rsid w:val="005B62BD"/>
    <w:rsid w:val="005C021B"/>
    <w:rsid w:val="005C2E60"/>
    <w:rsid w:val="005C32EA"/>
    <w:rsid w:val="005C3EFA"/>
    <w:rsid w:val="005D0D0B"/>
    <w:rsid w:val="005D2D05"/>
    <w:rsid w:val="005D3166"/>
    <w:rsid w:val="005D4CC0"/>
    <w:rsid w:val="005E2A1E"/>
    <w:rsid w:val="005E302E"/>
    <w:rsid w:val="005E69BD"/>
    <w:rsid w:val="005F049C"/>
    <w:rsid w:val="005F19B4"/>
    <w:rsid w:val="006020FD"/>
    <w:rsid w:val="006051AB"/>
    <w:rsid w:val="006066F3"/>
    <w:rsid w:val="006072F3"/>
    <w:rsid w:val="00607B33"/>
    <w:rsid w:val="0061213E"/>
    <w:rsid w:val="00613912"/>
    <w:rsid w:val="00620BA7"/>
    <w:rsid w:val="0062262F"/>
    <w:rsid w:val="0062285B"/>
    <w:rsid w:val="00623198"/>
    <w:rsid w:val="00624206"/>
    <w:rsid w:val="00626119"/>
    <w:rsid w:val="006311E6"/>
    <w:rsid w:val="0063480E"/>
    <w:rsid w:val="00634C36"/>
    <w:rsid w:val="006455F4"/>
    <w:rsid w:val="00654045"/>
    <w:rsid w:val="006557E6"/>
    <w:rsid w:val="00655B42"/>
    <w:rsid w:val="00655BC4"/>
    <w:rsid w:val="00657FE4"/>
    <w:rsid w:val="006628F5"/>
    <w:rsid w:val="00664BE3"/>
    <w:rsid w:val="00665917"/>
    <w:rsid w:val="00665D0E"/>
    <w:rsid w:val="00670235"/>
    <w:rsid w:val="00681A5E"/>
    <w:rsid w:val="00683174"/>
    <w:rsid w:val="0068337C"/>
    <w:rsid w:val="00687F22"/>
    <w:rsid w:val="00692C63"/>
    <w:rsid w:val="006932FF"/>
    <w:rsid w:val="00693D2E"/>
    <w:rsid w:val="006943BB"/>
    <w:rsid w:val="0069459C"/>
    <w:rsid w:val="00695EAA"/>
    <w:rsid w:val="006A03EF"/>
    <w:rsid w:val="006A0828"/>
    <w:rsid w:val="006A0B15"/>
    <w:rsid w:val="006A1252"/>
    <w:rsid w:val="006A25B4"/>
    <w:rsid w:val="006A49D5"/>
    <w:rsid w:val="006A5ABE"/>
    <w:rsid w:val="006A7A3F"/>
    <w:rsid w:val="006B4921"/>
    <w:rsid w:val="006B5C85"/>
    <w:rsid w:val="006B6682"/>
    <w:rsid w:val="006C06AE"/>
    <w:rsid w:val="006C4EAF"/>
    <w:rsid w:val="006C55D4"/>
    <w:rsid w:val="006C59B4"/>
    <w:rsid w:val="006D15D0"/>
    <w:rsid w:val="006D3CDE"/>
    <w:rsid w:val="006E5050"/>
    <w:rsid w:val="006E56D0"/>
    <w:rsid w:val="006E7481"/>
    <w:rsid w:val="006F27D1"/>
    <w:rsid w:val="006F67A9"/>
    <w:rsid w:val="00722DAE"/>
    <w:rsid w:val="007238A8"/>
    <w:rsid w:val="00726F74"/>
    <w:rsid w:val="0072723F"/>
    <w:rsid w:val="007277F8"/>
    <w:rsid w:val="00730213"/>
    <w:rsid w:val="007328B7"/>
    <w:rsid w:val="0073569A"/>
    <w:rsid w:val="00735EF7"/>
    <w:rsid w:val="0073632A"/>
    <w:rsid w:val="0074087B"/>
    <w:rsid w:val="0074538C"/>
    <w:rsid w:val="00745996"/>
    <w:rsid w:val="00746BEA"/>
    <w:rsid w:val="00750ED4"/>
    <w:rsid w:val="0075115C"/>
    <w:rsid w:val="00752692"/>
    <w:rsid w:val="00755399"/>
    <w:rsid w:val="007554D5"/>
    <w:rsid w:val="007559B9"/>
    <w:rsid w:val="007567E4"/>
    <w:rsid w:val="00760376"/>
    <w:rsid w:val="00760A7A"/>
    <w:rsid w:val="007613BA"/>
    <w:rsid w:val="0076306E"/>
    <w:rsid w:val="0076531A"/>
    <w:rsid w:val="007705D1"/>
    <w:rsid w:val="007705FB"/>
    <w:rsid w:val="00770D35"/>
    <w:rsid w:val="00770D92"/>
    <w:rsid w:val="00772089"/>
    <w:rsid w:val="00780A5B"/>
    <w:rsid w:val="00783BD0"/>
    <w:rsid w:val="00783D60"/>
    <w:rsid w:val="00787261"/>
    <w:rsid w:val="00787E26"/>
    <w:rsid w:val="0079031E"/>
    <w:rsid w:val="007910AC"/>
    <w:rsid w:val="00791DC6"/>
    <w:rsid w:val="0079285A"/>
    <w:rsid w:val="00793170"/>
    <w:rsid w:val="007932C4"/>
    <w:rsid w:val="0079694D"/>
    <w:rsid w:val="007A09E0"/>
    <w:rsid w:val="007A18CE"/>
    <w:rsid w:val="007A42CB"/>
    <w:rsid w:val="007A780D"/>
    <w:rsid w:val="007B57B6"/>
    <w:rsid w:val="007B6044"/>
    <w:rsid w:val="007B65B2"/>
    <w:rsid w:val="007B7F27"/>
    <w:rsid w:val="007C0AA0"/>
    <w:rsid w:val="007C621F"/>
    <w:rsid w:val="007C67EB"/>
    <w:rsid w:val="007D0485"/>
    <w:rsid w:val="007D246E"/>
    <w:rsid w:val="007D56E1"/>
    <w:rsid w:val="007D6877"/>
    <w:rsid w:val="007E0953"/>
    <w:rsid w:val="007E2FD0"/>
    <w:rsid w:val="007E7A6C"/>
    <w:rsid w:val="007F00DB"/>
    <w:rsid w:val="007F3E21"/>
    <w:rsid w:val="007F5234"/>
    <w:rsid w:val="00804989"/>
    <w:rsid w:val="008114DB"/>
    <w:rsid w:val="00811B2D"/>
    <w:rsid w:val="00814200"/>
    <w:rsid w:val="008208F1"/>
    <w:rsid w:val="0082311D"/>
    <w:rsid w:val="00823386"/>
    <w:rsid w:val="0082664C"/>
    <w:rsid w:val="0082690B"/>
    <w:rsid w:val="0083323A"/>
    <w:rsid w:val="00835026"/>
    <w:rsid w:val="008450A1"/>
    <w:rsid w:val="00853151"/>
    <w:rsid w:val="00856F81"/>
    <w:rsid w:val="00861275"/>
    <w:rsid w:val="00864933"/>
    <w:rsid w:val="00874215"/>
    <w:rsid w:val="008756F3"/>
    <w:rsid w:val="00877221"/>
    <w:rsid w:val="00880C91"/>
    <w:rsid w:val="00882854"/>
    <w:rsid w:val="00883D04"/>
    <w:rsid w:val="00885404"/>
    <w:rsid w:val="0088714E"/>
    <w:rsid w:val="008915F3"/>
    <w:rsid w:val="00895BB5"/>
    <w:rsid w:val="008A06A2"/>
    <w:rsid w:val="008A1D3D"/>
    <w:rsid w:val="008A67EE"/>
    <w:rsid w:val="008B003C"/>
    <w:rsid w:val="008B2FD1"/>
    <w:rsid w:val="008B447A"/>
    <w:rsid w:val="008B4671"/>
    <w:rsid w:val="008C1A5E"/>
    <w:rsid w:val="008C1BF0"/>
    <w:rsid w:val="008C451A"/>
    <w:rsid w:val="008C489A"/>
    <w:rsid w:val="008C4F52"/>
    <w:rsid w:val="008D1B2D"/>
    <w:rsid w:val="008D7371"/>
    <w:rsid w:val="008D7DF1"/>
    <w:rsid w:val="008E1B43"/>
    <w:rsid w:val="008E280B"/>
    <w:rsid w:val="008E3B87"/>
    <w:rsid w:val="008E5D1F"/>
    <w:rsid w:val="008E7BF5"/>
    <w:rsid w:val="008F4C63"/>
    <w:rsid w:val="008F59CE"/>
    <w:rsid w:val="009010EC"/>
    <w:rsid w:val="00903B62"/>
    <w:rsid w:val="009059A5"/>
    <w:rsid w:val="00905C67"/>
    <w:rsid w:val="00910579"/>
    <w:rsid w:val="009126B9"/>
    <w:rsid w:val="009129E1"/>
    <w:rsid w:val="009266F5"/>
    <w:rsid w:val="00927A58"/>
    <w:rsid w:val="00931743"/>
    <w:rsid w:val="009347ED"/>
    <w:rsid w:val="009365E6"/>
    <w:rsid w:val="0094184B"/>
    <w:rsid w:val="0094387C"/>
    <w:rsid w:val="009474B7"/>
    <w:rsid w:val="009504E4"/>
    <w:rsid w:val="009505F5"/>
    <w:rsid w:val="00952F89"/>
    <w:rsid w:val="009648EC"/>
    <w:rsid w:val="00965908"/>
    <w:rsid w:val="00975C23"/>
    <w:rsid w:val="009806F8"/>
    <w:rsid w:val="00980A41"/>
    <w:rsid w:val="0098397A"/>
    <w:rsid w:val="009843BF"/>
    <w:rsid w:val="0099378E"/>
    <w:rsid w:val="00993890"/>
    <w:rsid w:val="0099567A"/>
    <w:rsid w:val="00996AD9"/>
    <w:rsid w:val="00997726"/>
    <w:rsid w:val="009A0658"/>
    <w:rsid w:val="009A1E11"/>
    <w:rsid w:val="009A4E8A"/>
    <w:rsid w:val="009B0F9F"/>
    <w:rsid w:val="009B10D7"/>
    <w:rsid w:val="009B2296"/>
    <w:rsid w:val="009B2A44"/>
    <w:rsid w:val="009B3F89"/>
    <w:rsid w:val="009B507C"/>
    <w:rsid w:val="009B56C9"/>
    <w:rsid w:val="009C1359"/>
    <w:rsid w:val="009C4BD3"/>
    <w:rsid w:val="009C5487"/>
    <w:rsid w:val="009C5D33"/>
    <w:rsid w:val="009D07F3"/>
    <w:rsid w:val="009D2203"/>
    <w:rsid w:val="009D369D"/>
    <w:rsid w:val="009D5D5B"/>
    <w:rsid w:val="009E18A6"/>
    <w:rsid w:val="009E61A0"/>
    <w:rsid w:val="009E7E38"/>
    <w:rsid w:val="009F0AB2"/>
    <w:rsid w:val="009F1749"/>
    <w:rsid w:val="00A01521"/>
    <w:rsid w:val="00A040B7"/>
    <w:rsid w:val="00A04509"/>
    <w:rsid w:val="00A067A4"/>
    <w:rsid w:val="00A07696"/>
    <w:rsid w:val="00A16808"/>
    <w:rsid w:val="00A17170"/>
    <w:rsid w:val="00A21395"/>
    <w:rsid w:val="00A2607F"/>
    <w:rsid w:val="00A32A86"/>
    <w:rsid w:val="00A34BED"/>
    <w:rsid w:val="00A41516"/>
    <w:rsid w:val="00A440F9"/>
    <w:rsid w:val="00A500E0"/>
    <w:rsid w:val="00A558AD"/>
    <w:rsid w:val="00A66C10"/>
    <w:rsid w:val="00A66FBD"/>
    <w:rsid w:val="00A67BAC"/>
    <w:rsid w:val="00A67CF3"/>
    <w:rsid w:val="00A71507"/>
    <w:rsid w:val="00A772E5"/>
    <w:rsid w:val="00A7786D"/>
    <w:rsid w:val="00A802C3"/>
    <w:rsid w:val="00A81FFA"/>
    <w:rsid w:val="00A85039"/>
    <w:rsid w:val="00A857ED"/>
    <w:rsid w:val="00A8582E"/>
    <w:rsid w:val="00A86191"/>
    <w:rsid w:val="00A8644B"/>
    <w:rsid w:val="00A87066"/>
    <w:rsid w:val="00A87158"/>
    <w:rsid w:val="00A90603"/>
    <w:rsid w:val="00A9154B"/>
    <w:rsid w:val="00A9779C"/>
    <w:rsid w:val="00A977C5"/>
    <w:rsid w:val="00A9789B"/>
    <w:rsid w:val="00AA0184"/>
    <w:rsid w:val="00AA0959"/>
    <w:rsid w:val="00AA43DC"/>
    <w:rsid w:val="00AB01A2"/>
    <w:rsid w:val="00AB64FC"/>
    <w:rsid w:val="00AB6AFF"/>
    <w:rsid w:val="00AB7698"/>
    <w:rsid w:val="00AC000E"/>
    <w:rsid w:val="00AC667B"/>
    <w:rsid w:val="00AD04AE"/>
    <w:rsid w:val="00AD1655"/>
    <w:rsid w:val="00AD218C"/>
    <w:rsid w:val="00AD2ADC"/>
    <w:rsid w:val="00AD4F3F"/>
    <w:rsid w:val="00AE1DBE"/>
    <w:rsid w:val="00AE3A38"/>
    <w:rsid w:val="00AE4303"/>
    <w:rsid w:val="00AE670F"/>
    <w:rsid w:val="00AF248C"/>
    <w:rsid w:val="00AF559F"/>
    <w:rsid w:val="00B0114C"/>
    <w:rsid w:val="00B039BA"/>
    <w:rsid w:val="00B10AF6"/>
    <w:rsid w:val="00B12140"/>
    <w:rsid w:val="00B20BF0"/>
    <w:rsid w:val="00B22BC5"/>
    <w:rsid w:val="00B33C50"/>
    <w:rsid w:val="00B401E4"/>
    <w:rsid w:val="00B4200D"/>
    <w:rsid w:val="00B433E4"/>
    <w:rsid w:val="00B440A1"/>
    <w:rsid w:val="00B45DD0"/>
    <w:rsid w:val="00B47744"/>
    <w:rsid w:val="00B53015"/>
    <w:rsid w:val="00B542D9"/>
    <w:rsid w:val="00B54DCF"/>
    <w:rsid w:val="00B56D67"/>
    <w:rsid w:val="00B601A7"/>
    <w:rsid w:val="00B72127"/>
    <w:rsid w:val="00B8115C"/>
    <w:rsid w:val="00B82C5E"/>
    <w:rsid w:val="00B83538"/>
    <w:rsid w:val="00B866E4"/>
    <w:rsid w:val="00B91025"/>
    <w:rsid w:val="00B91DE6"/>
    <w:rsid w:val="00B961A0"/>
    <w:rsid w:val="00BA0B72"/>
    <w:rsid w:val="00BA0CCD"/>
    <w:rsid w:val="00BA13F9"/>
    <w:rsid w:val="00BA2B69"/>
    <w:rsid w:val="00BA2CB7"/>
    <w:rsid w:val="00BA6361"/>
    <w:rsid w:val="00BB6A4C"/>
    <w:rsid w:val="00BC1DE3"/>
    <w:rsid w:val="00BC2DD4"/>
    <w:rsid w:val="00BD2232"/>
    <w:rsid w:val="00BD2C9A"/>
    <w:rsid w:val="00BE01BA"/>
    <w:rsid w:val="00BE5BC7"/>
    <w:rsid w:val="00BF05F4"/>
    <w:rsid w:val="00BF0878"/>
    <w:rsid w:val="00BF1657"/>
    <w:rsid w:val="00BF1CBB"/>
    <w:rsid w:val="00BF3266"/>
    <w:rsid w:val="00BF5F1B"/>
    <w:rsid w:val="00C029E2"/>
    <w:rsid w:val="00C02C83"/>
    <w:rsid w:val="00C13237"/>
    <w:rsid w:val="00C14019"/>
    <w:rsid w:val="00C14CCA"/>
    <w:rsid w:val="00C173E2"/>
    <w:rsid w:val="00C178C5"/>
    <w:rsid w:val="00C17CE0"/>
    <w:rsid w:val="00C20E07"/>
    <w:rsid w:val="00C25389"/>
    <w:rsid w:val="00C31377"/>
    <w:rsid w:val="00C32B1B"/>
    <w:rsid w:val="00C3404F"/>
    <w:rsid w:val="00C35B16"/>
    <w:rsid w:val="00C462B6"/>
    <w:rsid w:val="00C46479"/>
    <w:rsid w:val="00C47DC6"/>
    <w:rsid w:val="00C54CBD"/>
    <w:rsid w:val="00C5658C"/>
    <w:rsid w:val="00C56D0B"/>
    <w:rsid w:val="00C62477"/>
    <w:rsid w:val="00C6547B"/>
    <w:rsid w:val="00C656F6"/>
    <w:rsid w:val="00C65C11"/>
    <w:rsid w:val="00C668E2"/>
    <w:rsid w:val="00C66EFA"/>
    <w:rsid w:val="00C74E46"/>
    <w:rsid w:val="00C86D81"/>
    <w:rsid w:val="00CA055A"/>
    <w:rsid w:val="00CA2CD2"/>
    <w:rsid w:val="00CA4AF7"/>
    <w:rsid w:val="00CA5719"/>
    <w:rsid w:val="00CA67FC"/>
    <w:rsid w:val="00CA697E"/>
    <w:rsid w:val="00CB1616"/>
    <w:rsid w:val="00CB1EB8"/>
    <w:rsid w:val="00CB24A7"/>
    <w:rsid w:val="00CB2CBE"/>
    <w:rsid w:val="00CB2E66"/>
    <w:rsid w:val="00CB466C"/>
    <w:rsid w:val="00CB5477"/>
    <w:rsid w:val="00CB58A9"/>
    <w:rsid w:val="00CC0090"/>
    <w:rsid w:val="00CC0253"/>
    <w:rsid w:val="00CC05E4"/>
    <w:rsid w:val="00CC2A99"/>
    <w:rsid w:val="00CC2C84"/>
    <w:rsid w:val="00CC4582"/>
    <w:rsid w:val="00CD2CA8"/>
    <w:rsid w:val="00CE135E"/>
    <w:rsid w:val="00CE311E"/>
    <w:rsid w:val="00CE40A3"/>
    <w:rsid w:val="00CE607B"/>
    <w:rsid w:val="00CE6978"/>
    <w:rsid w:val="00CE7EAF"/>
    <w:rsid w:val="00CF0F00"/>
    <w:rsid w:val="00CF1C9B"/>
    <w:rsid w:val="00D009D0"/>
    <w:rsid w:val="00D03D17"/>
    <w:rsid w:val="00D100A9"/>
    <w:rsid w:val="00D1128A"/>
    <w:rsid w:val="00D12C32"/>
    <w:rsid w:val="00D161F7"/>
    <w:rsid w:val="00D16CEE"/>
    <w:rsid w:val="00D17A26"/>
    <w:rsid w:val="00D20CC2"/>
    <w:rsid w:val="00D25C18"/>
    <w:rsid w:val="00D2788F"/>
    <w:rsid w:val="00D30D72"/>
    <w:rsid w:val="00D32ABD"/>
    <w:rsid w:val="00D33546"/>
    <w:rsid w:val="00D35AC7"/>
    <w:rsid w:val="00D37D77"/>
    <w:rsid w:val="00D472AC"/>
    <w:rsid w:val="00D5092A"/>
    <w:rsid w:val="00D5225C"/>
    <w:rsid w:val="00D5554D"/>
    <w:rsid w:val="00D57D76"/>
    <w:rsid w:val="00D6783C"/>
    <w:rsid w:val="00D70D80"/>
    <w:rsid w:val="00D714A8"/>
    <w:rsid w:val="00D72CAF"/>
    <w:rsid w:val="00D75C92"/>
    <w:rsid w:val="00D768AE"/>
    <w:rsid w:val="00D8084B"/>
    <w:rsid w:val="00D846E7"/>
    <w:rsid w:val="00D84CEE"/>
    <w:rsid w:val="00D8536E"/>
    <w:rsid w:val="00D90382"/>
    <w:rsid w:val="00D907B9"/>
    <w:rsid w:val="00DA0BFC"/>
    <w:rsid w:val="00DA25C0"/>
    <w:rsid w:val="00DA39B1"/>
    <w:rsid w:val="00DA45E7"/>
    <w:rsid w:val="00DA4EF5"/>
    <w:rsid w:val="00DA5F48"/>
    <w:rsid w:val="00DA7AF4"/>
    <w:rsid w:val="00DB01F9"/>
    <w:rsid w:val="00DB5B5B"/>
    <w:rsid w:val="00DC0CC5"/>
    <w:rsid w:val="00DC3807"/>
    <w:rsid w:val="00DC3EBC"/>
    <w:rsid w:val="00DC5153"/>
    <w:rsid w:val="00DC5A0D"/>
    <w:rsid w:val="00DC663A"/>
    <w:rsid w:val="00DD33E0"/>
    <w:rsid w:val="00DE0B42"/>
    <w:rsid w:val="00DE3766"/>
    <w:rsid w:val="00DE6810"/>
    <w:rsid w:val="00DE7E51"/>
    <w:rsid w:val="00DF0035"/>
    <w:rsid w:val="00DF0F1A"/>
    <w:rsid w:val="00DF2073"/>
    <w:rsid w:val="00E010AD"/>
    <w:rsid w:val="00E06989"/>
    <w:rsid w:val="00E10F19"/>
    <w:rsid w:val="00E115D6"/>
    <w:rsid w:val="00E205DD"/>
    <w:rsid w:val="00E213F1"/>
    <w:rsid w:val="00E21685"/>
    <w:rsid w:val="00E255A3"/>
    <w:rsid w:val="00E2577C"/>
    <w:rsid w:val="00E31D90"/>
    <w:rsid w:val="00E32D43"/>
    <w:rsid w:val="00E32D97"/>
    <w:rsid w:val="00E37731"/>
    <w:rsid w:val="00E40CC3"/>
    <w:rsid w:val="00E43278"/>
    <w:rsid w:val="00E473B1"/>
    <w:rsid w:val="00E50571"/>
    <w:rsid w:val="00E5076D"/>
    <w:rsid w:val="00E579F4"/>
    <w:rsid w:val="00E62382"/>
    <w:rsid w:val="00E62CE2"/>
    <w:rsid w:val="00E634EB"/>
    <w:rsid w:val="00E67AA9"/>
    <w:rsid w:val="00E7398C"/>
    <w:rsid w:val="00E81F53"/>
    <w:rsid w:val="00E848C9"/>
    <w:rsid w:val="00E85B0F"/>
    <w:rsid w:val="00E8757A"/>
    <w:rsid w:val="00E9158E"/>
    <w:rsid w:val="00E91F2C"/>
    <w:rsid w:val="00E93FD9"/>
    <w:rsid w:val="00E95887"/>
    <w:rsid w:val="00E97327"/>
    <w:rsid w:val="00EA2F76"/>
    <w:rsid w:val="00EA3C0D"/>
    <w:rsid w:val="00EA4D67"/>
    <w:rsid w:val="00EA7E10"/>
    <w:rsid w:val="00EB2899"/>
    <w:rsid w:val="00EB3905"/>
    <w:rsid w:val="00EB44EC"/>
    <w:rsid w:val="00EB5F63"/>
    <w:rsid w:val="00EB608F"/>
    <w:rsid w:val="00EB777A"/>
    <w:rsid w:val="00EC1ADE"/>
    <w:rsid w:val="00EC2304"/>
    <w:rsid w:val="00ED1AE4"/>
    <w:rsid w:val="00ED38E5"/>
    <w:rsid w:val="00ED6005"/>
    <w:rsid w:val="00ED6466"/>
    <w:rsid w:val="00ED68CA"/>
    <w:rsid w:val="00EE2FAD"/>
    <w:rsid w:val="00EF106F"/>
    <w:rsid w:val="00EF5F24"/>
    <w:rsid w:val="00EF7462"/>
    <w:rsid w:val="00EF7756"/>
    <w:rsid w:val="00F02EFA"/>
    <w:rsid w:val="00F04CA9"/>
    <w:rsid w:val="00F05172"/>
    <w:rsid w:val="00F119E0"/>
    <w:rsid w:val="00F14ACD"/>
    <w:rsid w:val="00F15C67"/>
    <w:rsid w:val="00F206CC"/>
    <w:rsid w:val="00F20919"/>
    <w:rsid w:val="00F2094D"/>
    <w:rsid w:val="00F249C8"/>
    <w:rsid w:val="00F320FC"/>
    <w:rsid w:val="00F34AC4"/>
    <w:rsid w:val="00F35D8F"/>
    <w:rsid w:val="00F36074"/>
    <w:rsid w:val="00F4081D"/>
    <w:rsid w:val="00F424FB"/>
    <w:rsid w:val="00F43095"/>
    <w:rsid w:val="00F477B3"/>
    <w:rsid w:val="00F5007E"/>
    <w:rsid w:val="00F505BC"/>
    <w:rsid w:val="00F508C1"/>
    <w:rsid w:val="00F51824"/>
    <w:rsid w:val="00F5356D"/>
    <w:rsid w:val="00F53D97"/>
    <w:rsid w:val="00F5467B"/>
    <w:rsid w:val="00F578DA"/>
    <w:rsid w:val="00F6039E"/>
    <w:rsid w:val="00F631F2"/>
    <w:rsid w:val="00F66EA9"/>
    <w:rsid w:val="00F67328"/>
    <w:rsid w:val="00F70CA6"/>
    <w:rsid w:val="00F72099"/>
    <w:rsid w:val="00F74B1A"/>
    <w:rsid w:val="00F761FE"/>
    <w:rsid w:val="00F870C9"/>
    <w:rsid w:val="00F91D41"/>
    <w:rsid w:val="00F970A1"/>
    <w:rsid w:val="00FA1258"/>
    <w:rsid w:val="00FA1914"/>
    <w:rsid w:val="00FA58C6"/>
    <w:rsid w:val="00FA7495"/>
    <w:rsid w:val="00FA7D2E"/>
    <w:rsid w:val="00FB6A93"/>
    <w:rsid w:val="00FC2ADB"/>
    <w:rsid w:val="00FC44CA"/>
    <w:rsid w:val="00FD24C7"/>
    <w:rsid w:val="00FD2796"/>
    <w:rsid w:val="00FD436C"/>
    <w:rsid w:val="00FD5DF5"/>
    <w:rsid w:val="00FE00B3"/>
    <w:rsid w:val="00FE49F5"/>
    <w:rsid w:val="00FF03FD"/>
    <w:rsid w:val="00FF2212"/>
    <w:rsid w:val="00FF3D11"/>
    <w:rsid w:val="00FF5623"/>
    <w:rsid w:val="00FF6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25D8F"/>
  <w15:docId w15:val="{F4A0E833-1EF3-8046-A7A5-2B056D16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C462B6"/>
    <w:pPr>
      <w:ind w:firstLine="0"/>
      <w:outlineLvl w:val="2"/>
    </w:pPr>
    <w:rPr>
      <w:b/>
      <w:i/>
      <w:lang w:val="en-IE"/>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462B6"/>
    <w:rPr>
      <w:rFonts w:ascii="CMU Serif Roman" w:hAnsi="CMU Serif Roman"/>
      <w:b/>
      <w:i/>
      <w:kern w:val="24"/>
      <w:lang w:val="en-IE"/>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D16CEE"/>
    <w:pPr>
      <w:spacing w:before="240" w:line="240"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CommentReference">
    <w:name w:val="annotation reference"/>
    <w:basedOn w:val="DefaultParagraphFont"/>
    <w:uiPriority w:val="99"/>
    <w:semiHidden/>
    <w:unhideWhenUsed/>
    <w:rsid w:val="005378B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3410">
      <w:bodyDiv w:val="1"/>
      <w:marLeft w:val="0"/>
      <w:marRight w:val="0"/>
      <w:marTop w:val="0"/>
      <w:marBottom w:val="0"/>
      <w:divBdr>
        <w:top w:val="none" w:sz="0" w:space="0" w:color="auto"/>
        <w:left w:val="none" w:sz="0" w:space="0" w:color="auto"/>
        <w:bottom w:val="none" w:sz="0" w:space="0" w:color="auto"/>
        <w:right w:val="none" w:sz="0" w:space="0" w:color="auto"/>
      </w:divBdr>
    </w:div>
    <w:div w:id="7825653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6216843">
      <w:bodyDiv w:val="1"/>
      <w:marLeft w:val="0"/>
      <w:marRight w:val="0"/>
      <w:marTop w:val="0"/>
      <w:marBottom w:val="0"/>
      <w:divBdr>
        <w:top w:val="none" w:sz="0" w:space="0" w:color="auto"/>
        <w:left w:val="none" w:sz="0" w:space="0" w:color="auto"/>
        <w:bottom w:val="none" w:sz="0" w:space="0" w:color="auto"/>
        <w:right w:val="none" w:sz="0" w:space="0" w:color="auto"/>
      </w:divBdr>
      <w:divsChild>
        <w:div w:id="1612080265">
          <w:marLeft w:val="0"/>
          <w:marRight w:val="0"/>
          <w:marTop w:val="0"/>
          <w:marBottom w:val="0"/>
          <w:divBdr>
            <w:top w:val="none" w:sz="0" w:space="0" w:color="auto"/>
            <w:left w:val="none" w:sz="0" w:space="0" w:color="auto"/>
            <w:bottom w:val="none" w:sz="0" w:space="0" w:color="auto"/>
            <w:right w:val="none" w:sz="0" w:space="0" w:color="auto"/>
          </w:divBdr>
          <w:divsChild>
            <w:div w:id="824013704">
              <w:marLeft w:val="0"/>
              <w:marRight w:val="0"/>
              <w:marTop w:val="0"/>
              <w:marBottom w:val="0"/>
              <w:divBdr>
                <w:top w:val="none" w:sz="0" w:space="0" w:color="auto"/>
                <w:left w:val="none" w:sz="0" w:space="0" w:color="auto"/>
                <w:bottom w:val="none" w:sz="0" w:space="0" w:color="auto"/>
                <w:right w:val="none" w:sz="0" w:space="0" w:color="auto"/>
              </w:divBdr>
              <w:divsChild>
                <w:div w:id="6532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76188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3696053">
      <w:bodyDiv w:val="1"/>
      <w:marLeft w:val="0"/>
      <w:marRight w:val="0"/>
      <w:marTop w:val="0"/>
      <w:marBottom w:val="0"/>
      <w:divBdr>
        <w:top w:val="none" w:sz="0" w:space="0" w:color="auto"/>
        <w:left w:val="none" w:sz="0" w:space="0" w:color="auto"/>
        <w:bottom w:val="none" w:sz="0" w:space="0" w:color="auto"/>
        <w:right w:val="none" w:sz="0" w:space="0" w:color="auto"/>
      </w:divBdr>
    </w:div>
    <w:div w:id="400520879">
      <w:bodyDiv w:val="1"/>
      <w:marLeft w:val="0"/>
      <w:marRight w:val="0"/>
      <w:marTop w:val="0"/>
      <w:marBottom w:val="0"/>
      <w:divBdr>
        <w:top w:val="none" w:sz="0" w:space="0" w:color="auto"/>
        <w:left w:val="none" w:sz="0" w:space="0" w:color="auto"/>
        <w:bottom w:val="none" w:sz="0" w:space="0" w:color="auto"/>
        <w:right w:val="none" w:sz="0" w:space="0" w:color="auto"/>
      </w:divBdr>
    </w:div>
    <w:div w:id="414712205">
      <w:bodyDiv w:val="1"/>
      <w:marLeft w:val="0"/>
      <w:marRight w:val="0"/>
      <w:marTop w:val="0"/>
      <w:marBottom w:val="0"/>
      <w:divBdr>
        <w:top w:val="none" w:sz="0" w:space="0" w:color="auto"/>
        <w:left w:val="none" w:sz="0" w:space="0" w:color="auto"/>
        <w:bottom w:val="none" w:sz="0" w:space="0" w:color="auto"/>
        <w:right w:val="none" w:sz="0" w:space="0" w:color="auto"/>
      </w:divBdr>
    </w:div>
    <w:div w:id="434834710">
      <w:bodyDiv w:val="1"/>
      <w:marLeft w:val="0"/>
      <w:marRight w:val="0"/>
      <w:marTop w:val="0"/>
      <w:marBottom w:val="0"/>
      <w:divBdr>
        <w:top w:val="none" w:sz="0" w:space="0" w:color="auto"/>
        <w:left w:val="none" w:sz="0" w:space="0" w:color="auto"/>
        <w:bottom w:val="none" w:sz="0" w:space="0" w:color="auto"/>
        <w:right w:val="none" w:sz="0" w:space="0" w:color="auto"/>
      </w:divBdr>
    </w:div>
    <w:div w:id="45556089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079052">
      <w:bodyDiv w:val="1"/>
      <w:marLeft w:val="0"/>
      <w:marRight w:val="0"/>
      <w:marTop w:val="0"/>
      <w:marBottom w:val="0"/>
      <w:divBdr>
        <w:top w:val="none" w:sz="0" w:space="0" w:color="auto"/>
        <w:left w:val="none" w:sz="0" w:space="0" w:color="auto"/>
        <w:bottom w:val="none" w:sz="0" w:space="0" w:color="auto"/>
        <w:right w:val="none" w:sz="0" w:space="0" w:color="auto"/>
      </w:divBdr>
    </w:div>
    <w:div w:id="6425812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6714612">
      <w:bodyDiv w:val="1"/>
      <w:marLeft w:val="0"/>
      <w:marRight w:val="0"/>
      <w:marTop w:val="0"/>
      <w:marBottom w:val="0"/>
      <w:divBdr>
        <w:top w:val="none" w:sz="0" w:space="0" w:color="auto"/>
        <w:left w:val="none" w:sz="0" w:space="0" w:color="auto"/>
        <w:bottom w:val="none" w:sz="0" w:space="0" w:color="auto"/>
        <w:right w:val="none" w:sz="0" w:space="0" w:color="auto"/>
      </w:divBdr>
      <w:divsChild>
        <w:div w:id="1859808358">
          <w:marLeft w:val="0"/>
          <w:marRight w:val="0"/>
          <w:marTop w:val="0"/>
          <w:marBottom w:val="0"/>
          <w:divBdr>
            <w:top w:val="none" w:sz="0" w:space="0" w:color="auto"/>
            <w:left w:val="none" w:sz="0" w:space="0" w:color="auto"/>
            <w:bottom w:val="none" w:sz="0" w:space="0" w:color="auto"/>
            <w:right w:val="none" w:sz="0" w:space="0" w:color="auto"/>
          </w:divBdr>
          <w:divsChild>
            <w:div w:id="855923765">
              <w:marLeft w:val="0"/>
              <w:marRight w:val="0"/>
              <w:marTop w:val="0"/>
              <w:marBottom w:val="0"/>
              <w:divBdr>
                <w:top w:val="none" w:sz="0" w:space="0" w:color="auto"/>
                <w:left w:val="none" w:sz="0" w:space="0" w:color="auto"/>
                <w:bottom w:val="none" w:sz="0" w:space="0" w:color="auto"/>
                <w:right w:val="none" w:sz="0" w:space="0" w:color="auto"/>
              </w:divBdr>
              <w:divsChild>
                <w:div w:id="13011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12189">
      <w:bodyDiv w:val="1"/>
      <w:marLeft w:val="0"/>
      <w:marRight w:val="0"/>
      <w:marTop w:val="0"/>
      <w:marBottom w:val="0"/>
      <w:divBdr>
        <w:top w:val="none" w:sz="0" w:space="0" w:color="auto"/>
        <w:left w:val="none" w:sz="0" w:space="0" w:color="auto"/>
        <w:bottom w:val="none" w:sz="0" w:space="0" w:color="auto"/>
        <w:right w:val="none" w:sz="0" w:space="0" w:color="auto"/>
      </w:divBdr>
    </w:div>
    <w:div w:id="780342975">
      <w:bodyDiv w:val="1"/>
      <w:marLeft w:val="0"/>
      <w:marRight w:val="0"/>
      <w:marTop w:val="0"/>
      <w:marBottom w:val="0"/>
      <w:divBdr>
        <w:top w:val="none" w:sz="0" w:space="0" w:color="auto"/>
        <w:left w:val="none" w:sz="0" w:space="0" w:color="auto"/>
        <w:bottom w:val="none" w:sz="0" w:space="0" w:color="auto"/>
        <w:right w:val="none" w:sz="0" w:space="0" w:color="auto"/>
      </w:divBdr>
    </w:div>
    <w:div w:id="835456302">
      <w:bodyDiv w:val="1"/>
      <w:marLeft w:val="0"/>
      <w:marRight w:val="0"/>
      <w:marTop w:val="0"/>
      <w:marBottom w:val="0"/>
      <w:divBdr>
        <w:top w:val="none" w:sz="0" w:space="0" w:color="auto"/>
        <w:left w:val="none" w:sz="0" w:space="0" w:color="auto"/>
        <w:bottom w:val="none" w:sz="0" w:space="0" w:color="auto"/>
        <w:right w:val="none" w:sz="0" w:space="0" w:color="auto"/>
      </w:divBdr>
    </w:div>
    <w:div w:id="838735422">
      <w:bodyDiv w:val="1"/>
      <w:marLeft w:val="0"/>
      <w:marRight w:val="0"/>
      <w:marTop w:val="0"/>
      <w:marBottom w:val="0"/>
      <w:divBdr>
        <w:top w:val="none" w:sz="0" w:space="0" w:color="auto"/>
        <w:left w:val="none" w:sz="0" w:space="0" w:color="auto"/>
        <w:bottom w:val="none" w:sz="0" w:space="0" w:color="auto"/>
        <w:right w:val="none" w:sz="0" w:space="0" w:color="auto"/>
      </w:divBdr>
    </w:div>
    <w:div w:id="947740825">
      <w:bodyDiv w:val="1"/>
      <w:marLeft w:val="0"/>
      <w:marRight w:val="0"/>
      <w:marTop w:val="0"/>
      <w:marBottom w:val="0"/>
      <w:divBdr>
        <w:top w:val="none" w:sz="0" w:space="0" w:color="auto"/>
        <w:left w:val="none" w:sz="0" w:space="0" w:color="auto"/>
        <w:bottom w:val="none" w:sz="0" w:space="0" w:color="auto"/>
        <w:right w:val="none" w:sz="0" w:space="0" w:color="auto"/>
      </w:divBdr>
    </w:div>
    <w:div w:id="102466851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2048838">
      <w:bodyDiv w:val="1"/>
      <w:marLeft w:val="0"/>
      <w:marRight w:val="0"/>
      <w:marTop w:val="0"/>
      <w:marBottom w:val="0"/>
      <w:divBdr>
        <w:top w:val="none" w:sz="0" w:space="0" w:color="auto"/>
        <w:left w:val="none" w:sz="0" w:space="0" w:color="auto"/>
        <w:bottom w:val="none" w:sz="0" w:space="0" w:color="auto"/>
        <w:right w:val="none" w:sz="0" w:space="0" w:color="auto"/>
      </w:divBdr>
      <w:divsChild>
        <w:div w:id="2055962438">
          <w:marLeft w:val="0"/>
          <w:marRight w:val="0"/>
          <w:marTop w:val="0"/>
          <w:marBottom w:val="0"/>
          <w:divBdr>
            <w:top w:val="none" w:sz="0" w:space="0" w:color="auto"/>
            <w:left w:val="none" w:sz="0" w:space="0" w:color="auto"/>
            <w:bottom w:val="none" w:sz="0" w:space="0" w:color="auto"/>
            <w:right w:val="none" w:sz="0" w:space="0" w:color="auto"/>
          </w:divBdr>
          <w:divsChild>
            <w:div w:id="811599822">
              <w:marLeft w:val="0"/>
              <w:marRight w:val="0"/>
              <w:marTop w:val="0"/>
              <w:marBottom w:val="0"/>
              <w:divBdr>
                <w:top w:val="none" w:sz="0" w:space="0" w:color="auto"/>
                <w:left w:val="none" w:sz="0" w:space="0" w:color="auto"/>
                <w:bottom w:val="none" w:sz="0" w:space="0" w:color="auto"/>
                <w:right w:val="none" w:sz="0" w:space="0" w:color="auto"/>
              </w:divBdr>
              <w:divsChild>
                <w:div w:id="14122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2564">
      <w:bodyDiv w:val="1"/>
      <w:marLeft w:val="0"/>
      <w:marRight w:val="0"/>
      <w:marTop w:val="0"/>
      <w:marBottom w:val="0"/>
      <w:divBdr>
        <w:top w:val="none" w:sz="0" w:space="0" w:color="auto"/>
        <w:left w:val="none" w:sz="0" w:space="0" w:color="auto"/>
        <w:bottom w:val="none" w:sz="0" w:space="0" w:color="auto"/>
        <w:right w:val="none" w:sz="0" w:space="0" w:color="auto"/>
      </w:divBdr>
    </w:div>
    <w:div w:id="1110125232">
      <w:bodyDiv w:val="1"/>
      <w:marLeft w:val="0"/>
      <w:marRight w:val="0"/>
      <w:marTop w:val="0"/>
      <w:marBottom w:val="0"/>
      <w:divBdr>
        <w:top w:val="none" w:sz="0" w:space="0" w:color="auto"/>
        <w:left w:val="none" w:sz="0" w:space="0" w:color="auto"/>
        <w:bottom w:val="none" w:sz="0" w:space="0" w:color="auto"/>
        <w:right w:val="none" w:sz="0" w:space="0" w:color="auto"/>
      </w:divBdr>
      <w:divsChild>
        <w:div w:id="1290814939">
          <w:marLeft w:val="0"/>
          <w:marRight w:val="0"/>
          <w:marTop w:val="0"/>
          <w:marBottom w:val="0"/>
          <w:divBdr>
            <w:top w:val="none" w:sz="0" w:space="0" w:color="auto"/>
            <w:left w:val="none" w:sz="0" w:space="0" w:color="auto"/>
            <w:bottom w:val="none" w:sz="0" w:space="0" w:color="auto"/>
            <w:right w:val="none" w:sz="0" w:space="0" w:color="auto"/>
          </w:divBdr>
        </w:div>
        <w:div w:id="2079207619">
          <w:marLeft w:val="0"/>
          <w:marRight w:val="0"/>
          <w:marTop w:val="0"/>
          <w:marBottom w:val="0"/>
          <w:divBdr>
            <w:top w:val="none" w:sz="0" w:space="0" w:color="auto"/>
            <w:left w:val="none" w:sz="0" w:space="0" w:color="auto"/>
            <w:bottom w:val="none" w:sz="0" w:space="0" w:color="auto"/>
            <w:right w:val="none" w:sz="0" w:space="0" w:color="auto"/>
          </w:divBdr>
        </w:div>
      </w:divsChild>
    </w:div>
    <w:div w:id="115857782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742738">
      <w:bodyDiv w:val="1"/>
      <w:marLeft w:val="0"/>
      <w:marRight w:val="0"/>
      <w:marTop w:val="0"/>
      <w:marBottom w:val="0"/>
      <w:divBdr>
        <w:top w:val="none" w:sz="0" w:space="0" w:color="auto"/>
        <w:left w:val="none" w:sz="0" w:space="0" w:color="auto"/>
        <w:bottom w:val="none" w:sz="0" w:space="0" w:color="auto"/>
        <w:right w:val="none" w:sz="0" w:space="0" w:color="auto"/>
      </w:divBdr>
      <w:divsChild>
        <w:div w:id="849373113">
          <w:marLeft w:val="0"/>
          <w:marRight w:val="0"/>
          <w:marTop w:val="0"/>
          <w:marBottom w:val="0"/>
          <w:divBdr>
            <w:top w:val="none" w:sz="0" w:space="0" w:color="auto"/>
            <w:left w:val="none" w:sz="0" w:space="0" w:color="auto"/>
            <w:bottom w:val="none" w:sz="0" w:space="0" w:color="auto"/>
            <w:right w:val="none" w:sz="0" w:space="0" w:color="auto"/>
          </w:divBdr>
          <w:divsChild>
            <w:div w:id="722411577">
              <w:marLeft w:val="0"/>
              <w:marRight w:val="0"/>
              <w:marTop w:val="0"/>
              <w:marBottom w:val="0"/>
              <w:divBdr>
                <w:top w:val="none" w:sz="0" w:space="0" w:color="auto"/>
                <w:left w:val="none" w:sz="0" w:space="0" w:color="auto"/>
                <w:bottom w:val="none" w:sz="0" w:space="0" w:color="auto"/>
                <w:right w:val="none" w:sz="0" w:space="0" w:color="auto"/>
              </w:divBdr>
              <w:divsChild>
                <w:div w:id="132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6102">
      <w:bodyDiv w:val="1"/>
      <w:marLeft w:val="0"/>
      <w:marRight w:val="0"/>
      <w:marTop w:val="0"/>
      <w:marBottom w:val="0"/>
      <w:divBdr>
        <w:top w:val="none" w:sz="0" w:space="0" w:color="auto"/>
        <w:left w:val="none" w:sz="0" w:space="0" w:color="auto"/>
        <w:bottom w:val="none" w:sz="0" w:space="0" w:color="auto"/>
        <w:right w:val="none" w:sz="0" w:space="0" w:color="auto"/>
      </w:divBdr>
    </w:div>
    <w:div w:id="1228495338">
      <w:bodyDiv w:val="1"/>
      <w:marLeft w:val="0"/>
      <w:marRight w:val="0"/>
      <w:marTop w:val="0"/>
      <w:marBottom w:val="0"/>
      <w:divBdr>
        <w:top w:val="none" w:sz="0" w:space="0" w:color="auto"/>
        <w:left w:val="none" w:sz="0" w:space="0" w:color="auto"/>
        <w:bottom w:val="none" w:sz="0" w:space="0" w:color="auto"/>
        <w:right w:val="none" w:sz="0" w:space="0" w:color="auto"/>
      </w:divBdr>
    </w:div>
    <w:div w:id="124564505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2374097">
      <w:bodyDiv w:val="1"/>
      <w:marLeft w:val="0"/>
      <w:marRight w:val="0"/>
      <w:marTop w:val="0"/>
      <w:marBottom w:val="0"/>
      <w:divBdr>
        <w:top w:val="none" w:sz="0" w:space="0" w:color="auto"/>
        <w:left w:val="none" w:sz="0" w:space="0" w:color="auto"/>
        <w:bottom w:val="none" w:sz="0" w:space="0" w:color="auto"/>
        <w:right w:val="none" w:sz="0" w:space="0" w:color="auto"/>
      </w:divBdr>
    </w:div>
    <w:div w:id="1364206848">
      <w:bodyDiv w:val="1"/>
      <w:marLeft w:val="0"/>
      <w:marRight w:val="0"/>
      <w:marTop w:val="0"/>
      <w:marBottom w:val="0"/>
      <w:divBdr>
        <w:top w:val="none" w:sz="0" w:space="0" w:color="auto"/>
        <w:left w:val="none" w:sz="0" w:space="0" w:color="auto"/>
        <w:bottom w:val="none" w:sz="0" w:space="0" w:color="auto"/>
        <w:right w:val="none" w:sz="0" w:space="0" w:color="auto"/>
      </w:divBdr>
      <w:divsChild>
        <w:div w:id="1643851304">
          <w:marLeft w:val="0"/>
          <w:marRight w:val="0"/>
          <w:marTop w:val="0"/>
          <w:marBottom w:val="0"/>
          <w:divBdr>
            <w:top w:val="none" w:sz="0" w:space="0" w:color="auto"/>
            <w:left w:val="none" w:sz="0" w:space="0" w:color="auto"/>
            <w:bottom w:val="none" w:sz="0" w:space="0" w:color="auto"/>
            <w:right w:val="none" w:sz="0" w:space="0" w:color="auto"/>
          </w:divBdr>
          <w:divsChild>
            <w:div w:id="493186105">
              <w:marLeft w:val="0"/>
              <w:marRight w:val="0"/>
              <w:marTop w:val="0"/>
              <w:marBottom w:val="0"/>
              <w:divBdr>
                <w:top w:val="none" w:sz="0" w:space="0" w:color="auto"/>
                <w:left w:val="none" w:sz="0" w:space="0" w:color="auto"/>
                <w:bottom w:val="none" w:sz="0" w:space="0" w:color="auto"/>
                <w:right w:val="none" w:sz="0" w:space="0" w:color="auto"/>
              </w:divBdr>
              <w:divsChild>
                <w:div w:id="2203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1044311">
      <w:bodyDiv w:val="1"/>
      <w:marLeft w:val="0"/>
      <w:marRight w:val="0"/>
      <w:marTop w:val="0"/>
      <w:marBottom w:val="0"/>
      <w:divBdr>
        <w:top w:val="none" w:sz="0" w:space="0" w:color="auto"/>
        <w:left w:val="none" w:sz="0" w:space="0" w:color="auto"/>
        <w:bottom w:val="none" w:sz="0" w:space="0" w:color="auto"/>
        <w:right w:val="none" w:sz="0" w:space="0" w:color="auto"/>
      </w:divBdr>
      <w:divsChild>
        <w:div w:id="2095659228">
          <w:marLeft w:val="0"/>
          <w:marRight w:val="0"/>
          <w:marTop w:val="0"/>
          <w:marBottom w:val="0"/>
          <w:divBdr>
            <w:top w:val="none" w:sz="0" w:space="0" w:color="auto"/>
            <w:left w:val="none" w:sz="0" w:space="0" w:color="auto"/>
            <w:bottom w:val="none" w:sz="0" w:space="0" w:color="auto"/>
            <w:right w:val="none" w:sz="0" w:space="0" w:color="auto"/>
          </w:divBdr>
          <w:divsChild>
            <w:div w:id="1605189496">
              <w:marLeft w:val="0"/>
              <w:marRight w:val="0"/>
              <w:marTop w:val="0"/>
              <w:marBottom w:val="0"/>
              <w:divBdr>
                <w:top w:val="none" w:sz="0" w:space="0" w:color="auto"/>
                <w:left w:val="none" w:sz="0" w:space="0" w:color="auto"/>
                <w:bottom w:val="none" w:sz="0" w:space="0" w:color="auto"/>
                <w:right w:val="none" w:sz="0" w:space="0" w:color="auto"/>
              </w:divBdr>
              <w:divsChild>
                <w:div w:id="3314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565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575436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6791383">
      <w:bodyDiv w:val="1"/>
      <w:marLeft w:val="0"/>
      <w:marRight w:val="0"/>
      <w:marTop w:val="0"/>
      <w:marBottom w:val="0"/>
      <w:divBdr>
        <w:top w:val="none" w:sz="0" w:space="0" w:color="auto"/>
        <w:left w:val="none" w:sz="0" w:space="0" w:color="auto"/>
        <w:bottom w:val="none" w:sz="0" w:space="0" w:color="auto"/>
        <w:right w:val="none" w:sz="0" w:space="0" w:color="auto"/>
      </w:divBdr>
    </w:div>
    <w:div w:id="163902189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7554585">
      <w:bodyDiv w:val="1"/>
      <w:marLeft w:val="0"/>
      <w:marRight w:val="0"/>
      <w:marTop w:val="0"/>
      <w:marBottom w:val="0"/>
      <w:divBdr>
        <w:top w:val="none" w:sz="0" w:space="0" w:color="auto"/>
        <w:left w:val="none" w:sz="0" w:space="0" w:color="auto"/>
        <w:bottom w:val="none" w:sz="0" w:space="0" w:color="auto"/>
        <w:right w:val="none" w:sz="0" w:space="0" w:color="auto"/>
      </w:divBdr>
    </w:div>
    <w:div w:id="175816419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340047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4587953">
      <w:bodyDiv w:val="1"/>
      <w:marLeft w:val="0"/>
      <w:marRight w:val="0"/>
      <w:marTop w:val="0"/>
      <w:marBottom w:val="0"/>
      <w:divBdr>
        <w:top w:val="none" w:sz="0" w:space="0" w:color="auto"/>
        <w:left w:val="none" w:sz="0" w:space="0" w:color="auto"/>
        <w:bottom w:val="none" w:sz="0" w:space="0" w:color="auto"/>
        <w:right w:val="none" w:sz="0" w:space="0" w:color="auto"/>
      </w:divBdr>
    </w:div>
    <w:div w:id="1866290324">
      <w:bodyDiv w:val="1"/>
      <w:marLeft w:val="0"/>
      <w:marRight w:val="0"/>
      <w:marTop w:val="0"/>
      <w:marBottom w:val="0"/>
      <w:divBdr>
        <w:top w:val="none" w:sz="0" w:space="0" w:color="auto"/>
        <w:left w:val="none" w:sz="0" w:space="0" w:color="auto"/>
        <w:bottom w:val="none" w:sz="0" w:space="0" w:color="auto"/>
        <w:right w:val="none" w:sz="0" w:space="0" w:color="auto"/>
      </w:divBdr>
      <w:divsChild>
        <w:div w:id="88701963">
          <w:marLeft w:val="0"/>
          <w:marRight w:val="0"/>
          <w:marTop w:val="0"/>
          <w:marBottom w:val="0"/>
          <w:divBdr>
            <w:top w:val="none" w:sz="0" w:space="0" w:color="auto"/>
            <w:left w:val="none" w:sz="0" w:space="0" w:color="auto"/>
            <w:bottom w:val="none" w:sz="0" w:space="0" w:color="auto"/>
            <w:right w:val="none" w:sz="0" w:space="0" w:color="auto"/>
          </w:divBdr>
          <w:divsChild>
            <w:div w:id="1811972015">
              <w:marLeft w:val="0"/>
              <w:marRight w:val="0"/>
              <w:marTop w:val="0"/>
              <w:marBottom w:val="0"/>
              <w:divBdr>
                <w:top w:val="none" w:sz="0" w:space="0" w:color="auto"/>
                <w:left w:val="none" w:sz="0" w:space="0" w:color="auto"/>
                <w:bottom w:val="none" w:sz="0" w:space="0" w:color="auto"/>
                <w:right w:val="none" w:sz="0" w:space="0" w:color="auto"/>
              </w:divBdr>
              <w:divsChild>
                <w:div w:id="3486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0689010">
      <w:bodyDiv w:val="1"/>
      <w:marLeft w:val="0"/>
      <w:marRight w:val="0"/>
      <w:marTop w:val="0"/>
      <w:marBottom w:val="0"/>
      <w:divBdr>
        <w:top w:val="none" w:sz="0" w:space="0" w:color="auto"/>
        <w:left w:val="none" w:sz="0" w:space="0" w:color="auto"/>
        <w:bottom w:val="none" w:sz="0" w:space="0" w:color="auto"/>
        <w:right w:val="none" w:sz="0" w:space="0" w:color="auto"/>
      </w:divBdr>
      <w:divsChild>
        <w:div w:id="1713186171">
          <w:marLeft w:val="0"/>
          <w:marRight w:val="0"/>
          <w:marTop w:val="0"/>
          <w:marBottom w:val="0"/>
          <w:divBdr>
            <w:top w:val="none" w:sz="0" w:space="0" w:color="auto"/>
            <w:left w:val="none" w:sz="0" w:space="0" w:color="auto"/>
            <w:bottom w:val="none" w:sz="0" w:space="0" w:color="auto"/>
            <w:right w:val="none" w:sz="0" w:space="0" w:color="auto"/>
          </w:divBdr>
          <w:divsChild>
            <w:div w:id="411587989">
              <w:marLeft w:val="0"/>
              <w:marRight w:val="0"/>
              <w:marTop w:val="0"/>
              <w:marBottom w:val="0"/>
              <w:divBdr>
                <w:top w:val="none" w:sz="0" w:space="0" w:color="auto"/>
                <w:left w:val="none" w:sz="0" w:space="0" w:color="auto"/>
                <w:bottom w:val="none" w:sz="0" w:space="0" w:color="auto"/>
                <w:right w:val="none" w:sz="0" w:space="0" w:color="auto"/>
              </w:divBdr>
              <w:divsChild>
                <w:div w:id="15577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51551">
      <w:bodyDiv w:val="1"/>
      <w:marLeft w:val="0"/>
      <w:marRight w:val="0"/>
      <w:marTop w:val="0"/>
      <w:marBottom w:val="0"/>
      <w:divBdr>
        <w:top w:val="none" w:sz="0" w:space="0" w:color="auto"/>
        <w:left w:val="none" w:sz="0" w:space="0" w:color="auto"/>
        <w:bottom w:val="none" w:sz="0" w:space="0" w:color="auto"/>
        <w:right w:val="none" w:sz="0" w:space="0" w:color="auto"/>
      </w:divBdr>
      <w:divsChild>
        <w:div w:id="2030521222">
          <w:marLeft w:val="0"/>
          <w:marRight w:val="0"/>
          <w:marTop w:val="0"/>
          <w:marBottom w:val="0"/>
          <w:divBdr>
            <w:top w:val="none" w:sz="0" w:space="0" w:color="auto"/>
            <w:left w:val="none" w:sz="0" w:space="0" w:color="auto"/>
            <w:bottom w:val="none" w:sz="0" w:space="0" w:color="auto"/>
            <w:right w:val="none" w:sz="0" w:space="0" w:color="auto"/>
          </w:divBdr>
          <w:divsChild>
            <w:div w:id="2129271953">
              <w:marLeft w:val="0"/>
              <w:marRight w:val="0"/>
              <w:marTop w:val="0"/>
              <w:marBottom w:val="0"/>
              <w:divBdr>
                <w:top w:val="none" w:sz="0" w:space="0" w:color="auto"/>
                <w:left w:val="none" w:sz="0" w:space="0" w:color="auto"/>
                <w:bottom w:val="none" w:sz="0" w:space="0" w:color="auto"/>
                <w:right w:val="none" w:sz="0" w:space="0" w:color="auto"/>
              </w:divBdr>
              <w:divsChild>
                <w:div w:id="10977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105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39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an/Library/Group%20Containers/UBF8T346G9.Office/User%20Content.localized/Templates.localized/APA%206th%20edition%20template%20CMU.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B56B60B293CF49A5B4E556BED6CA74"/>
        <w:category>
          <w:name w:val="General"/>
          <w:gallery w:val="placeholder"/>
        </w:category>
        <w:types>
          <w:type w:val="bbPlcHdr"/>
        </w:types>
        <w:behaviors>
          <w:behavior w:val="content"/>
        </w:behaviors>
        <w:guid w:val="{96391287-1FE8-3B47-8CCB-31C9E5540B51}"/>
      </w:docPartPr>
      <w:docPartBody>
        <w:p w:rsidR="007E4C56" w:rsidRDefault="001658DF">
          <w:pPr>
            <w:pStyle w:val="DDB56B60B293CF49A5B4E556BED6CA74"/>
          </w:pPr>
          <w:r>
            <w:t>[Title Here, up to 12 Words, on One to Two Lines]</w:t>
          </w:r>
        </w:p>
      </w:docPartBody>
    </w:docPart>
    <w:docPart>
      <w:docPartPr>
        <w:name w:val="62C7C964859ACB42B4F8F13B59C42209"/>
        <w:category>
          <w:name w:val="General"/>
          <w:gallery w:val="placeholder"/>
        </w:category>
        <w:types>
          <w:type w:val="bbPlcHdr"/>
        </w:types>
        <w:behaviors>
          <w:behavior w:val="content"/>
        </w:behaviors>
        <w:guid w:val="{8B6AB722-C7A8-E74C-8AF8-EB53C647745D}"/>
      </w:docPartPr>
      <w:docPartBody>
        <w:p w:rsidR="007E4C56" w:rsidRDefault="001658DF">
          <w:pPr>
            <w:pStyle w:val="62C7C964859ACB42B4F8F13B59C42209"/>
          </w:pPr>
          <w:r>
            <w:t>[Include any grant/funding information and a complete correspondence address.]</w:t>
          </w:r>
        </w:p>
      </w:docPartBody>
    </w:docPart>
    <w:docPart>
      <w:docPartPr>
        <w:name w:val="96619EAF0FC06747BEAA24F493124D63"/>
        <w:category>
          <w:name w:val="General"/>
          <w:gallery w:val="placeholder"/>
        </w:category>
        <w:types>
          <w:type w:val="bbPlcHdr"/>
        </w:types>
        <w:behaviors>
          <w:behavior w:val="content"/>
        </w:behaviors>
        <w:guid w:val="{CCE41D16-6C8A-A24F-864F-FDC9DBD6DF7E}"/>
      </w:docPartPr>
      <w:docPartBody>
        <w:p w:rsidR="007E4C56" w:rsidRDefault="001658DF">
          <w:pPr>
            <w:pStyle w:val="96619EAF0FC06747BEAA24F493124D63"/>
          </w:pPr>
          <w:r>
            <w:t>[Click here to add 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DF"/>
    <w:rsid w:val="001658DF"/>
    <w:rsid w:val="001F658E"/>
    <w:rsid w:val="00251A77"/>
    <w:rsid w:val="0071039B"/>
    <w:rsid w:val="007E4C56"/>
    <w:rsid w:val="00A4201C"/>
    <w:rsid w:val="00A50966"/>
    <w:rsid w:val="00A652B0"/>
    <w:rsid w:val="00E4288E"/>
    <w:rsid w:val="00E83A05"/>
    <w:rsid w:val="00FC1F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B56B60B293CF49A5B4E556BED6CA74">
    <w:name w:val="DDB56B60B293CF49A5B4E556BED6CA74"/>
  </w:style>
  <w:style w:type="paragraph" w:customStyle="1" w:styleId="B5AFD9BDF4DDA241B82DB72BD48EBA03">
    <w:name w:val="B5AFD9BDF4DDA241B82DB72BD48EBA03"/>
  </w:style>
  <w:style w:type="paragraph" w:customStyle="1" w:styleId="7F62DF5ACADE70419B195417BAA29D83">
    <w:name w:val="7F62DF5ACADE70419B195417BAA29D83"/>
  </w:style>
  <w:style w:type="paragraph" w:customStyle="1" w:styleId="62C7C964859ACB42B4F8F13B59C42209">
    <w:name w:val="62C7C964859ACB42B4F8F13B59C42209"/>
  </w:style>
  <w:style w:type="character" w:styleId="Emphasis">
    <w:name w:val="Emphasis"/>
    <w:basedOn w:val="DefaultParagraphFont"/>
    <w:uiPriority w:val="20"/>
    <w:unhideWhenUsed/>
    <w:qFormat/>
    <w:rPr>
      <w:i/>
      <w:iCs/>
    </w:rPr>
  </w:style>
  <w:style w:type="paragraph" w:customStyle="1" w:styleId="597A4CC2D554F44F8FDAC0199DE7EC88">
    <w:name w:val="597A4CC2D554F44F8FDAC0199DE7EC88"/>
  </w:style>
  <w:style w:type="paragraph" w:customStyle="1" w:styleId="96619EAF0FC06747BEAA24F493124D63">
    <w:name w:val="96619EAF0FC06747BEAA24F493124D63"/>
  </w:style>
  <w:style w:type="paragraph" w:customStyle="1" w:styleId="A6915FBDA981E9418BDED16E0C4FB0DA">
    <w:name w:val="A6915FBDA981E9418BDED16E0C4FB0DA"/>
  </w:style>
  <w:style w:type="paragraph" w:customStyle="1" w:styleId="0D054A6E2239BC479583583792CA72EE">
    <w:name w:val="0D054A6E2239BC479583583792CA72EE"/>
  </w:style>
  <w:style w:type="paragraph" w:customStyle="1" w:styleId="3DAE6E085627BB48AE92D8C3870B80B1">
    <w:name w:val="3DAE6E085627BB48AE92D8C3870B80B1"/>
  </w:style>
  <w:style w:type="paragraph" w:customStyle="1" w:styleId="0475850C91320D4CB760D76EB7A03EB4">
    <w:name w:val="0475850C91320D4CB760D76EB7A03EB4"/>
  </w:style>
  <w:style w:type="paragraph" w:customStyle="1" w:styleId="D2061F9B27E9654BB983FBC28BCB0A1F">
    <w:name w:val="D2061F9B27E9654BB983FBC28BCB0A1F"/>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rPr>
  </w:style>
  <w:style w:type="paragraph" w:customStyle="1" w:styleId="7930F285D52630448A79D5B9595C3764">
    <w:name w:val="7930F285D52630448A79D5B9595C3764"/>
  </w:style>
  <w:style w:type="paragraph" w:customStyle="1" w:styleId="59D884BE80C41349AF40FCC58FDC7767">
    <w:name w:val="59D884BE80C41349AF40FCC58FDC7767"/>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rPr>
  </w:style>
  <w:style w:type="paragraph" w:customStyle="1" w:styleId="1D251859EF14D2498D0DCD026BBAE687">
    <w:name w:val="1D251859EF14D2498D0DCD026BBAE687"/>
  </w:style>
  <w:style w:type="paragraph" w:customStyle="1" w:styleId="0053660FD1CE2C4391299C47709217F4">
    <w:name w:val="0053660FD1CE2C4391299C47709217F4"/>
  </w:style>
  <w:style w:type="character" w:styleId="PlaceholderText">
    <w:name w:val="Placeholder Text"/>
    <w:basedOn w:val="DefaultParagraphFont"/>
    <w:uiPriority w:val="99"/>
    <w:semiHidden/>
    <w:rsid w:val="00FC1F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CRITICAL REANALYSIS OF VAHEY ET AL. (2015)</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5D810FD4-B287-E146-A9BB-15A1E752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edition template CMU.dotx</Template>
  <TotalTime>847</TotalTime>
  <Pages>26</Pages>
  <Words>9610</Words>
  <Characters>54780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A critical reanalysis of Vahey et al. (2015) “A meta-analysis of criterion effects for the Implicit Relational Assessment Procedure (IRAP) in the clinical domain”</vt:lpstr>
    </vt:vector>
  </TitlesOfParts>
  <Company/>
  <LinksUpToDate>false</LinksUpToDate>
  <CharactersWithSpaces>64262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critical reanalysis of Vahey et al. (2015) “A meta-analysis of criterion effects for the Implicit Relational Assessment Procedure (IRAP) in the clinical domain”</dc:title>
  <dc:subject/>
  <dc:creator>Microsoft Office User</dc:creator>
  <cp:keywords/>
  <dc:description/>
  <cp:lastModifiedBy>Ian Hussey</cp:lastModifiedBy>
  <cp:revision>983</cp:revision>
  <dcterms:created xsi:type="dcterms:W3CDTF">2019-10-18T14:43:00Z</dcterms:created>
  <dcterms:modified xsi:type="dcterms:W3CDTF">2020-07-20T17:57:00Z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id="RNWWEjZc"/&gt;&lt;style id="http://www.zotero.org/styles/apa" locale="en-US" hasBibliography="1" bibliographyStyleHasBeenSet="1"/&gt;&lt;prefs&gt;&lt;pref name="fieldType" value="Field"/&gt;&lt;/prefs&gt;&lt;/data&gt;</vt:lpwstr>
  </property>
</Properties>
</file>