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BD495" w14:textId="05DAE9EF" w:rsidR="00925E0F" w:rsidRPr="001A733A" w:rsidRDefault="00925E0F" w:rsidP="00DE698B"/>
    <w:p w14:paraId="3A4D373D" w14:textId="7F2080ED" w:rsidR="00782FBE" w:rsidRDefault="00782FBE" w:rsidP="00DE698B"/>
    <w:p w14:paraId="1CFEED99" w14:textId="7AEDD6D4" w:rsidR="001E06C2" w:rsidRDefault="001E06C2" w:rsidP="00DE698B"/>
    <w:p w14:paraId="11577177" w14:textId="62A88BD0" w:rsidR="001E06C2" w:rsidRDefault="001E06C2" w:rsidP="00DE698B"/>
    <w:p w14:paraId="7708A37E" w14:textId="21751F6C" w:rsidR="001E06C2" w:rsidRDefault="001E06C2" w:rsidP="00DE698B"/>
    <w:p w14:paraId="25433572" w14:textId="77777777" w:rsidR="001E06C2" w:rsidRPr="001A733A" w:rsidRDefault="001E06C2" w:rsidP="00DE698B"/>
    <w:p w14:paraId="0483C300" w14:textId="1E662DA2" w:rsidR="00782FBE" w:rsidRDefault="00782FBE" w:rsidP="00DE698B"/>
    <w:p w14:paraId="50F163D0" w14:textId="578EF2BC" w:rsidR="001E06C2" w:rsidRDefault="001E06C2" w:rsidP="00DE698B"/>
    <w:p w14:paraId="2202FDC6" w14:textId="67CE68D9" w:rsidR="001E06C2" w:rsidRDefault="001E06C2" w:rsidP="00DE698B"/>
    <w:p w14:paraId="74993774" w14:textId="77777777" w:rsidR="001E06C2" w:rsidRPr="001A733A" w:rsidRDefault="001E06C2" w:rsidP="00DE698B"/>
    <w:p w14:paraId="1DED7C32" w14:textId="77777777" w:rsidR="00782FBE" w:rsidRPr="001A733A" w:rsidRDefault="00782FBE" w:rsidP="00DE698B"/>
    <w:p w14:paraId="203E41D0" w14:textId="77777777" w:rsidR="001E06C2" w:rsidRDefault="000B1025" w:rsidP="00B63635">
      <w:pPr>
        <w:pStyle w:val="Title1"/>
      </w:pPr>
      <w:r w:rsidRPr="001A733A">
        <w:t>Reply to Barnes-Holmes &amp; Harte (2022)</w:t>
      </w:r>
    </w:p>
    <w:p w14:paraId="6D3D3AC0" w14:textId="443E0E90" w:rsidR="00B34A9C" w:rsidRPr="001A733A" w:rsidRDefault="00751CF7" w:rsidP="00B63635">
      <w:pPr>
        <w:pStyle w:val="Title1"/>
      </w:pPr>
      <w:r w:rsidRPr="001A733A">
        <w:t>“The IRAP as a Measure of Implicit Cognition:</w:t>
      </w:r>
      <w:r w:rsidR="001E06C2">
        <w:t xml:space="preserve"> </w:t>
      </w:r>
      <w:r w:rsidRPr="001A733A">
        <w:t>A Case of Frankenstein’s Monster”</w:t>
      </w:r>
    </w:p>
    <w:p w14:paraId="107C0251" w14:textId="77777777" w:rsidR="00B34A9C" w:rsidRPr="001A733A" w:rsidRDefault="00B34A9C" w:rsidP="00B63635">
      <w:pPr>
        <w:jc w:val="center"/>
      </w:pPr>
    </w:p>
    <w:p w14:paraId="687C2EE9" w14:textId="77777777" w:rsidR="001E06C2" w:rsidRDefault="001E06C2" w:rsidP="00B63635">
      <w:pPr>
        <w:jc w:val="center"/>
      </w:pPr>
    </w:p>
    <w:p w14:paraId="0CAE2B84" w14:textId="1BC17A43" w:rsidR="005310C3" w:rsidRPr="001A733A" w:rsidRDefault="00B34A9C" w:rsidP="00B63635">
      <w:pPr>
        <w:ind w:firstLine="0"/>
        <w:jc w:val="center"/>
      </w:pPr>
      <w:r w:rsidRPr="001A733A">
        <w:t>Ian Hussey</w:t>
      </w:r>
    </w:p>
    <w:p w14:paraId="6AAA3D1A" w14:textId="77777777" w:rsidR="005310C3" w:rsidRPr="001A733A" w:rsidRDefault="005310C3" w:rsidP="00DE698B"/>
    <w:p w14:paraId="7310F91D" w14:textId="77777777" w:rsidR="00583678" w:rsidRDefault="00583678" w:rsidP="005341B5">
      <w:pPr>
        <w:ind w:firstLine="0"/>
      </w:pPr>
    </w:p>
    <w:p w14:paraId="1563E064" w14:textId="77777777" w:rsidR="00283F7A" w:rsidRDefault="00283F7A" w:rsidP="009739D4">
      <w:pPr>
        <w:ind w:firstLine="0"/>
        <w:jc w:val="left"/>
        <w:rPr>
          <w:i/>
          <w:iCs/>
        </w:rPr>
      </w:pPr>
    </w:p>
    <w:p w14:paraId="36D15116" w14:textId="77777777" w:rsidR="00283F7A" w:rsidRDefault="00283F7A" w:rsidP="009739D4">
      <w:pPr>
        <w:ind w:firstLine="0"/>
        <w:jc w:val="left"/>
        <w:rPr>
          <w:i/>
          <w:iCs/>
        </w:rPr>
      </w:pPr>
    </w:p>
    <w:p w14:paraId="59379555" w14:textId="77777777" w:rsidR="00283F7A" w:rsidRDefault="00283F7A" w:rsidP="009739D4">
      <w:pPr>
        <w:ind w:firstLine="0"/>
        <w:jc w:val="left"/>
        <w:rPr>
          <w:i/>
          <w:iCs/>
        </w:rPr>
      </w:pPr>
    </w:p>
    <w:p w14:paraId="6905FAE2" w14:textId="1546996D" w:rsidR="005341B5" w:rsidRDefault="005341B5" w:rsidP="00283F7A">
      <w:pPr>
        <w:ind w:firstLine="0"/>
        <w:jc w:val="left"/>
      </w:pPr>
      <w:r w:rsidRPr="00583678">
        <w:rPr>
          <w:i/>
          <w:iCs/>
        </w:rPr>
        <w:t xml:space="preserve">Author </w:t>
      </w:r>
      <w:proofErr w:type="gramStart"/>
      <w:r w:rsidRPr="00583678">
        <w:rPr>
          <w:i/>
          <w:iCs/>
        </w:rPr>
        <w:t>note</w:t>
      </w:r>
      <w:proofErr w:type="gramEnd"/>
      <w:r w:rsidR="00583678">
        <w:rPr>
          <w:i/>
          <w:iCs/>
        </w:rPr>
        <w:t xml:space="preserve">: </w:t>
      </w:r>
      <w:r>
        <w:t>Ian Hussey</w:t>
      </w:r>
      <w:r w:rsidR="008C6694">
        <w:t xml:space="preserve"> (ORCID </w:t>
      </w:r>
      <w:r w:rsidR="008C6694" w:rsidRPr="008C6694">
        <w:t>0000-0001-8906-7559</w:t>
      </w:r>
      <w:r w:rsidR="008C6694">
        <w:t>). Ru</w:t>
      </w:r>
      <w:r w:rsidR="00A253BA">
        <w:t>h</w:t>
      </w:r>
      <w:r w:rsidR="008C6694">
        <w:t xml:space="preserve">r </w:t>
      </w:r>
      <w:r w:rsidR="00A253BA">
        <w:t>University</w:t>
      </w:r>
      <w:r w:rsidR="008C6694">
        <w:t xml:space="preserve"> Boch</w:t>
      </w:r>
      <w:r w:rsidR="00FB11D7">
        <w:t>u</w:t>
      </w:r>
      <w:r w:rsidR="008C6694">
        <w:t>m</w:t>
      </w:r>
      <w:r w:rsidR="00287120">
        <w:t xml:space="preserve">, </w:t>
      </w:r>
      <w:r w:rsidR="00940675">
        <w:t xml:space="preserve">Faculty of Psychology, </w:t>
      </w:r>
      <w:r w:rsidR="00940675">
        <w:t>Bochum</w:t>
      </w:r>
      <w:r w:rsidR="00940675">
        <w:t xml:space="preserve">, </w:t>
      </w:r>
      <w:r w:rsidR="00940675">
        <w:t xml:space="preserve">Germany. </w:t>
      </w:r>
      <w:r w:rsidR="000C5505">
        <w:t xml:space="preserve">Correspondence </w:t>
      </w:r>
      <w:r w:rsidR="001E1976">
        <w:t xml:space="preserve">should be sent </w:t>
      </w:r>
      <w:r w:rsidR="000C5505">
        <w:t xml:space="preserve">to </w:t>
      </w:r>
      <w:r w:rsidR="000C5505">
        <w:t xml:space="preserve">ian.hussey@rub.de. </w:t>
      </w:r>
      <w:r>
        <w:t>IH was supported by the META-REP Priority Program of the German Research Foundation (#464488178).</w:t>
      </w:r>
    </w:p>
    <w:p w14:paraId="0EF506B5" w14:textId="77777777" w:rsidR="001E1976" w:rsidRDefault="001E1976">
      <w:pPr>
        <w:spacing w:line="240" w:lineRule="auto"/>
        <w:ind w:firstLine="0"/>
        <w:jc w:val="left"/>
      </w:pPr>
      <w:r>
        <w:lastRenderedPageBreak/>
        <w:br w:type="page"/>
      </w:r>
    </w:p>
    <w:p w14:paraId="2CA76104" w14:textId="00426A4F" w:rsidR="001A733A" w:rsidRDefault="001A733A" w:rsidP="00B63635">
      <w:pPr>
        <w:pStyle w:val="abstract"/>
        <w:ind w:left="0"/>
        <w:jc w:val="center"/>
      </w:pPr>
      <w:r>
        <w:lastRenderedPageBreak/>
        <w:t>Abstract</w:t>
      </w:r>
    </w:p>
    <w:p w14:paraId="423186D2" w14:textId="7EACF871" w:rsidR="00627EE4" w:rsidRPr="001A733A" w:rsidRDefault="00627EE4" w:rsidP="0063082D">
      <w:pPr>
        <w:pStyle w:val="abstract"/>
        <w:ind w:left="0" w:right="20"/>
        <w:jc w:val="left"/>
        <w:sectPr w:rsidR="00627EE4" w:rsidRPr="001A733A" w:rsidSect="001A733A">
          <w:headerReference w:type="even" r:id="rId7"/>
          <w:headerReference w:type="default" r:id="rId8"/>
          <w:footerReference w:type="even" r:id="rId9"/>
          <w:pgSz w:w="11900" w:h="16840"/>
          <w:pgMar w:top="1440" w:right="1440" w:bottom="1440" w:left="1440" w:header="708" w:footer="0" w:gutter="0"/>
          <w:cols w:space="708"/>
          <w:docGrid w:linePitch="360"/>
        </w:sectPr>
      </w:pPr>
      <w:r w:rsidRPr="001A733A">
        <w:t xml:space="preserve">Barnes-Holmes &amp; Harte </w:t>
      </w:r>
      <w:r w:rsidRPr="001A733A">
        <w:fldChar w:fldCharType="begin"/>
      </w:r>
      <w:r w:rsidRPr="001A733A">
        <w:instrText xml:space="preserve"> ADDIN ZOTERO_ITEM CSL_CITATION {"citationID":"hce8E0xY","properties":{"formattedCitation":"(2022)","plainCitation":"(2022)","noteIndex":0},"citationItems":[{"id":4250,"uris":["http://zotero.org/users/1687755/items/DJC2GMQM"],"itemData":{"id":4250,"type":"article-journal","abstract":"The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1A733A">
        <w:fldChar w:fldCharType="separate"/>
      </w:r>
      <w:r w:rsidRPr="001A733A">
        <w:t>(2022)</w:t>
      </w:r>
      <w:r w:rsidRPr="001A733A">
        <w:fldChar w:fldCharType="end"/>
      </w:r>
      <w:r w:rsidRPr="001A733A">
        <w:t xml:space="preserve"> recently provided an account of the history of the development and use of the Implicit Relational Assessment Procedure (IRAP)</w:t>
      </w:r>
      <w:r w:rsidR="004B46B4">
        <w:t xml:space="preserve">, and </w:t>
      </w:r>
      <w:r w:rsidR="00531112" w:rsidRPr="00531112">
        <w:t xml:space="preserve">used this account as a springboard for suggestions </w:t>
      </w:r>
      <w:r w:rsidR="00531112">
        <w:t>for future research</w:t>
      </w:r>
      <w:r w:rsidR="00531112" w:rsidRPr="00531112">
        <w:t xml:space="preserve">. </w:t>
      </w:r>
      <w:r w:rsidRPr="001A733A">
        <w:t xml:space="preserve">Unfortunately, their core </w:t>
      </w:r>
      <w:r w:rsidR="008B3519" w:rsidRPr="001A733A">
        <w:t xml:space="preserve">assertions </w:t>
      </w:r>
      <w:r w:rsidRPr="001A733A">
        <w:t>are at odds with the published scientific record.</w:t>
      </w:r>
      <w:r w:rsidR="008B3519" w:rsidRPr="001A733A">
        <w:t xml:space="preserve"> </w:t>
      </w:r>
      <w:r w:rsidR="004B46B4" w:rsidRPr="004B46B4">
        <w:t xml:space="preserve">This raises questions about the reliability of </w:t>
      </w:r>
      <w:r w:rsidR="004B46B4">
        <w:t>their recommendations</w:t>
      </w:r>
      <w:r w:rsidR="004B46B4" w:rsidRPr="004B46B4">
        <w:t xml:space="preserve">. </w:t>
      </w:r>
      <w:r w:rsidR="008B3519" w:rsidRPr="001A733A">
        <w:t xml:space="preserve">This </w:t>
      </w:r>
      <w:r w:rsidR="00276DC4">
        <w:t>reply</w:t>
      </w:r>
      <w:r w:rsidR="008B3519" w:rsidRPr="001A733A">
        <w:t xml:space="preserve"> uses a systematic review of the published </w:t>
      </w:r>
      <w:r w:rsidR="005E21B6" w:rsidRPr="001A733A">
        <w:t xml:space="preserve">IRAP </w:t>
      </w:r>
      <w:r w:rsidR="008B3519" w:rsidRPr="001A733A">
        <w:t xml:space="preserve">literature to show that, contrary to Barnes-Holmes &amp; Harte’s (2022) account, (1) Barnes-Holmes repeatedly </w:t>
      </w:r>
      <w:r w:rsidR="00CA3F53" w:rsidRPr="001A733A">
        <w:t xml:space="preserve">and explicitly </w:t>
      </w:r>
      <w:r w:rsidR="008B3519" w:rsidRPr="001A733A">
        <w:t xml:space="preserve">stated that the IRAP </w:t>
      </w:r>
      <w:r w:rsidR="00676C7F" w:rsidRPr="001A733A">
        <w:t>is</w:t>
      </w:r>
      <w:r w:rsidR="00EC0DDE" w:rsidRPr="001A733A">
        <w:t xml:space="preserve"> </w:t>
      </w:r>
      <w:r w:rsidR="008B3519" w:rsidRPr="001A733A">
        <w:t xml:space="preserve">an implicit measure, and (2) Barnes-Holmes </w:t>
      </w:r>
      <w:r w:rsidR="00E9425F" w:rsidRPr="001A733A">
        <w:t xml:space="preserve">did not </w:t>
      </w:r>
      <w:r w:rsidR="006012D5" w:rsidRPr="001A733A">
        <w:t>“</w:t>
      </w:r>
      <w:r w:rsidR="00E9425F" w:rsidRPr="001A733A">
        <w:t xml:space="preserve">lose </w:t>
      </w:r>
      <w:r w:rsidR="008B3519" w:rsidRPr="001A733A">
        <w:t>control</w:t>
      </w:r>
      <w:r w:rsidR="006012D5" w:rsidRPr="001A733A">
        <w:t>”</w:t>
      </w:r>
      <w:r w:rsidR="008B3519" w:rsidRPr="001A733A">
        <w:t xml:space="preserve"> of the task</w:t>
      </w:r>
      <w:r w:rsidR="00CA3F53" w:rsidRPr="001A733A">
        <w:t xml:space="preserve">. Rather, </w:t>
      </w:r>
      <w:r w:rsidR="00E9425F" w:rsidRPr="001A733A">
        <w:t>h</w:t>
      </w:r>
      <w:r w:rsidR="000937F0" w:rsidRPr="001A733A">
        <w:t>e and h</w:t>
      </w:r>
      <w:r w:rsidR="00E9425F" w:rsidRPr="001A733A">
        <w:t xml:space="preserve">is </w:t>
      </w:r>
      <w:r w:rsidR="008B3519" w:rsidRPr="001A733A">
        <w:t>research group ha</w:t>
      </w:r>
      <w:r w:rsidR="00CA3F53" w:rsidRPr="001A733A">
        <w:t>ve</w:t>
      </w:r>
      <w:r w:rsidR="008B3519" w:rsidRPr="001A733A">
        <w:t xml:space="preserve"> produced the majority of all IRAP publications</w:t>
      </w:r>
      <w:r w:rsidR="00676C7F" w:rsidRPr="001A733A">
        <w:t>.</w:t>
      </w:r>
      <w:r w:rsidR="00F46F82" w:rsidRPr="001A733A">
        <w:t xml:space="preserve"> </w:t>
      </w:r>
      <w:r w:rsidR="00FC3D42" w:rsidRPr="001A733A">
        <w:t xml:space="preserve">The credibility of </w:t>
      </w:r>
      <w:r w:rsidR="00F91DAC" w:rsidRPr="001A733A">
        <w:t xml:space="preserve">Barnes-Holmes &amp; Harte’s </w:t>
      </w:r>
      <w:r w:rsidR="00F91DAC" w:rsidRPr="001A733A">
        <w:fldChar w:fldCharType="begin"/>
      </w:r>
      <w:r w:rsidR="0002241A" w:rsidRPr="001A733A">
        <w:instrText xml:space="preserve"> ADDIN ZOTERO_ITEM CSL_CITATION {"citationID":"pxSzOmPN","properties":{"formattedCitation":"(2022)","plainCitation":"(2022)","noteIndex":0},"citationItems":[{"id":4250,"uris":["http://zotero.org/users/1687755/items/DJC2GMQM"],"itemData":{"id":4250,"type":"article-journal","abstract":"The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F91DAC" w:rsidRPr="001A733A">
        <w:fldChar w:fldCharType="separate"/>
      </w:r>
      <w:r w:rsidR="00F91DAC" w:rsidRPr="001A733A">
        <w:t>(2022)</w:t>
      </w:r>
      <w:r w:rsidR="00F91DAC" w:rsidRPr="001A733A">
        <w:fldChar w:fldCharType="end"/>
      </w:r>
      <w:r w:rsidR="00F91DAC" w:rsidRPr="001A733A">
        <w:t xml:space="preserve"> suggestions </w:t>
      </w:r>
      <w:r w:rsidR="004B46B4">
        <w:t>regarding</w:t>
      </w:r>
      <w:r w:rsidR="00F91DAC" w:rsidRPr="001A733A">
        <w:t xml:space="preserve"> the future of </w:t>
      </w:r>
      <w:r w:rsidR="007D2FEF">
        <w:t xml:space="preserve">the </w:t>
      </w:r>
      <w:r w:rsidR="00F91DAC" w:rsidRPr="001A733A">
        <w:t xml:space="preserve">IRAP </w:t>
      </w:r>
      <w:r w:rsidR="007D2FEF">
        <w:t xml:space="preserve">is </w:t>
      </w:r>
      <w:r w:rsidR="00F91DAC" w:rsidRPr="001A733A">
        <w:t xml:space="preserve">undermined by </w:t>
      </w:r>
      <w:r w:rsidR="00FC3D42" w:rsidRPr="001A733A">
        <w:t xml:space="preserve">their inaccurate account </w:t>
      </w:r>
      <w:r w:rsidR="00F91DAC" w:rsidRPr="001A733A">
        <w:t xml:space="preserve">of its past. </w:t>
      </w:r>
      <w:r w:rsidR="00F46F82" w:rsidRPr="001A733A">
        <w:t xml:space="preserve">However, </w:t>
      </w:r>
      <w:r w:rsidR="001F6A9B" w:rsidRPr="001A733A">
        <w:t>their</w:t>
      </w:r>
      <w:r w:rsidR="00247DF4" w:rsidRPr="001A733A">
        <w:t xml:space="preserve"> </w:t>
      </w:r>
      <w:r w:rsidR="00F46F82" w:rsidRPr="001A733A">
        <w:t>analogy with Frankenstein’s monster still hold</w:t>
      </w:r>
      <w:r w:rsidR="008C0397" w:rsidRPr="001A733A">
        <w:t>s, albeit</w:t>
      </w:r>
      <w:r w:rsidR="00750E82" w:rsidRPr="001A733A">
        <w:t xml:space="preserve"> under a</w:t>
      </w:r>
      <w:r w:rsidR="004B46B4">
        <w:t>n alternative and</w:t>
      </w:r>
      <w:r w:rsidR="00750E82" w:rsidRPr="001A733A">
        <w:t xml:space="preserve"> correct reading of Shelly’s novel</w:t>
      </w:r>
      <w:r w:rsidR="00342F8D" w:rsidRPr="001A733A">
        <w:t xml:space="preserve"> as </w:t>
      </w:r>
      <w:r w:rsidR="00893734" w:rsidRPr="001A733A">
        <w:t xml:space="preserve">a cautionary tale about </w:t>
      </w:r>
      <w:r w:rsidR="00222A88">
        <w:t xml:space="preserve">scientific </w:t>
      </w:r>
      <w:r w:rsidR="00B34A9C" w:rsidRPr="001A733A">
        <w:t>recklessness</w:t>
      </w:r>
      <w:r w:rsidR="002A4290" w:rsidRPr="001A733A">
        <w:t>.</w:t>
      </w:r>
      <w:r w:rsidR="006029D8" w:rsidRPr="001A733A">
        <w:t xml:space="preserve"> </w:t>
      </w:r>
    </w:p>
    <w:p w14:paraId="73DAC2C2" w14:textId="77777777" w:rsidR="00572554" w:rsidRPr="001A733A" w:rsidRDefault="00572554" w:rsidP="00DE698B"/>
    <w:p w14:paraId="6CA83D70" w14:textId="77777777" w:rsidR="00782FBE" w:rsidRPr="001A733A" w:rsidRDefault="00782FBE" w:rsidP="00DE698B">
      <w:pPr>
        <w:sectPr w:rsidR="00782FBE" w:rsidRPr="001A733A" w:rsidSect="001A733A">
          <w:type w:val="continuous"/>
          <w:pgSz w:w="11900" w:h="16840"/>
          <w:pgMar w:top="1440" w:right="1440" w:bottom="1440" w:left="1440" w:header="708" w:footer="708" w:gutter="0"/>
          <w:cols w:space="708"/>
          <w:docGrid w:linePitch="360"/>
        </w:sectPr>
      </w:pPr>
    </w:p>
    <w:p w14:paraId="15B25A74" w14:textId="77777777" w:rsidR="001A733A" w:rsidRDefault="001A733A" w:rsidP="00DE698B">
      <w:r>
        <w:br w:type="page"/>
      </w:r>
    </w:p>
    <w:p w14:paraId="0C166861" w14:textId="77777777" w:rsidR="0027476C" w:rsidRDefault="0027476C" w:rsidP="00DE698B">
      <w:pPr>
        <w:pStyle w:val="Title1"/>
      </w:pPr>
      <w:r w:rsidRPr="001A733A">
        <w:lastRenderedPageBreak/>
        <w:t>Reply to Barnes-Holmes &amp; Harte (2022)</w:t>
      </w:r>
    </w:p>
    <w:p w14:paraId="00A525CB" w14:textId="1E633D05" w:rsidR="0027476C" w:rsidRDefault="0027476C" w:rsidP="00DE698B">
      <w:pPr>
        <w:pStyle w:val="Title1"/>
      </w:pPr>
      <w:r w:rsidRPr="001A733A">
        <w:t>“The IRAP as a Measure of Implicit Cognition:</w:t>
      </w:r>
      <w:r>
        <w:t xml:space="preserve"> </w:t>
      </w:r>
      <w:r w:rsidRPr="001A733A">
        <w:t>A Case of Frankenstein’s Monster”</w:t>
      </w:r>
    </w:p>
    <w:p w14:paraId="66804CF8" w14:textId="77777777" w:rsidR="0027476C" w:rsidRDefault="0027476C" w:rsidP="00DE698B"/>
    <w:p w14:paraId="6501ECFC" w14:textId="51B20F63" w:rsidR="00457F7C" w:rsidRPr="001A733A" w:rsidRDefault="00572554" w:rsidP="0063082D">
      <w:pPr>
        <w:jc w:val="left"/>
      </w:pPr>
      <w:r w:rsidRPr="001A733A">
        <w:t xml:space="preserve">Barnes-Holmes &amp; Harte </w:t>
      </w:r>
      <w:r w:rsidR="000C1B07" w:rsidRPr="001A733A">
        <w:fldChar w:fldCharType="begin"/>
      </w:r>
      <w:r w:rsidR="00A70C5B" w:rsidRPr="001A733A">
        <w:instrText xml:space="preserve"> ADDIN ZOTERO_ITEM CSL_CITATION {"citationID":"QEEhRqRy","properties":{"formattedCitation":"(2022)","plainCitation":"(2022)","noteIndex":0},"citationItems":[{"id":4250,"uris":["http://zotero.org/users/1687755/items/DJC2GMQM"],"itemData":{"id":4250,"type":"article-journal","abstract":"The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0C1B07" w:rsidRPr="001A733A">
        <w:fldChar w:fldCharType="separate"/>
      </w:r>
      <w:r w:rsidR="000C1B07" w:rsidRPr="001A733A">
        <w:t>(2022)</w:t>
      </w:r>
      <w:r w:rsidR="000C1B07" w:rsidRPr="001A733A">
        <w:fldChar w:fldCharType="end"/>
      </w:r>
      <w:r w:rsidR="000C1B07" w:rsidRPr="001A733A">
        <w:t xml:space="preserve"> </w:t>
      </w:r>
      <w:r w:rsidR="00057705" w:rsidRPr="001A733A">
        <w:t xml:space="preserve">recently </w:t>
      </w:r>
      <w:r w:rsidR="000C6B74" w:rsidRPr="001A733A">
        <w:t xml:space="preserve">provided </w:t>
      </w:r>
      <w:r w:rsidR="002016A3" w:rsidRPr="001A733A">
        <w:t>their</w:t>
      </w:r>
      <w:r w:rsidR="000C6B74" w:rsidRPr="001A733A">
        <w:t xml:space="preserve"> </w:t>
      </w:r>
      <w:r w:rsidR="00692B75" w:rsidRPr="001A733A">
        <w:t>histor</w:t>
      </w:r>
      <w:r w:rsidR="002016A3" w:rsidRPr="001A733A">
        <w:t>ical account</w:t>
      </w:r>
      <w:r w:rsidR="00692B75" w:rsidRPr="001A733A">
        <w:t xml:space="preserve"> of the </w:t>
      </w:r>
      <w:r w:rsidR="000C6B74" w:rsidRPr="001A733A">
        <w:t xml:space="preserve">development and use of the </w:t>
      </w:r>
      <w:r w:rsidR="000C1B07" w:rsidRPr="001A733A">
        <w:t>Implicit Relational Assessment Procedure (IRAP)</w:t>
      </w:r>
      <w:r w:rsidR="001F2131" w:rsidRPr="001A733A">
        <w:t xml:space="preserve">. Unfortunately, their core </w:t>
      </w:r>
      <w:r w:rsidR="000666DD" w:rsidRPr="001A733A">
        <w:t>assertions</w:t>
      </w:r>
      <w:r w:rsidR="001F2131" w:rsidRPr="001A733A">
        <w:t xml:space="preserve"> are at odds with the published scientific record.</w:t>
      </w:r>
      <w:r w:rsidR="00D9727E" w:rsidRPr="001A733A">
        <w:t xml:space="preserve"> </w:t>
      </w:r>
      <w:r w:rsidR="005077D0" w:rsidRPr="001A733A">
        <w:t xml:space="preserve">As scientists </w:t>
      </w:r>
      <w:r w:rsidR="004D2E30" w:rsidRPr="001A733A">
        <w:t xml:space="preserve">generally, </w:t>
      </w:r>
      <w:r w:rsidR="005077D0" w:rsidRPr="001A733A">
        <w:t xml:space="preserve">we should be concerned with verifiable facts </w:t>
      </w:r>
      <w:r w:rsidR="00821CCF" w:rsidRPr="001A733A">
        <w:t xml:space="preserve">and avoid revisionism. As behaviorists specifically, we should take responsibility for </w:t>
      </w:r>
      <w:r w:rsidR="004B7FA7" w:rsidRPr="001A733A">
        <w:t xml:space="preserve">how we have </w:t>
      </w:r>
      <w:r w:rsidR="0076065F" w:rsidRPr="001A733A">
        <w:t>arrang</w:t>
      </w:r>
      <w:r w:rsidR="004B7FA7" w:rsidRPr="001A733A">
        <w:t xml:space="preserve">ed </w:t>
      </w:r>
      <w:r w:rsidR="0076065F" w:rsidRPr="001A733A">
        <w:t xml:space="preserve">the </w:t>
      </w:r>
      <w:r w:rsidR="00821CCF" w:rsidRPr="001A733A">
        <w:t>environment</w:t>
      </w:r>
      <w:r w:rsidR="0076065F" w:rsidRPr="001A733A">
        <w:t xml:space="preserve"> </w:t>
      </w:r>
      <w:r w:rsidR="004B7FA7" w:rsidRPr="001A733A">
        <w:t xml:space="preserve">and how </w:t>
      </w:r>
      <w:r w:rsidR="00003076">
        <w:t>this</w:t>
      </w:r>
      <w:r w:rsidR="004B7FA7" w:rsidRPr="001A733A">
        <w:t xml:space="preserve"> has </w:t>
      </w:r>
      <w:r w:rsidR="00821CCF" w:rsidRPr="001A733A">
        <w:t>influence</w:t>
      </w:r>
      <w:r w:rsidR="004B7FA7" w:rsidRPr="001A733A">
        <w:t>d</w:t>
      </w:r>
      <w:r w:rsidR="00821CCF" w:rsidRPr="001A733A">
        <w:t xml:space="preserve"> </w:t>
      </w:r>
      <w:r w:rsidR="0076065F" w:rsidRPr="001A733A">
        <w:t xml:space="preserve">the behavior of </w:t>
      </w:r>
      <w:r w:rsidR="00821CCF" w:rsidRPr="001A733A">
        <w:t>other scientists.</w:t>
      </w:r>
      <w:r w:rsidR="000A7CF4">
        <w:t xml:space="preserve"> For example, other researchers are likely to use a task as an implicit measure if we repeatedly assert that it is one. </w:t>
      </w:r>
      <w:r w:rsidR="00D9727E" w:rsidRPr="001A733A">
        <w:t>Th</w:t>
      </w:r>
      <w:r w:rsidR="00B913CB" w:rsidRPr="001A733A">
        <w:t>is</w:t>
      </w:r>
      <w:r w:rsidR="00D9727E" w:rsidRPr="001A733A">
        <w:t xml:space="preserve"> commentary </w:t>
      </w:r>
      <w:r w:rsidR="005077D0" w:rsidRPr="001A733A">
        <w:t xml:space="preserve">therefore </w:t>
      </w:r>
      <w:r w:rsidR="00D9727E" w:rsidRPr="001A733A">
        <w:t xml:space="preserve">details </w:t>
      </w:r>
      <w:r w:rsidR="0076065F" w:rsidRPr="001A733A">
        <w:t xml:space="preserve">and corrects </w:t>
      </w:r>
      <w:r w:rsidR="00D9727E" w:rsidRPr="001A733A">
        <w:t xml:space="preserve">the </w:t>
      </w:r>
      <w:r w:rsidR="005B0362" w:rsidRPr="001A733A">
        <w:t xml:space="preserve">two key </w:t>
      </w:r>
      <w:r w:rsidR="00D9727E" w:rsidRPr="001A733A">
        <w:t xml:space="preserve">inconsistencies between the </w:t>
      </w:r>
      <w:r w:rsidR="0076065F" w:rsidRPr="001A733A">
        <w:t xml:space="preserve">account provided by </w:t>
      </w:r>
      <w:r w:rsidR="00D9727E" w:rsidRPr="001A733A">
        <w:t xml:space="preserve">Barnes-Holmes &amp; Harte </w:t>
      </w:r>
      <w:r w:rsidR="00D9727E" w:rsidRPr="001A733A">
        <w:fldChar w:fldCharType="begin"/>
      </w:r>
      <w:r w:rsidR="00BB2EA8" w:rsidRPr="001A733A">
        <w:instrText xml:space="preserve"> ADDIN ZOTERO_ITEM CSL_CITATION {"citationID":"Gc9ytXHE","properties":{"formattedCitation":"(2022)","plainCitation":"(2022)","noteIndex":0},"citationItems":[{"id":4250,"uris":["http://zotero.org/users/1687755/items/DJC2GMQM"],"itemData":{"id":4250,"type":"article-journal","abstract":"The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00D9727E" w:rsidRPr="001A733A">
        <w:fldChar w:fldCharType="separate"/>
      </w:r>
      <w:r w:rsidR="00D9727E" w:rsidRPr="001A733A">
        <w:t>(2022)</w:t>
      </w:r>
      <w:r w:rsidR="00D9727E" w:rsidRPr="001A733A">
        <w:fldChar w:fldCharType="end"/>
      </w:r>
      <w:r w:rsidR="00D9727E" w:rsidRPr="001A733A">
        <w:t xml:space="preserve"> and the actual contents </w:t>
      </w:r>
      <w:r w:rsidR="006D1CB6" w:rsidRPr="001A733A">
        <w:t xml:space="preserve">of </w:t>
      </w:r>
      <w:r w:rsidR="00D9727E" w:rsidRPr="001A733A">
        <w:t xml:space="preserve">Barnes-Holmes’ published </w:t>
      </w:r>
      <w:r w:rsidR="006D1CB6" w:rsidRPr="001A733A">
        <w:t xml:space="preserve">work </w:t>
      </w:r>
      <w:r w:rsidR="00D9727E" w:rsidRPr="001A733A">
        <w:t xml:space="preserve">on the IRAP. </w:t>
      </w:r>
      <w:r w:rsidR="00905785" w:rsidRPr="001A733A">
        <w:t xml:space="preserve">Specifically, they argued that (1) “the IRAP did not start out as a measure of implicit cognition” (pp. 5-6) and (2) “the creator of the IRAP seemingly lost control of his creation as the procedure became almost exclusively employed as a measure of implicit cognition” (p. 2). These points are both key to Barnes-Holmes &amp; Harte’s (2022) account and demonstrably not the case. </w:t>
      </w:r>
      <w:r w:rsidR="00E52215" w:rsidRPr="001A733A">
        <w:t>These corrections are not merely pedantic: Barnes-Holmes &amp; Harte (2022) provide</w:t>
      </w:r>
      <w:r w:rsidR="00903C62" w:rsidRPr="001A733A">
        <w:t>d</w:t>
      </w:r>
      <w:r w:rsidR="00E52215" w:rsidRPr="001A733A">
        <w:t xml:space="preserve"> a roadmap for future research based on </w:t>
      </w:r>
      <w:r w:rsidR="00633005" w:rsidRPr="001A733A">
        <w:t xml:space="preserve">their view of the past </w:t>
      </w:r>
      <w:r w:rsidR="00B27D45" w:rsidRPr="001A733A">
        <w:t>nearly two decades</w:t>
      </w:r>
      <w:r w:rsidR="00633005" w:rsidRPr="001A733A">
        <w:t xml:space="preserve"> </w:t>
      </w:r>
      <w:r w:rsidR="00B27D45" w:rsidRPr="001A733A">
        <w:t xml:space="preserve">of </w:t>
      </w:r>
      <w:r w:rsidR="00633005" w:rsidRPr="001A733A">
        <w:t xml:space="preserve">IRAP </w:t>
      </w:r>
      <w:r w:rsidR="00B27D45" w:rsidRPr="001A733A">
        <w:t>research</w:t>
      </w:r>
      <w:r w:rsidR="007A2B53" w:rsidRPr="001A733A">
        <w:t xml:space="preserve">. </w:t>
      </w:r>
      <w:r w:rsidR="00D22B2C" w:rsidRPr="001A733A">
        <w:t xml:space="preserve">If future </w:t>
      </w:r>
      <w:r w:rsidR="00F477C0" w:rsidRPr="001A733A">
        <w:t xml:space="preserve">investments into </w:t>
      </w:r>
      <w:r w:rsidR="007A2B53" w:rsidRPr="001A733A">
        <w:t xml:space="preserve">IRAP </w:t>
      </w:r>
      <w:r w:rsidR="00377326" w:rsidRPr="001A733A">
        <w:t xml:space="preserve">research </w:t>
      </w:r>
      <w:r w:rsidR="00F477C0" w:rsidRPr="001A733A">
        <w:t>are to be successful</w:t>
      </w:r>
      <w:r w:rsidR="007A2B53" w:rsidRPr="001A733A">
        <w:t xml:space="preserve"> we must build them on an accurate account of the work </w:t>
      </w:r>
      <w:r w:rsidR="00D22B2C" w:rsidRPr="001A733A">
        <w:t>to date</w:t>
      </w:r>
      <w:r w:rsidR="005C36B7" w:rsidRPr="001A733A">
        <w:t>.</w:t>
      </w:r>
      <w:r w:rsidR="00E110FD" w:rsidRPr="001A733A">
        <w:t xml:space="preserve"> </w:t>
      </w:r>
      <w:r w:rsidR="005E0395" w:rsidRPr="001A733A">
        <w:t xml:space="preserve">Indeed, the credibility of </w:t>
      </w:r>
      <w:r w:rsidR="004F293F" w:rsidRPr="001A733A">
        <w:t xml:space="preserve">any </w:t>
      </w:r>
      <w:r w:rsidR="005E0395" w:rsidRPr="001A733A">
        <w:t xml:space="preserve">recommendations for the future of the task should be informed by the accuracy of </w:t>
      </w:r>
      <w:r w:rsidR="00992317" w:rsidRPr="001A733A">
        <w:t xml:space="preserve">the </w:t>
      </w:r>
      <w:r w:rsidR="005E0395" w:rsidRPr="001A733A">
        <w:t>account of its past.</w:t>
      </w:r>
    </w:p>
    <w:p w14:paraId="38213B85" w14:textId="6DCAA66B" w:rsidR="005629C1" w:rsidRPr="001A733A" w:rsidRDefault="005629C1" w:rsidP="0063082D">
      <w:pPr>
        <w:pStyle w:val="Heading1"/>
        <w:jc w:val="left"/>
      </w:pPr>
      <w:r w:rsidRPr="001A733A">
        <w:t>Systematic review of published IRAP research</w:t>
      </w:r>
    </w:p>
    <w:p w14:paraId="498F9930" w14:textId="0A99215A" w:rsidR="006B4E43" w:rsidRDefault="006B4E43" w:rsidP="0063082D">
      <w:pPr>
        <w:jc w:val="left"/>
      </w:pPr>
      <w:r w:rsidRPr="00DE698B">
        <w:t>Barnes</w:t>
      </w:r>
      <w:r w:rsidRPr="001A733A">
        <w:t xml:space="preserve">-Holmes &amp; Harte’s </w:t>
      </w:r>
      <w:r w:rsidRPr="001A733A">
        <w:fldChar w:fldCharType="begin"/>
      </w:r>
      <w:r w:rsidRPr="001A733A">
        <w:instrText xml:space="preserve"> ADDIN ZOTERO_ITEM CSL_CITATION {"citationID":"FG0pA0LL","properties":{"formattedCitation":"(2022)","plainCitation":"(2022)","noteIndex":0},"citationItems":[{"id":4250,"uris":["http://zotero.org/users/1687755/items/DJC2GMQM"],"itemData":{"id":4250,"type":"article-journal","abstract":"The implicit relational assessment procedure (IRAP) was initially developed as a way to assess the strength and probability of natural verbal relations, as defined within relational frame theory (RFT), and was conceptually rooted within the behavior-analytic tradition. However, the IRAP quickly became employed primarily as a measure of implicit cognition, more in line with mainstream psychology than behavior analysis. In doing so, research using the IRAP increasingly employed ill-defined mainstream psychological terms, focused on correlational analyses with traditional psychometry, and thus emphasized prediction over the prediction-and-influence of behavior. Although perhaps beneficial to the study of implicit cognition, this approach could be argued to have limited the IRAP’s utility in behavior analyses of human language and cognition. In the current article we will reflect on this suggestion, on the IRAPs place and current use in the field of behavior analysis, and on its potential future within behavioral psychology in light of recent conceptual and empirical advances in RFT. In doing so, it is hoped that the measure may be refined into a better understood, more precise, functional-analytic tool.","container-title":"Perspectives on Behavior Science","DOI":"10.1007/s40614-022-00352-z","ISSN":"2520-8977","journalAbbreviation":"Perspect Behav Sci","language":"en","source":"Springer Link","title":"The IRAP as a Measure of Implicit Cognition: A Case of Frankenstein’s Monster","title-short":"The IRAP as a Measure of Implicit Cognition","URL":"https://doi.org/10.1007/s40614-022-00352-z","author":[{"family":"Barnes-Holmes","given":"Dermot"},{"family":"Harte","given":"Colin"}],"accessed":{"date-parts":[["2022",8,2]]},"issued":{"date-parts":[["2022",7,29]]}},"label":"page","suppress-author":true}],"schema":"https://github.com/citation-style-language/schema/raw/master/csl-citation.json"} </w:instrText>
      </w:r>
      <w:r w:rsidRPr="001A733A">
        <w:fldChar w:fldCharType="separate"/>
      </w:r>
      <w:r w:rsidRPr="001A733A">
        <w:t>(2022)</w:t>
      </w:r>
      <w:r w:rsidRPr="001A733A">
        <w:fldChar w:fldCharType="end"/>
      </w:r>
      <w:r w:rsidRPr="001A733A">
        <w:t xml:space="preserve"> claims were therefore testing using a systematic review of the published IRAP literature (2006 to 2022, in English, listed in the Web of </w:t>
      </w:r>
      <w:r w:rsidRPr="001A733A">
        <w:lastRenderedPageBreak/>
        <w:t xml:space="preserve">Science or </w:t>
      </w:r>
      <w:proofErr w:type="spellStart"/>
      <w:r w:rsidRPr="001A733A">
        <w:t>psycINFO</w:t>
      </w:r>
      <w:proofErr w:type="spellEnd"/>
      <w:r w:rsidRPr="001A733A">
        <w:t xml:space="preserve"> databases). Full details of the systematic review, including Boolean search strings, all materials necessary to reproduce, reuse, or update the review, all data, and R code to reproduce the analyses are available in the supplementary materials (</w:t>
      </w:r>
      <w:hyperlink r:id="rId10" w:history="1">
        <w:r w:rsidRPr="001A733A">
          <w:rPr>
            <w:rStyle w:val="Hyperlink"/>
          </w:rPr>
          <w:t>osf.io/3bp84</w:t>
        </w:r>
      </w:hyperlink>
      <w:r w:rsidRPr="001A733A">
        <w:rPr>
          <w:rStyle w:val="Hyperlink"/>
        </w:rPr>
        <w:t>)</w:t>
      </w:r>
      <w:r w:rsidRPr="001A733A">
        <w:t xml:space="preserve">. A PRISMA flow chart </w:t>
      </w:r>
      <w:r w:rsidR="00FC37BD" w:rsidRPr="001A733A">
        <w:t xml:space="preserve">detailing all exclusions </w:t>
      </w:r>
      <w:r w:rsidR="00854AFC" w:rsidRPr="001A733A">
        <w:t>can be found in Figure 1</w:t>
      </w:r>
      <w:r w:rsidR="00FC37BD" w:rsidRPr="001A733A">
        <w:t xml:space="preserve"> </w:t>
      </w:r>
      <w:r w:rsidR="00FC37BD" w:rsidRPr="001A733A">
        <w:fldChar w:fldCharType="begin"/>
      </w:r>
      <w:r w:rsidR="00FC37BD" w:rsidRPr="001A733A">
        <w:instrText xml:space="preserve"> ADDIN ZOTERO_ITEM CSL_CITATION {"citationID":"fxbsvlGo","properties":{"formattedCitation":"(Moher et al., 2009)","plainCitation":"(Moher et al., 2009)","noteIndex":0},"citationItems":[{"id":1664,"uris":["http://zotero.org/users/1687755/items/TRZASPIG"],"itemData":{"id":1664,"type":"article-journal","abstract":"David Moher and colleagues introduce PRISMA, an update of the QUOROM guidelines for reporting systematic reviews and meta-analyses\n\nSystematic reviews and meta-analyses have become increasingly important in health care. Clinicians read them to keep up to date with their specialty,1 2 and they are often used as a starting point for developing clinical practice guidelines. Granting agencies may require a systematic review to ensure there is justification for further research,3 and some medical journals are moving in this direction.4 As with all research, the value of a systematic review depends on what was done, what was found, and the clarity of reporting. As with other publications, the reporting quality of systematic reviews varies, limiting readers’ ability to assess the strengths and weaknesses of those reviews.\n\nSeveral early studies evaluated the quality of review reports. In 1987 Mulrow examined 50 review articles published in four leading medical journals in 1985 and 1986 and found that none met all eight explicit scientific criteria, such as a quality assessment of included studies.5 In 1987 Sacks and colleagues evaluated the adequacy of reporting of 83 meta-analyses on 23 characteristics in six domains.6 Reporting was generally poor; between one and 14 characteristics were adequately reported (mean 7.7, standard deviation 2.7). A 1996 update of this study found little improvement.7\n\nIn 1996, to address the suboptimal reporting of meta-analyses, an international group developed a guidance called the QUOROM statement (QUality Of Reporting Of Meta-analyses), which focused on the reporting of meta-analyses of randomised controlled trials.8 In this article, we summarise a revision of these guidelines, renamed PRISMA (Preferred Reporting Items for Systematic reviews and Meta-Analyses), which have been updated to address several conceptual and practical advances in the science of systematic reviews (see box).\n\n#### Conceptual issues in the evolution from QUOROM to PRISMA\n\n##### Completing a systematic review is an iterative process\n\nThe conduct of a systematic …","container-title":"BMJ","DOI":"10.1136/bmj.b2535","ISSN":"0959-8138, 1468-5833","journalAbbreviation":"BMJ","language":"en","license":"© Moher et al 2009. This is an open-access article distributed under the terms of the Creative Commons Attribution Non-commercial License, which permits unrestricted use, distribution, and reproduction in any medium, provided the original work is properly cited.","note":"PMID: 19622551","page":"b2535","source":"www.bmj.com","title":"Preferred reporting items for systematic reviews and meta-analyses: the PRISMA statement","title-short":"Preferred reporting items for systematic reviews and meta-analyses","volume":"339","author":[{"family":"Moher","given":"David"},{"family":"Liberati","given":"Alessandro"},{"family":"Tetzlaff","given":"Jennifer"},{"family":"Altman","given":"Douglas G."}],"issued":{"date-parts":[["2009",7,21]]}},"label":"page"}],"schema":"https://github.com/citation-style-language/schema/raw/master/csl-citation.json"} </w:instrText>
      </w:r>
      <w:r w:rsidR="00FC37BD" w:rsidRPr="001A733A">
        <w:fldChar w:fldCharType="separate"/>
      </w:r>
      <w:r w:rsidR="00FC37BD" w:rsidRPr="001A733A">
        <w:rPr>
          <w:noProof/>
        </w:rPr>
        <w:t>(Moher et al., 2009)</w:t>
      </w:r>
      <w:r w:rsidR="00FC37BD" w:rsidRPr="001A733A">
        <w:fldChar w:fldCharType="end"/>
      </w:r>
      <w:r w:rsidR="00854AFC" w:rsidRPr="001A733A">
        <w:t>.</w:t>
      </w:r>
      <w:r w:rsidRPr="001A733A">
        <w:t xml:space="preserve"> 155 articles and book chapters that used the IRAP were found. </w:t>
      </w:r>
    </w:p>
    <w:p w14:paraId="2FA122AF" w14:textId="53BC54C3" w:rsidR="008D74ED" w:rsidRDefault="008D74ED" w:rsidP="00DE698B"/>
    <w:p w14:paraId="1ABA7FD7" w14:textId="77777777" w:rsidR="008D74ED" w:rsidRPr="001A733A" w:rsidRDefault="008D74ED" w:rsidP="008D74ED">
      <w:pPr>
        <w:ind w:firstLine="0"/>
      </w:pPr>
      <w:r w:rsidRPr="001A733A">
        <w:rPr>
          <w:b/>
          <w:bCs/>
        </w:rPr>
        <w:t>Figure 1.</w:t>
      </w:r>
      <w:r w:rsidRPr="001A733A">
        <w:t xml:space="preserve"> PRISMA flow chart for systematic review</w:t>
      </w:r>
    </w:p>
    <w:p w14:paraId="7FC71BEA" w14:textId="77777777" w:rsidR="008D74ED" w:rsidRPr="001A733A" w:rsidRDefault="008D74ED" w:rsidP="008D74ED">
      <w:pPr>
        <w:ind w:firstLine="0"/>
        <w:jc w:val="center"/>
      </w:pPr>
      <w:r w:rsidRPr="001A733A">
        <w:rPr>
          <w:noProof/>
        </w:rPr>
        <w:drawing>
          <wp:inline distT="0" distB="0" distL="0" distR="0" wp14:anchorId="1486E4C9" wp14:editId="242643F6">
            <wp:extent cx="4083269" cy="4051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3533" cy="4061973"/>
                    </a:xfrm>
                    <a:prstGeom prst="rect">
                      <a:avLst/>
                    </a:prstGeom>
                  </pic:spPr>
                </pic:pic>
              </a:graphicData>
            </a:graphic>
          </wp:inline>
        </w:drawing>
      </w:r>
    </w:p>
    <w:p w14:paraId="7B0C97B9" w14:textId="2D25A113" w:rsidR="008D74ED" w:rsidRDefault="008D74ED" w:rsidP="008D74ED">
      <w:pPr>
        <w:ind w:firstLine="0"/>
      </w:pPr>
    </w:p>
    <w:p w14:paraId="17A11BF7" w14:textId="77777777" w:rsidR="008D74ED" w:rsidRPr="001A733A" w:rsidRDefault="008D74ED" w:rsidP="00DE698B"/>
    <w:p w14:paraId="4DC24145" w14:textId="41B270CB" w:rsidR="00EF6B30" w:rsidRPr="001A733A" w:rsidRDefault="009E0C15" w:rsidP="00DE698B">
      <w:pPr>
        <w:pStyle w:val="Heading1"/>
      </w:pPr>
      <w:r w:rsidRPr="001A733A">
        <w:t>Barnes-Holmes</w:t>
      </w:r>
      <w:r w:rsidR="00A43FCD" w:rsidRPr="001A733A">
        <w:t xml:space="preserve"> </w:t>
      </w:r>
      <w:r w:rsidR="00C154C7" w:rsidRPr="001A733A">
        <w:t xml:space="preserve">consistently stated that </w:t>
      </w:r>
      <w:r w:rsidR="00770D8F" w:rsidRPr="001A733A">
        <w:t xml:space="preserve">the IRAP </w:t>
      </w:r>
      <w:r w:rsidR="00717044" w:rsidRPr="001A733A">
        <w:t>was created as</w:t>
      </w:r>
      <w:r w:rsidR="00C154C7" w:rsidRPr="001A733A">
        <w:t xml:space="preserve"> an </w:t>
      </w:r>
      <w:r w:rsidR="00A43FCD" w:rsidRPr="001A733A">
        <w:t>implicit measure</w:t>
      </w:r>
    </w:p>
    <w:p w14:paraId="63048FBE" w14:textId="205BBA2B" w:rsidR="00A7010C" w:rsidRPr="001A733A" w:rsidRDefault="007B1AC0" w:rsidP="0063082D">
      <w:pPr>
        <w:pStyle w:val="NormalWeb"/>
        <w:ind w:firstLine="720"/>
        <w:jc w:val="left"/>
      </w:pPr>
      <w:r w:rsidRPr="001A733A">
        <w:t xml:space="preserve">Claim 1: </w:t>
      </w:r>
      <w:r w:rsidR="00EF6B30" w:rsidRPr="001A733A">
        <w:t>“</w:t>
      </w:r>
      <w:r w:rsidR="00541647" w:rsidRPr="001A733A">
        <w:t>T</w:t>
      </w:r>
      <w:r w:rsidR="00EF6B30" w:rsidRPr="001A733A">
        <w:t>he IRAP did not start out as a measure of implicit cognition” (</w:t>
      </w:r>
      <w:r w:rsidRPr="001A733A">
        <w:t xml:space="preserve">Barnes-Holmes &amp; Harte, 2022, </w:t>
      </w:r>
      <w:r w:rsidR="00EF6B30" w:rsidRPr="001A733A">
        <w:t xml:space="preserve">pp. 5-6). </w:t>
      </w:r>
      <w:r w:rsidR="00451BBB" w:rsidRPr="001A733A">
        <w:rPr>
          <w:rFonts w:eastAsia="Times New Roman"/>
          <w:kern w:val="0"/>
          <w:lang w:eastAsia="zh-CN"/>
        </w:rPr>
        <w:t>On the contrary</w:t>
      </w:r>
      <w:r w:rsidR="00EF1A55" w:rsidRPr="001A733A">
        <w:rPr>
          <w:rFonts w:eastAsia="Times New Roman"/>
          <w:kern w:val="0"/>
          <w:lang w:eastAsia="zh-CN"/>
        </w:rPr>
        <w:t xml:space="preserve">, </w:t>
      </w:r>
      <w:r w:rsidR="00884CB9" w:rsidRPr="001A733A">
        <w:t xml:space="preserve">the early IRAP literature is very explicit </w:t>
      </w:r>
      <w:r w:rsidR="00884CB9" w:rsidRPr="001A733A">
        <w:lastRenderedPageBreak/>
        <w:t xml:space="preserve">that it was created </w:t>
      </w:r>
      <w:r w:rsidR="00BF576E" w:rsidRPr="001A733A">
        <w:t xml:space="preserve">and used </w:t>
      </w:r>
      <w:r w:rsidR="00884CB9" w:rsidRPr="001A733A">
        <w:t xml:space="preserve">as one. </w:t>
      </w:r>
      <w:r w:rsidR="006012D5" w:rsidRPr="001A733A">
        <w:t>T</w:t>
      </w:r>
      <w:r w:rsidR="00E03089" w:rsidRPr="001A733A">
        <w:t xml:space="preserve">o </w:t>
      </w:r>
      <w:r w:rsidR="00DD59A3" w:rsidRPr="001A733A">
        <w:t xml:space="preserve">demonstrate </w:t>
      </w:r>
      <w:r w:rsidR="00E03089" w:rsidRPr="001A733A">
        <w:t>this</w:t>
      </w:r>
      <w:r w:rsidR="00DD59A3" w:rsidRPr="001A733A">
        <w:t>,</w:t>
      </w:r>
      <w:r w:rsidR="00E03089" w:rsidRPr="001A733A">
        <w:t xml:space="preserve"> I </w:t>
      </w:r>
      <w:r w:rsidR="00EF1A55" w:rsidRPr="001A733A">
        <w:t>provide quotes from</w:t>
      </w:r>
      <w:r w:rsidR="00E03089" w:rsidRPr="001A733A">
        <w:t xml:space="preserve"> the first </w:t>
      </w:r>
      <w:r w:rsidR="00DD59A3" w:rsidRPr="001A733A">
        <w:t>ten</w:t>
      </w:r>
      <w:r w:rsidR="00E03089" w:rsidRPr="001A733A">
        <w:t xml:space="preserve"> published IRAP articles and book chapters</w:t>
      </w:r>
      <w:r w:rsidR="006012D5" w:rsidRPr="001A733A">
        <w:t xml:space="preserve"> of which </w:t>
      </w:r>
      <w:r w:rsidR="00EF1A55" w:rsidRPr="001A733A">
        <w:t>Barnes-Holmes was a co-autho</w:t>
      </w:r>
      <w:r w:rsidR="006012D5" w:rsidRPr="001A733A">
        <w:t>r</w:t>
      </w:r>
      <w:r w:rsidR="00EF1A55" w:rsidRPr="001A733A">
        <w:t>.</w:t>
      </w:r>
      <w:r w:rsidR="00E03089" w:rsidRPr="001A733A">
        <w:t xml:space="preserve"> </w:t>
      </w:r>
    </w:p>
    <w:p w14:paraId="4DABF447" w14:textId="74FF8B8A" w:rsidR="00EF1A55" w:rsidRPr="001A733A" w:rsidRDefault="00EF1A55" w:rsidP="0063082D">
      <w:pPr>
        <w:pStyle w:val="NormalWeb"/>
        <w:ind w:firstLine="720"/>
        <w:jc w:val="left"/>
      </w:pPr>
      <w:r w:rsidRPr="001A733A">
        <w:t xml:space="preserve">The first IRAP publication, Barnes-Holmes et al. </w:t>
      </w:r>
      <w:r w:rsidRPr="001A733A">
        <w:fldChar w:fldCharType="begin"/>
      </w:r>
      <w:r w:rsidRPr="001A733A">
        <w:instrText xml:space="preserve"> ADDIN ZOTERO_ITEM CSL_CITATION {"citationID":"OiA3pveh","properties":{"formattedCitation":"(2006)","plainCitation":"(2006)","noteIndex":0},"citationItems":[{"id":1381,"uris":["http://zotero.org/users/1687755/items/A8CJRWUP"],"itemData":{"id":1381,"type":"article-journal","container-title":"The Irish Psychologist","issue":"7","page":"169–177","source":"Google Scholar","title":"Do you really know what you believe? Developing the Implicit Relational Assessment Procedure (IRAP) as a direct measure of implicit beliefs","title-short":"Do you really know what you believe?","volume":"32","author":[{"family":"Barnes-Holmes","given":"Dermot"},{"family":"Barnes-Holmes","given":"Yvonne"},{"family":"Power","given":"Patricia"},{"family":"Hayden","given":"Eilish"},{"family":"Milne","given":"Rebecca"},{"family":"Stewart","given":"Ian"}],"issued":{"date-parts":[["2006"]]}},"label":"page","suppress-author":true}],"schema":"https://github.com/citation-style-language/schema/raw/master/csl-citation.json"} </w:instrText>
      </w:r>
      <w:r w:rsidRPr="001A733A">
        <w:fldChar w:fldCharType="separate"/>
      </w:r>
      <w:r w:rsidRPr="001A733A">
        <w:rPr>
          <w:noProof/>
        </w:rPr>
        <w:t>(2006)</w:t>
      </w:r>
      <w:r w:rsidRPr="001A733A">
        <w:fldChar w:fldCharType="end"/>
      </w:r>
      <w:r w:rsidRPr="001A733A">
        <w:t>, was subtitled “Developing the Implicit Relational Assessment Procedure (IRAP) as a direct measure of implicit beliefs” and stated that “the current results do suggest, if only tentatively, that the IRAP provides a measure of implicit beliefs” (p.</w:t>
      </w:r>
      <w:r w:rsidR="00F63E8F" w:rsidRPr="001A733A">
        <w:t xml:space="preserve"> </w:t>
      </w:r>
      <w:r w:rsidRPr="001A733A">
        <w:t xml:space="preserve">173). McKenna et al. </w:t>
      </w:r>
      <w:r w:rsidRPr="001A733A">
        <w:fldChar w:fldCharType="begin"/>
      </w:r>
      <w:r w:rsidRPr="001A733A">
        <w:instrText xml:space="preserve"> ADDIN ZOTERO_ITEM CSL_CITATION {"citationID":"bhGEyRQr","properties":{"formattedCitation":"(2007)","plainCitation":"(2007)","noteIndex":0},"citationItems":[{"id":1367,"uris":["http://zotero.org/users/1687755/items/D5TZAGUE"],"itemData":{"id":1367,"type":"article-journal","container-title":"International Journal of Psychology and Psychological Therapy","issue":"2","page":"253–268","source":"Google Scholar","title":"Testing the fake-ability of the Implicit Relational Assessment Procedure (IRAP): The first study","title-short":"Testing the fake-ability of the Implicit Relational Assessment Procedure (IRAP)","volume":"7","author":[{"family":"McKenna","given":"Ian M."},{"family":"Barnes-Holmes","given":"Dermot"},{"family":"Barnes-Holmes","given":"Yvonne"},{"family":"Stewart","given":"Ian"}],"issued":{"date-parts":[["2007"]]}},"label":"page","suppress-author":true}],"schema":"https://github.com/citation-style-language/schema/raw/master/csl-citation.json"} </w:instrText>
      </w:r>
      <w:r w:rsidRPr="001A733A">
        <w:fldChar w:fldCharType="separate"/>
      </w:r>
      <w:r w:rsidRPr="001A733A">
        <w:rPr>
          <w:noProof/>
        </w:rPr>
        <w:t>(2007)</w:t>
      </w:r>
      <w:r w:rsidRPr="001A733A">
        <w:fldChar w:fldCharType="end"/>
      </w:r>
      <w:r w:rsidR="00F63E8F" w:rsidRPr="001A733A">
        <w:t xml:space="preserve"> stated</w:t>
      </w:r>
      <w:r w:rsidR="009B302B" w:rsidRPr="001A733A">
        <w:t>,</w:t>
      </w:r>
      <w:r w:rsidR="00F63E8F" w:rsidRPr="001A733A">
        <w:t xml:space="preserve"> “another procedure for assessing implicit </w:t>
      </w:r>
      <w:r w:rsidR="00744AD0" w:rsidRPr="001A733A">
        <w:t xml:space="preserve">cognitions has been proposed, the Implicit Relational Assessment Procedure” (p. 254), and “the current </w:t>
      </w:r>
      <w:r w:rsidR="00F63E8F" w:rsidRPr="001A733A">
        <w:t xml:space="preserve">findings provide some support for the IRAP as an implicit measure” (p. 267). </w:t>
      </w:r>
      <w:r w:rsidR="00780DBC" w:rsidRPr="001A733A">
        <w:t xml:space="preserve">Cullen &amp; Barnes-Holmes </w:t>
      </w:r>
      <w:r w:rsidR="00780DBC" w:rsidRPr="001A733A">
        <w:fldChar w:fldCharType="begin"/>
      </w:r>
      <w:r w:rsidR="00780DBC" w:rsidRPr="001A733A">
        <w:instrText xml:space="preserve"> ADDIN ZOTERO_ITEM CSL_CITATION {"citationID":"ETEao00z","properties":{"formattedCitation":"(2008)","plainCitation":"(2008)","noteIndex":0},"citationItems":[{"id":10826,"uris":["http://zotero.org/users/1687755/items/SW5N2RT6"],"itemData":{"id":10826,"type":"chapter","abstract":"Findings from American poll data spanning the last two decades reveal that attitudes toward gay men and lesbian women are becoming more liberal. Despite these trends, however, self-report data may fall victim to a range of confounds including self-presentational biases. Recently, researchers have begun to assess implicit homo-negativity (i.e., attitudes toward gay men and lesbian women that are relatively unconscious and beyond volitional control) using a range of implicit measures. This chapter reviews the studies published to date in the area of implicit homo-negativity. The findings show that implicit attitudes as measured by the Implicit Association Test, the Sequential Priming Procedure and the Implicit Relational Assessment Procedure differ as a function of group status (i.e., heterosexual versus non-heterosexual). Specifically, implicit in-group \"pride\" and out-group \"prejudice\" were repeatedly produced by heterosexual participants. In contrast, non-heterosexuals were relatively egalitarian in their expression of implicit attitudes. Furthermore, in many of the studies, a divergence in performance between implicit and explicit attitudes toward gay men and lesbian women was observed. (PsycInfo Database Record (c) 2020 APA, all rights reserved)","container-title":"The psychology of modern prejudice","event-place":"Hauppauge, NY, US","ISBN":"978-1-60456-788-5","page":"195-223","publisher":"Nova Science Publishers","publisher-place":"Hauppauge, NY, US","source":"APA PsycNet","title":"Implicit pride and prejudice: A heterosexual phenomenon?","title-short":"Implicit pride and prejudice","author":[{"family":"Cullen","given":"Claire"},{"family":"Barnes-Holmes","given":"Dermot"}],"issued":{"date-parts":[["2008"]]}},"label":"page","suppress-author":true}],"schema":"https://github.com/citation-style-language/schema/raw/master/csl-citation.json"} </w:instrText>
      </w:r>
      <w:r w:rsidR="00780DBC" w:rsidRPr="001A733A">
        <w:fldChar w:fldCharType="separate"/>
      </w:r>
      <w:r w:rsidR="00780DBC" w:rsidRPr="001A733A">
        <w:rPr>
          <w:noProof/>
        </w:rPr>
        <w:t>(2008)</w:t>
      </w:r>
      <w:r w:rsidR="00780DBC" w:rsidRPr="001A733A">
        <w:fldChar w:fldCharType="end"/>
      </w:r>
      <w:r w:rsidR="00780DBC" w:rsidRPr="001A733A">
        <w:t xml:space="preserve"> stated</w:t>
      </w:r>
      <w:r w:rsidR="00564D72" w:rsidRPr="001A733A">
        <w:t xml:space="preserve"> “it is prudent to develop additional methodologies that aim to provide relatively direct measures of implicit cognition. One such methodology has recently been offered: the Implicit Relational Assessment Procedure” (p. 35)</w:t>
      </w:r>
      <w:r w:rsidR="00833A8A" w:rsidRPr="001A733A">
        <w:t xml:space="preserve">. Barnes-Holmes et al. </w:t>
      </w:r>
      <w:r w:rsidR="00833A8A" w:rsidRPr="001A733A">
        <w:fldChar w:fldCharType="begin"/>
      </w:r>
      <w:r w:rsidR="00833A8A" w:rsidRPr="001A733A">
        <w:instrText xml:space="preserve"> ADDIN ZOTERO_ITEM CSL_CITATION {"citationID":"gsRlIaQG","properties":{"formattedCitation":"(2008)","plainCitation":"(2008)","noteIndex":0},"citationItems":[{"id":1472,"uris":["http://zotero.org/users/1687755/items/UZDWBPMU"],"itemData":{"id":1472,"type":"article-journal","container-title":"The Psychological Record","issue":"4","page":"497–516","source":"Google Scholar","title":"The Implicit Relational Assessment Procedure (IRAP) as a response-time and event-related-potentials methodology for testing natural verbal relations: A preliminary study","title-short":"The Implicit Relational Assessment Procedure (IRAP) as a response-time and event-related-potentials methodology for testing natural verbal relations","volume":"58","author":[{"family":"Barnes-Holmes","given":"Dermot"},{"family":"Hayden","given":"Eilish"},{"family":"Barnes-Holmes","given":"Yvonne"},{"family":"Stewart","given":"Ian"}],"issued":{"date-parts":[["2008"]]}},"label":"page","suppress-author":true}],"schema":"https://github.com/citation-style-language/schema/raw/master/csl-citation.json"} </w:instrText>
      </w:r>
      <w:r w:rsidR="00833A8A" w:rsidRPr="001A733A">
        <w:fldChar w:fldCharType="separate"/>
      </w:r>
      <w:r w:rsidR="00833A8A" w:rsidRPr="001A733A">
        <w:rPr>
          <w:noProof/>
        </w:rPr>
        <w:t>(2008)</w:t>
      </w:r>
      <w:r w:rsidR="00833A8A" w:rsidRPr="001A733A">
        <w:fldChar w:fldCharType="end"/>
      </w:r>
      <w:r w:rsidR="00833A8A" w:rsidRPr="001A733A">
        <w:t xml:space="preserve"> stated</w:t>
      </w:r>
      <w:r w:rsidR="00716592" w:rsidRPr="001A733A">
        <w:t>,</w:t>
      </w:r>
      <w:r w:rsidR="00833A8A" w:rsidRPr="001A733A">
        <w:t xml:space="preserve"> “the IRAP meets the second two criteria for an implicit measure” (p. 512). Chan et al. </w:t>
      </w:r>
      <w:r w:rsidR="00833A8A" w:rsidRPr="001A733A">
        <w:fldChar w:fldCharType="begin"/>
      </w:r>
      <w:r w:rsidR="00520BDA" w:rsidRPr="001A733A">
        <w:instrText xml:space="preserve"> ADDIN ZOTERO_ITEM CSL_CITATION {"citationID":"gsCcV36w","properties":{"formattedCitation":"(2009)","plainCitation":"(2009)","noteIndex":0},"citationItems":[{"id":3655,"uris":["http://zotero.org/users/1687755/items/HBZRS6Z5"],"itemData":{"id":3655,"type":"article-journal","abstract":"The current article reports the findings from two preliminary experiments investigating the Implicit Association Test (IAT) and the Implicit Relational Association Procedure (IRAP) as measures of implicit attitudes in the domain of work and leisure among North American and Irish individuals. The IAT and IRAP tasks involved responding under time pressure on a computerized task, with response latency as the dependent variable. The IAT required participants to categorize positively or negatively valenced words with stimuli associated with either Work or Holidays. The IRAP required that participants confirm or deny that Work and Holidays are similar or opposite to positively and negatively valenced words. Participants also completed an explicit measure consisting of a Likert-based questionnaire. In both Experiments, citizens of the United States of America produced performances on the IAT and IRAP that indicated more negative attitudes to work and more positive attitudes to holidays than both Canadian and Irish citizens. Responses on the explicit measures did not accord with this overall pattern of group differences. The results support the use of the IRAP as a measure of implicit attitudes and furthermore the findings appear to be generally consistent with a recent large-scale survey of attitudes to work across 23 countries. (PsycINFO Database Record (c) 2017 APA, all rights reserved)","archive_location":"2009-19414-002","container-title":"International Journal of Psychology &amp; Psychological Therapy","ISSN":"1577-7057","issue":"3","journalAbbreviation":"International Journal of Psychology &amp; Psychological Therapy","page":"317-334","source":"EBSCOhost","title":"Implicit attitudes to work and leisure among North American and Irish individuals: A preliminary study","volume":"9","author":[{"family":"Chan","given":"Gail"},{"family":"Barnes-Holmes","given":"Dermot"},{"family":"Barnes-Holmes","given":"Yvonne"},{"family":"Stewart","given":"Ian"}],"issued":{"date-parts":[["2009"]]}},"label":"page","suppress-author":true}],"schema":"https://github.com/citation-style-language/schema/raw/master/csl-citation.json"} </w:instrText>
      </w:r>
      <w:r w:rsidR="00833A8A" w:rsidRPr="001A733A">
        <w:fldChar w:fldCharType="separate"/>
      </w:r>
      <w:r w:rsidR="00833A8A" w:rsidRPr="001A733A">
        <w:rPr>
          <w:noProof/>
        </w:rPr>
        <w:t>(2009)</w:t>
      </w:r>
      <w:r w:rsidR="00833A8A" w:rsidRPr="001A733A">
        <w:fldChar w:fldCharType="end"/>
      </w:r>
      <w:r w:rsidR="00833A8A" w:rsidRPr="001A733A">
        <w:t xml:space="preserve"> refer</w:t>
      </w:r>
      <w:r w:rsidR="00935344" w:rsidRPr="001A733A">
        <w:t>red</w:t>
      </w:r>
      <w:r w:rsidR="00833A8A" w:rsidRPr="001A733A">
        <w:t xml:space="preserve"> to the IRAP as an implicit measure in their title and stated</w:t>
      </w:r>
      <w:r w:rsidR="009B302B" w:rsidRPr="001A733A">
        <w:t>,</w:t>
      </w:r>
      <w:r w:rsidR="00833A8A" w:rsidRPr="001A733A">
        <w:t xml:space="preserve"> “The current article reports the findings from two preliminary experiments investigating … the Implicit Relational Association Procedure (IRAP) as measures of implicit attitudes in the domain of work and leisure … The results support the use of the IRAP as a measure of implicit attitudes” (p. 317). Dawson et al. </w:t>
      </w:r>
      <w:r w:rsidR="00833A8A" w:rsidRPr="001A733A">
        <w:fldChar w:fldCharType="begin"/>
      </w:r>
      <w:r w:rsidR="00520BDA" w:rsidRPr="001A733A">
        <w:instrText xml:space="preserve"> ADDIN ZOTERO_ITEM CSL_CITATION {"citationID":"wkbwuudl","properties":{"formattedCitation":"(2009)","plainCitation":"(2009)","noteIndex":0},"citationItems":[{"id":3687,"uris":["http://zotero.org/users/1687755/items/Z2VKAYVL"],"itemData":{"id":3687,"type":"article-journal","abstract":"Researchers have proposed that the cognitive distortions of sexual offenders are underpinned by a number of implicit cognitive processes termed implicit theories. Until recently, however, the implicit theory hypothesis has received little empirical support due to broader limitations with standard forensic assessment procedures. The current research aimed to determine whether a new assessment methodology, the Implicit Relational Assessment Procedure (IRAP), could provide further evidence for Ward and Keenan’s (1999) children as sexual beings implicit theory. The results indicated that the IRAP was significantly more effective at identifying core implicit differences between sexual offenders against children and nonoffenders than a cognitive distortion questionnaire. Furthermore, although both groups demonstrated an overall response bias towards adults as sexual and children as nonsexual, this bias was significantly impaired in the sexual offender group. The findings are discussed in relation to previous implicit theory research and recommendations for the development of implicit methodologies are made. (PsycINFO Database Record (c) 2016 APA, all rights reserved)","archive_location":"2009-03209-005","container-title":"Sexual Abuse: Journal of Research and Treatment","DOI":"10.1177/1079063208326928","ISSN":"1079-0632","issue":"1","journalAbbreviation":"Sexual Abuse: Journal of Research and Treatment","page":"57-75","source":"EBSCOhost","title":"Assessing the implicit beliefs of sexual offenders using the implicit relational assessment procedure: A first study","volume":"21","author":[{"family":"Dawson","given":"David L."},{"family":"Barnes-Holmes","given":"Dermot"},{"family":"Gresswell","given":"David M."},{"family":"Hart","given":"Aidan J."},{"family":"Gore","given":"Nick J."}],"issued":{"date-parts":[["2009",3]]}},"label":"page","suppress-author":true}],"schema":"https://github.com/citation-style-language/schema/raw/master/csl-citation.json"} </w:instrText>
      </w:r>
      <w:r w:rsidR="00833A8A" w:rsidRPr="001A733A">
        <w:fldChar w:fldCharType="separate"/>
      </w:r>
      <w:r w:rsidR="00833A8A" w:rsidRPr="001A733A">
        <w:rPr>
          <w:noProof/>
        </w:rPr>
        <w:t>(2009)</w:t>
      </w:r>
      <w:r w:rsidR="00833A8A" w:rsidRPr="001A733A">
        <w:fldChar w:fldCharType="end"/>
      </w:r>
      <w:r w:rsidR="00833A8A" w:rsidRPr="001A733A">
        <w:t xml:space="preserve"> also refer</w:t>
      </w:r>
      <w:r w:rsidR="00935344" w:rsidRPr="001A733A">
        <w:t>red</w:t>
      </w:r>
      <w:r w:rsidR="00833A8A" w:rsidRPr="001A733A">
        <w:t xml:space="preserve"> to the IRAP as an implicit measure in their title and stated</w:t>
      </w:r>
      <w:r w:rsidR="009B302B" w:rsidRPr="001A733A">
        <w:t>,</w:t>
      </w:r>
      <w:r w:rsidR="00833A8A" w:rsidRPr="001A733A">
        <w:t xml:space="preserve"> “The aim of the present study was to determine if the IRAP would be more effective at revealing sexual offenders’ implicit beliefs about children than an explicit (questionnaire-based) methodology” (p. 63). </w:t>
      </w:r>
      <w:r w:rsidR="008F216E" w:rsidRPr="001A733A">
        <w:t xml:space="preserve">Vahey et al. </w:t>
      </w:r>
      <w:r w:rsidR="008F216E" w:rsidRPr="001A733A">
        <w:fldChar w:fldCharType="begin"/>
      </w:r>
      <w:r w:rsidR="00520BDA" w:rsidRPr="001A733A">
        <w:instrText xml:space="preserve"> ADDIN ZOTERO_ITEM CSL_CITATION {"citationID":"9Nf1SGFc","properties":{"formattedCitation":"(2009)","plainCitation":"(2009)","noteIndex":0},"citationItems":[{"id":3700,"uris":["http://zotero.org/users/1687755/items/RTY6HHRV"],"itemData":{"id":3700,"type":"article-journal","abstract":"The study examined the Implicit Relational Assessment Procedure's (IRAP) validity as a computerized response-latency-based measure of implicit self-esteem. University undergraduates and 2 sets of convicted prisoners participated. One set of prisoners resided in the main block, and the other in a privileged lower security 'open area' of a medium-security Irish prison. The IRAP required participants to maintain relational responses that were self-positive on half of the IRAP trials ('Consistent'), and self-negative on the other half ('Inconsistent'). As predicted, the students and the prisoners in the open area showed stronger IRAP effects (shorter latencies during consistent vs. inconsistent trials) than the main block prisoners. Additionally, the IRAP's convergent validity was supported by its moderate positive correlation with an explicit self-esteem measure. The findings provide preliminary support for the analytic utility of the IRAP and suggest future avenues of investigation afforded by the IRAP's design. (PsycINFO Database Record (c) 2016 APA, all rights reserved)","archive_location":"2009-16727-004","container-title":"The Psychological Record","ISSN":"0033-2933","issue":"3","journalAbbreviation":"The Psychological Record","page":"371-388","source":"EBSCOhost","title":"A first test of the Implicit Relational Assessment Procedure as a measure of self-esteem: Irish prisoner groups and university students","volume":"59","author":[{"family":"Vahey","given":"Nigel A."},{"family":"Barnes-Holmes","given":"Dermot"},{"family":"Barnes-Holmes","given":"Yvonne"},{"family":"Stewart","given":"Ian"}],"issued":{"date-parts":[["2009"]]}},"label":"page","suppress-author":true}],"schema":"https://github.com/citation-style-language/schema/raw/master/csl-citation.json"} </w:instrText>
      </w:r>
      <w:r w:rsidR="008F216E" w:rsidRPr="001A733A">
        <w:fldChar w:fldCharType="separate"/>
      </w:r>
      <w:r w:rsidR="008F216E" w:rsidRPr="001A733A">
        <w:rPr>
          <w:noProof/>
        </w:rPr>
        <w:t>(2009)</w:t>
      </w:r>
      <w:r w:rsidR="008F216E" w:rsidRPr="001A733A">
        <w:fldChar w:fldCharType="end"/>
      </w:r>
      <w:r w:rsidR="008F216E" w:rsidRPr="001A733A">
        <w:t xml:space="preserve"> stated the IRAP was “used with all participants to measure implicit self-esteem” (p. 374). </w:t>
      </w:r>
      <w:r w:rsidR="006160E6" w:rsidRPr="001A733A">
        <w:t xml:space="preserve">Barnes-Holmes et al. </w:t>
      </w:r>
      <w:r w:rsidR="006160E6" w:rsidRPr="001A733A">
        <w:fldChar w:fldCharType="begin"/>
      </w:r>
      <w:r w:rsidR="00520BDA" w:rsidRPr="001A733A">
        <w:instrText xml:space="preserve"> ADDIN ZOTERO_ITEM CSL_CITATION {"citationID":"JDATMNZl","properties":{"formattedCitation":"(2009)","plainCitation":"(2009)","noteIndex":0},"citationItems":[{"id":3719,"uris":["http://zotero.org/users/1687755/items/YH3THVLA"],"itemData":{"id":3719,"type":"article-journal","abstract":"The current study aimed to test the validity of the Implicit Relational Assessment Procedure (IRAP), as compared to the Implicit Association Test (IAT), by assessing the attitudes of Dublin dwellers and rural dwellers toward Dublin and country life. Discrimination between the two groups for the IAT was marginally significant. The IRAP discriminated significantly between the two groups based on an interaction effect, which showed that rural dwellers had a strong bias toward country life but Dublin dwellers did not show the same bias toward Dublin life. The IRAP data correlated moderately with the explicit measures, but the IAT did not. The findings support the IRAP as a potentially useful measure of implicit attitudes. (PsycINFO Database Record (c) 2016 APA, all rights reserved)","archive_location":"2009-16727-005","container-title":"The Psychological Record","ISSN":"0033-2933","issue":"3","journalAbbreviation":"The Psychological Record","page":"389-406","source":"EBSCOhost","title":"Testing the validity of the Implicit Relational Assessment Procedure and the Implicit Association Test: Measuring attitudes toward Dublin and country life in Ireland","volume":"59","author":[{"family":"Barnes-Holmes","given":"Dermot"},{"family":"Waldron","given":"Deirdre"},{"family":"Barnes-Holmes","given":"Yvonne"},{"family":"Stewart","given":"Ian"}],"issued":{"date-parts":[["2009"]]}},"label":"page","suppress-author":true}],"schema":"https://github.com/citation-style-language/schema/raw/master/csl-citation.json"} </w:instrText>
      </w:r>
      <w:r w:rsidR="006160E6" w:rsidRPr="001A733A">
        <w:fldChar w:fldCharType="separate"/>
      </w:r>
      <w:r w:rsidR="006160E6" w:rsidRPr="001A733A">
        <w:rPr>
          <w:noProof/>
        </w:rPr>
        <w:t>(2009)</w:t>
      </w:r>
      <w:r w:rsidR="006160E6" w:rsidRPr="001A733A">
        <w:fldChar w:fldCharType="end"/>
      </w:r>
      <w:r w:rsidR="006160E6" w:rsidRPr="001A733A">
        <w:t xml:space="preserve"> stated that their “findings support the IRAP as a potentially useful measure of implicit attitudes.” (p. 389). Power et al. </w:t>
      </w:r>
      <w:r w:rsidR="006160E6" w:rsidRPr="001A733A">
        <w:fldChar w:fldCharType="begin"/>
      </w:r>
      <w:r w:rsidR="006160E6" w:rsidRPr="001A733A">
        <w:instrText xml:space="preserve"> ADDIN ZOTERO_ITEM CSL_CITATION {"citationID":"rWq9NXt2","properties":{"formattedCitation":"(2009)","plainCitation":"(2009)","noteIndex":0},"citationItems":[{"id":1463,"uris":["http://zotero.org/users/1687755/items/K6GESBS3"],"itemData":{"id":1463,"type":"article-journal","container-title":"The Psychological Record","issue":"4","page":"621-640","source":"Google Scholar","title":"The Implicit Relational Assessment Procedure (IRAP) as a measure of implicit relative preferences: A first study","title-short":"The Implicit Relational Assessment Procedure (IRAP) as a measure of implicit relative preferences","volume":"59","author":[{"family":"Power","given":"Patricia"},{"family":"Barnes-Holmes","given":"Dermot"},{"family":"Barnes-Holmes","given":"Yvonne"},{"family":"Stewart","given":"Ian"}],"issued":{"date-parts":[["2009"]]}},"label":"page","suppress-author":true}],"schema":"https://github.com/citation-style-language/schema/raw/master/csl-citation.json"} </w:instrText>
      </w:r>
      <w:r w:rsidR="006160E6" w:rsidRPr="001A733A">
        <w:fldChar w:fldCharType="separate"/>
      </w:r>
      <w:r w:rsidR="006160E6" w:rsidRPr="001A733A">
        <w:rPr>
          <w:noProof/>
        </w:rPr>
        <w:t>(2009)</w:t>
      </w:r>
      <w:r w:rsidR="006160E6" w:rsidRPr="001A733A">
        <w:fldChar w:fldCharType="end"/>
      </w:r>
      <w:r w:rsidR="006160E6" w:rsidRPr="001A733A">
        <w:t xml:space="preserve"> referred to the IRAP as an implicit measure in their title and that the IRAP “was designed to examine implicit beliefs or attitudes” (p. 621). </w:t>
      </w:r>
      <w:r w:rsidR="00083611" w:rsidRPr="001A733A">
        <w:t xml:space="preserve">Cullen et al. </w:t>
      </w:r>
      <w:r w:rsidR="00083611" w:rsidRPr="001A733A">
        <w:fldChar w:fldCharType="begin"/>
      </w:r>
      <w:r w:rsidR="00520BDA" w:rsidRPr="001A733A">
        <w:instrText xml:space="preserve"> ADDIN ZOTERO_ITEM CSL_CITATION {"citationID":"pZHKu7m7","properties":{"formattedCitation":"(2009)","plainCitation":"(2009)","noteIndex":0},"citationItems":[{"id":3734,"uris":["http://zotero.org/users/1687755/items/9HH33WL4"],"itemData":{"id":3734,"type":"article-journal","abstract":"The current study examined the malleability of implicit attitudes using the Implicit Relational Assessment Procedure (IRAP). In Experiment 1, 'similar' and 'opposite' were presented as response options with the sample terms 'old people' and 'young people' and various positive and negative target stimuli. Results showed significantly faster response latencies for consistent (e.g., Similar-Positive-Young People) compared to inconsistent tasks (e.g., Similar-Positive-Old People). Explicit measures did not correlate with this IRAP effect. Experiment 2 determined whether prior exposure to pictures of admired and disliked old and young individuals had an impact on IRAP performance. Results revealed that pro-old exemplars reduced the pro-young IRAP effect, but reversed the anti-old effect, and this held for 24 h; explicit measures were largely unaffected. The findings suggest that the IRAP provides an informative measure of attitude-change following pro- versus anti-exemplar training. (PsycINFO Database Record (c) 2016 APA, all rights reserved)","archive_location":"2009-21506-006","container-title":"The Psychological Record","ISSN":"0033-2933","issue":"4","journalAbbreviation":"The Psychological Record","page":"591-620","source":"EBSCOhost","title":"The Implicit relational assessment procedure (IRAP) and the malleability of ageist attitudes","volume":"59","author":[{"family":"Cullen","given":"Claire"},{"family":"Barnes-Holmes","given":"Dermot"},{"family":"Barnes-Holmes","given":"Yvonne"},{"family":"Stewart","given":"Ian"}],"issued":{"date-parts":[["2009"]]}},"label":"page","suppress-author":true}],"schema":"https://github.com/citation-style-language/schema/raw/master/csl-citation.json"} </w:instrText>
      </w:r>
      <w:r w:rsidR="00083611" w:rsidRPr="001A733A">
        <w:fldChar w:fldCharType="separate"/>
      </w:r>
      <w:r w:rsidR="001B469C" w:rsidRPr="001A733A">
        <w:rPr>
          <w:noProof/>
        </w:rPr>
        <w:t>(2009)</w:t>
      </w:r>
      <w:r w:rsidR="00083611" w:rsidRPr="001A733A">
        <w:fldChar w:fldCharType="end"/>
      </w:r>
      <w:r w:rsidR="001B469C" w:rsidRPr="001A733A">
        <w:t xml:space="preserve"> stated “at the </w:t>
      </w:r>
      <w:r w:rsidR="001B469C" w:rsidRPr="001A733A">
        <w:lastRenderedPageBreak/>
        <w:t>very least, therefore, the current findings indicate that the IRAP could provide a possibly useful alternative to the IAT” (p. 611).</w:t>
      </w:r>
      <w:r w:rsidR="002526BA" w:rsidRPr="001A733A">
        <w:t xml:space="preserve"> </w:t>
      </w:r>
    </w:p>
    <w:p w14:paraId="3F614F23" w14:textId="42C53E8F" w:rsidR="00C32344" w:rsidRPr="001A733A" w:rsidRDefault="00264FE8" w:rsidP="0063082D">
      <w:pPr>
        <w:pStyle w:val="NormalWeb"/>
        <w:ind w:firstLine="720"/>
        <w:jc w:val="left"/>
        <w:rPr>
          <w:lang w:val="en-GB"/>
        </w:rPr>
      </w:pPr>
      <w:r w:rsidRPr="001A733A">
        <w:t xml:space="preserve">Barnes-Holmes continued to refer to the IRAP as an implicit measure for </w:t>
      </w:r>
      <w:r w:rsidR="00CC2799" w:rsidRPr="001A733A">
        <w:t xml:space="preserve">over a </w:t>
      </w:r>
      <w:r w:rsidRPr="001A733A">
        <w:t>decade. In ord</w:t>
      </w:r>
      <w:r w:rsidR="00990A68" w:rsidRPr="001A733A">
        <w:t>er</w:t>
      </w:r>
      <w:r w:rsidRPr="001A733A">
        <w:t xml:space="preserve"> to not labor the point</w:t>
      </w:r>
      <w:r w:rsidR="007C18F7" w:rsidRPr="001A733A">
        <w:t>,</w:t>
      </w:r>
      <w:r w:rsidRPr="001A733A">
        <w:t xml:space="preserve"> I provide </w:t>
      </w:r>
      <w:r w:rsidR="00D23B3E" w:rsidRPr="001A733A">
        <w:t xml:space="preserve">quotes from </w:t>
      </w:r>
      <w:r w:rsidRPr="001A733A">
        <w:t xml:space="preserve">one </w:t>
      </w:r>
      <w:r w:rsidR="00F91F05" w:rsidRPr="001A733A">
        <w:t xml:space="preserve">publication </w:t>
      </w:r>
      <w:r w:rsidR="00277B84" w:rsidRPr="001A733A">
        <w:t xml:space="preserve">co-authored by Barnes-Holmes </w:t>
      </w:r>
      <w:r w:rsidRPr="001A733A">
        <w:t>per year</w:t>
      </w:r>
      <w:r w:rsidR="00990A68" w:rsidRPr="001A733A">
        <w:t xml:space="preserve">: </w:t>
      </w:r>
      <w:r w:rsidR="00990A68" w:rsidRPr="001A733A">
        <w:rPr>
          <w:lang w:val="en-GB"/>
        </w:rPr>
        <w:t xml:space="preserve">“it would also seem prudent to attempt to develop additional methodologies that aim to provide relatively direct measures of implicit cognition. The IRAP may be one such method” </w:t>
      </w:r>
      <w:r w:rsidR="00990A68" w:rsidRPr="001A733A">
        <w:rPr>
          <w:lang w:val="en-GB"/>
        </w:rPr>
        <w:fldChar w:fldCharType="begin"/>
      </w:r>
      <w:r w:rsidR="00F91F05" w:rsidRPr="001A733A">
        <w:rPr>
          <w:lang w:val="en-GB"/>
        </w:rPr>
        <w:instrText xml:space="preserve"> ADDIN ZOTERO_ITEM CSL_CITATION {"citationID":"ahDRkVRe","properties":{"formattedCitation":"(Barnes-Holmes et al., 2010, p. 45)","plainCitation":"(Barnes-Holmes et al., 2010, p. 45)","noteIndex":0},"citationItems":[{"id":1365,"uris":["http://zotero.org/users/1687755/items/JUG5HCKM"],"itemData":{"id":1365,"type":"article-journal","container-title":"The Psychological Record","page":"57-66","source":"Google Scholar","title":"The Implicit Relational Assessment Procedure: Exploring the impact of private versus public contexts and the response latency criterion on pro-white and anti-black stereotyping among white Irish individuals","title-short":"The Implicit Relational Assessment Procedure","volume":"60","author":[{"family":"Barnes-Holmes","given":"Dermot"},{"family":"Murphy","given":"Aisling"},{"family":"Barnes-Holmes","given":"Yvonne"},{"family":"Stewart","given":"Ian"}],"issued":{"date-parts":[["2010"]]}},"label":"page","suffix":", p. 45"}],"schema":"https://github.com/citation-style-language/schema/raw/master/csl-citation.json"} </w:instrText>
      </w:r>
      <w:r w:rsidR="00990A68" w:rsidRPr="001A733A">
        <w:rPr>
          <w:lang w:val="en-GB"/>
        </w:rPr>
        <w:fldChar w:fldCharType="separate"/>
      </w:r>
      <w:r w:rsidR="00F91F05" w:rsidRPr="001A733A">
        <w:rPr>
          <w:noProof/>
          <w:lang w:val="en-GB"/>
        </w:rPr>
        <w:t>(Barnes-Holmes et al., 2010, p. 45)</w:t>
      </w:r>
      <w:r w:rsidR="00990A68" w:rsidRPr="001A733A">
        <w:rPr>
          <w:lang w:val="en-GB"/>
        </w:rPr>
        <w:fldChar w:fldCharType="end"/>
      </w:r>
      <w:r w:rsidR="00990A68" w:rsidRPr="001A733A">
        <w:rPr>
          <w:lang w:val="en-GB"/>
        </w:rPr>
        <w:t>; “The Implicit Relational Assessment Procedure (IRAP) is an implicit measure</w:t>
      </w:r>
      <w:r w:rsidR="00F91F05" w:rsidRPr="001A733A">
        <w:rPr>
          <w:lang w:val="en-GB"/>
        </w:rPr>
        <w:t xml:space="preserve">” </w:t>
      </w:r>
      <w:r w:rsidR="00F91F05" w:rsidRPr="001A733A">
        <w:rPr>
          <w:lang w:val="en-GB"/>
        </w:rPr>
        <w:fldChar w:fldCharType="begin"/>
      </w:r>
      <w:r w:rsidR="00F91F05" w:rsidRPr="001A733A">
        <w:rPr>
          <w:lang w:val="en-GB"/>
        </w:rPr>
        <w:instrText xml:space="preserve"> ADDIN ZOTERO_ITEM CSL_CITATION {"citationID":"USK0P39D","properties":{"formattedCitation":"(Campbell et al., 2011, p. 378)","plainCitation":"(Campbell et al., 2011, p. 378)","noteIndex":0},"citationItems":[{"id":1801,"uris":["http://zotero.org/users/1687755/items/78JHS4X2"],"itemData":{"id":1801,"type":"article-journal","container-title":"International Journal of Psychology &amp; Psychological Therapy","issue":"3","page":"377-388","title":"Exploring Screen Presentations in the Implicit Relational Assessment Procedure (IRAP)","volume":"11","author":[{"family":"Campbell","given":"Claire"},{"family":"Barnes-Holmes","given":"Dermot"},{"family":"Barnes-Holmes","given":"Yvonne"},{"family":"Stewart","given":"Ian"}],"issued":{"date-parts":[["2011"]]}},"label":"page","suffix":", p. 378"}],"schema":"https://github.com/citation-style-language/schema/raw/master/csl-citation.json"} </w:instrText>
      </w:r>
      <w:r w:rsidR="00F91F05" w:rsidRPr="001A733A">
        <w:rPr>
          <w:lang w:val="en-GB"/>
        </w:rPr>
        <w:fldChar w:fldCharType="separate"/>
      </w:r>
      <w:r w:rsidR="00F91F05" w:rsidRPr="001A733A">
        <w:rPr>
          <w:noProof/>
          <w:lang w:val="en-GB"/>
        </w:rPr>
        <w:t>(Campbell et al., 2011, p. 378)</w:t>
      </w:r>
      <w:r w:rsidR="00F91F05" w:rsidRPr="001A733A">
        <w:rPr>
          <w:lang w:val="en-GB"/>
        </w:rPr>
        <w:fldChar w:fldCharType="end"/>
      </w:r>
      <w:r w:rsidR="00F91F05" w:rsidRPr="001A733A">
        <w:rPr>
          <w:lang w:val="en-GB"/>
        </w:rPr>
        <w:t>;</w:t>
      </w:r>
      <w:r w:rsidR="00990A68" w:rsidRPr="001A733A">
        <w:rPr>
          <w:lang w:val="en-GB"/>
        </w:rPr>
        <w:t xml:space="preserve"> “A broad implicit measure of depressive emotional reactions was created by mapping the content of the depression scale from the Depression Anxiety and Stress Scale (DASS) on to the Implicit Relational Assessment Procedure (IRAP)” </w:t>
      </w:r>
      <w:r w:rsidR="00F91F05" w:rsidRPr="001A733A">
        <w:rPr>
          <w:lang w:val="en-GB"/>
        </w:rPr>
        <w:fldChar w:fldCharType="begin"/>
      </w:r>
      <w:r w:rsidR="00F91F05" w:rsidRPr="001A733A">
        <w:rPr>
          <w:lang w:val="en-GB"/>
        </w:rPr>
        <w:instrText xml:space="preserve"> ADDIN ZOTERO_ITEM CSL_CITATION {"citationID":"Q631fd4y","properties":{"formattedCitation":"(Hussey &amp; Barnes-Holmes, 2012, p. 573)","plainCitation":"(Hussey &amp; Barnes-Holmes, 2012, p. 573)","noteIndex":0},"citationItems":[{"id":1390,"uris":["http://zotero.org/users/1687755/items/JN2Z847C"],"itemData":{"id":1390,"type":"article-journal","abstract":"A broad implicit measure of depressive emotional reactions was created by mapping the content of the depression scale from the Depression Anxiety and Stress Scale (DASS) on to the Implicit Relational Assessment Procedure (IRAP). Participants were asked to relate pairings of antecedents and emotional reactions that followed the formula “When X happens . . . I feel Y.” Groups of participants representing the low and high extremes of normative levels of depressive symptoms completed an IRAP before and after a sad mood–induction procedure. At baseline both groups produced a positive emotional response bias on the IRAP. After the sad mood induction, the “normal” group showed no change, whereas the “mild/moderate” depression group showed a significant decrease in the positivity of their emotional responses. A similar pattern of differential change was found when groups were created using scores on the AAQ-II. The findings are related to the broader literature on cognitive reactivity and implications for future research are considered.","container-title":"Cognitive and Behavioral Practice","DOI":"10.1016/j.cbpra.2012.03.002","ISSN":"1077-7229","issue":"4","journalAbbreviation":"Cognitive and Behavioral Practice","page":"573-582","source":"ScienceDirect","title":"The implicit relational assessment procedure as a measure of implicit depression and the role of psychological flexibility","volume":"19","author":[{"family":"Hussey","given":"Ian"},{"family":"Barnes-Holmes","given":"Dermot"}],"issued":{"date-parts":[["2012",11]]}},"label":"page","suffix":", p. 573"}],"schema":"https://github.com/citation-style-language/schema/raw/master/csl-citation.json"} </w:instrText>
      </w:r>
      <w:r w:rsidR="00F91F05" w:rsidRPr="001A733A">
        <w:rPr>
          <w:lang w:val="en-GB"/>
        </w:rPr>
        <w:fldChar w:fldCharType="separate"/>
      </w:r>
      <w:r w:rsidR="00F91F05" w:rsidRPr="001A733A">
        <w:rPr>
          <w:noProof/>
          <w:lang w:val="en-GB"/>
        </w:rPr>
        <w:t>(Hussey &amp; Barnes-Holmes, 2012, p. 573)</w:t>
      </w:r>
      <w:r w:rsidR="00F91F05" w:rsidRPr="001A733A">
        <w:rPr>
          <w:lang w:val="en-GB"/>
        </w:rPr>
        <w:fldChar w:fldCharType="end"/>
      </w:r>
      <w:r w:rsidR="00E93A06" w:rsidRPr="001A733A">
        <w:rPr>
          <w:lang w:val="en-GB"/>
        </w:rPr>
        <w:t xml:space="preserve">; “the Implicit Relational Assessment Procedure (IRAP), which was designed to measure the professional’s implicit attitudes to this particular disability” </w:t>
      </w:r>
      <w:r w:rsidR="00E93A06" w:rsidRPr="001A733A">
        <w:rPr>
          <w:lang w:val="en-GB"/>
        </w:rPr>
        <w:fldChar w:fldCharType="begin"/>
      </w:r>
      <w:r w:rsidR="00E93A06" w:rsidRPr="001A733A">
        <w:rPr>
          <w:lang w:val="en-GB"/>
        </w:rPr>
        <w:instrText xml:space="preserve"> ADDIN ZOTERO_ITEM CSL_CITATION {"citationID":"ImrHjwMU","properties":{"formattedCitation":"(Kelly &amp; Barnes-Holmes, 2013, p. 5)","plainCitation":"(Kelly &amp; Barnes-Holmes, 2013, p. 5)","noteIndex":0},"citationItems":[{"id":1393,"uris":["http://zotero.org/users/1687755/items/7IDB3ZDR"],"itemData":{"id":1393,"type":"article-journal","container-title":"Research in developmental disabilities","issue":"1","page":"17–28","source":"Google Scholar","title":"Implicit attitudes towards children with autism versus normally developing children as predictors of professional burnout and psychopathology","volume":"34","author":[{"family":"Kelly","given":"Amanda"},{"family":"Barnes-Holmes","given":"Dermot"}],"issued":{"date-parts":[["2013"]]}},"label":"page","suffix":", p. 5"}],"schema":"https://github.com/citation-style-language/schema/raw/master/csl-citation.json"} </w:instrText>
      </w:r>
      <w:r w:rsidR="00E93A06" w:rsidRPr="001A733A">
        <w:rPr>
          <w:lang w:val="en-GB"/>
        </w:rPr>
        <w:fldChar w:fldCharType="separate"/>
      </w:r>
      <w:r w:rsidR="00E93A06" w:rsidRPr="001A733A">
        <w:rPr>
          <w:noProof/>
          <w:lang w:val="en-GB"/>
        </w:rPr>
        <w:t>(Kelly &amp; Barnes-Holmes, 2013, p. 5)</w:t>
      </w:r>
      <w:r w:rsidR="00E93A06" w:rsidRPr="001A733A">
        <w:rPr>
          <w:lang w:val="en-GB"/>
        </w:rPr>
        <w:fldChar w:fldCharType="end"/>
      </w:r>
      <w:r w:rsidR="00E93A06" w:rsidRPr="001A733A">
        <w:rPr>
          <w:lang w:val="en-GB"/>
        </w:rPr>
        <w:t xml:space="preserve">; </w:t>
      </w:r>
      <w:r w:rsidR="00455F83" w:rsidRPr="001A733A">
        <w:rPr>
          <w:lang w:val="en-GB"/>
        </w:rPr>
        <w:t xml:space="preserve">“implicit measures such as the Implicit Relational Assessment Procedure … may provide novel perspectives into disorders such as OCD” </w:t>
      </w:r>
      <w:r w:rsidR="00455F83" w:rsidRPr="001A733A">
        <w:rPr>
          <w:lang w:val="en-GB"/>
        </w:rPr>
        <w:fldChar w:fldCharType="begin"/>
      </w:r>
      <w:r w:rsidR="00455F83" w:rsidRPr="001A733A">
        <w:rPr>
          <w:lang w:val="en-GB"/>
        </w:rPr>
        <w:instrText xml:space="preserve"> ADDIN ZOTERO_ITEM CSL_CITATION {"citationID":"ou5nXxlc","properties":{"formattedCitation":"(Nicholson et al., 2014, p. 32)","plainCitation":"(Nicholson et al., 2014, p. 32)","noteIndex":0},"citationItems":[{"id":1645,"uris":["http://zotero.org/users/1687755/items/5S7WUGBQ"],"itemData":{"id":1645,"type":"article-journal","abstract":"Contamination-related obsessive-compulsive disorder (OCD) is one of the most common clinical expressions of the disorder. Irrational beliefs regarding excessive responsibility and the overestimation of threat are common components of OCD; however, there is little research on the relationship between responsibility/threat appraisals and contamination fear. The current study aimed to assess responsibility/threat-type appraisals in relation to contamination and clean stimuli at the implicit level using the Implicit Relational Assessment Procedure (IRAP). A Behavioral Approach Task and a series of self-report measures assessing general OC tendencies, disgust, psychological inflexibility and general psychopathology were implemented to validate the IRAP. The high OC group produced a significantly greater responsibility/threat bias toward the contamination-related trial-types compared to the low OC group. The contamination-related trial-types were predictive of both self-reported OC tendencies and contamination fear along with avoidance behavior, with the latter two effects being independent of anxiety.","container-title":"Journal of Contextual Behavioral Science","DOI":"10.1016/j.jcbs.2013.11.001","ISSN":"2212-1447","issue":"1","journalAbbreviation":"Journal of Contextual Behavioral Science","page":"31-37","source":"ScienceDirect","title":"The role of responsibility and threat appraisals in contamination fear and obsessive-compulsive tendencies at the implicit level","volume":"3","author":[{"family":"Nicholson","given":"Emma"},{"family":"Dempsey","given":"Kimberley"},{"family":"Barnes-Holmes","given":"Dermot"}],"issued":{"date-parts":[["2014",1]]}},"label":"page","suffix":", p. 32"}],"schema":"https://github.com/citation-style-language/schema/raw/master/csl-citation.json"} </w:instrText>
      </w:r>
      <w:r w:rsidR="00455F83" w:rsidRPr="001A733A">
        <w:rPr>
          <w:lang w:val="en-GB"/>
        </w:rPr>
        <w:fldChar w:fldCharType="separate"/>
      </w:r>
      <w:r w:rsidR="00455F83" w:rsidRPr="001A733A">
        <w:rPr>
          <w:noProof/>
          <w:lang w:val="en-GB"/>
        </w:rPr>
        <w:t>(Nicholson et al., 2014, p. 32)</w:t>
      </w:r>
      <w:r w:rsidR="00455F83" w:rsidRPr="001A733A">
        <w:rPr>
          <w:lang w:val="en-GB"/>
        </w:rPr>
        <w:fldChar w:fldCharType="end"/>
      </w:r>
      <w:r w:rsidR="00455F83" w:rsidRPr="001A733A">
        <w:rPr>
          <w:lang w:val="en-GB"/>
        </w:rPr>
        <w:t xml:space="preserve">; “the IRAP is uniquely equipped to measure implicit cognition” </w:t>
      </w:r>
      <w:r w:rsidR="00455F83" w:rsidRPr="001A733A">
        <w:rPr>
          <w:lang w:val="en-GB"/>
        </w:rPr>
        <w:fldChar w:fldCharType="begin"/>
      </w:r>
      <w:r w:rsidR="00656C10" w:rsidRPr="001A733A">
        <w:rPr>
          <w:lang w:val="en-GB"/>
        </w:rPr>
        <w:instrText xml:space="preserve"> ADDIN ZOTERO_ITEM CSL_CITATION {"citationID":"x4TXmtjL","properties":{"formattedCitation":"(Vahey et al., 2015, p. 60)","plainCitation":"(Vahey et al., 2015, p. 60)","noteIndex":0},"citationItems":[{"id":1273,"uris":["http://zotero.org/users/1687755/items/4SHQ9XKM"],"itemData":{"id":1273,"type":"article-journal","abstract":"AbstractBackground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A."},{"family":"Nicholson","given":"Emma"},{"family":"Barnes-Holmes","given":"Dermot"}],"issued":{"date-parts":[["2015",9]]}},"label":"page","suffix":", p. 60"}],"schema":"https://github.com/citation-style-language/schema/raw/master/csl-citation.json"} </w:instrText>
      </w:r>
      <w:r w:rsidR="00455F83" w:rsidRPr="001A733A">
        <w:rPr>
          <w:lang w:val="en-GB"/>
        </w:rPr>
        <w:fldChar w:fldCharType="separate"/>
      </w:r>
      <w:r w:rsidR="00656C10" w:rsidRPr="001A733A">
        <w:rPr>
          <w:noProof/>
          <w:lang w:val="en-GB"/>
        </w:rPr>
        <w:t>(Vahey et al., 2015, p. 60)</w:t>
      </w:r>
      <w:r w:rsidR="00455F83" w:rsidRPr="001A733A">
        <w:rPr>
          <w:lang w:val="en-GB"/>
        </w:rPr>
        <w:fldChar w:fldCharType="end"/>
      </w:r>
      <w:r w:rsidR="00656C10" w:rsidRPr="001A733A">
        <w:rPr>
          <w:lang w:val="en-GB"/>
        </w:rPr>
        <w:t xml:space="preserve">; “we hypothesized that the self-focused measure of implicit evaluations of death (i.e., personal IRAP) would be a superior predictor of group membership than the measure of abstract implicit evaluations of death (i.e., abstract IRAP)” </w:t>
      </w:r>
      <w:r w:rsidR="00656C10" w:rsidRPr="001A733A">
        <w:rPr>
          <w:lang w:val="en-GB"/>
        </w:rPr>
        <w:fldChar w:fldCharType="begin"/>
      </w:r>
      <w:r w:rsidR="00B05990" w:rsidRPr="001A733A">
        <w:rPr>
          <w:lang w:val="en-GB"/>
        </w:rPr>
        <w:instrText xml:space="preserve"> ADDIN ZOTERO_ITEM CSL_CITATION {"citationID":"sRVhN9Ap","properties":{"formattedCitation":"(Hussey et al., 2016, p. 3)","plainCitation":"(Hussey et al., 2016, p. 3)","noteIndex":0},"citationItems":[{"id":3693,"uris":["http://zotero.org/users/1687755/items/Z8AD2HQ3"],"itemData":{"id":3693,"type":"article-journal","abstract":"Background and objectives: Suicidal behaviour has proved to be difficult to predict, due in part to the particular limitations of introspection within suicidality. In an effort to overcome this, recent research has demonstrated the utility of indirect measures of 'implicit' attitudes within the study of suicidality. However, research to date has focused predominantly on implicit self-evaluations and self-death associations. No work has examined implicit evaluations of death, despite the theoretical importance of such evaluations; 'fearlessness of death' is central to both the Interpersonal Theory of Suicide and the Integrated Motivational-Volitional model of suicide.. Methods: Twenty-three psychiatric patients with current suicidal ideation and twenty-five normative university students completed two versions of the Implicit Relational Assessment Procedure (IRAP) that targeted evaluations of death. One task specified personal death (i.e., was self-focused) and the other targeted death in the abstract. Results: Self-focused evaluations of death reliably distinguished between the two groups, correctly classifying 74% of cases, but evaluations of death in the abstract did not. The suicidal group produced specific biases indicating a rejection of the negativity of death. Results are consistent with the definition of suicidality as involving a self-focused wish to die.. Limitations: For ethical reason, suicidal behaviours were not assessed in the normative group. Groups were therefore not mutually exclusive. This may have decreased the specificity of the IRAP. Conclusions: Suicidal ideation is associated with an implicit 'fearlessness of death'. The utility of implicit death-evaluations should therefore be considered alongside self-evaluations and self-death associations in the future.. (PsycINFO Database Record (c) 2017 APA, all rights reserved)","archive_location":"2016-08983-002","container-title":"Journal of Behavior Therapy and Experimental Psychiatry","DOI":"10.1016/j.jbtep.2015.11.003","ISSN":"0005-7916","journalAbbreviation":"Journal of Behavior Therapy and Experimental Psychiatry","page":"1-9","source":"EBSCOhost","title":"Individuals with current suicidal ideation demonstrate implicit 'fearlessness of death'","volume":"51","author":[{"family":"Hussey","given":"I."},{"family":"Barnes-Holmes","given":"D."},{"family":"Booth","given":"R."}],"issued":{"date-parts":[["2016",6]]}},"label":"page","suffix":", p. 3"}],"schema":"https://github.com/citation-style-language/schema/raw/master/csl-citation.json"} </w:instrText>
      </w:r>
      <w:r w:rsidR="00656C10" w:rsidRPr="001A733A">
        <w:rPr>
          <w:lang w:val="en-GB"/>
        </w:rPr>
        <w:fldChar w:fldCharType="separate"/>
      </w:r>
      <w:r w:rsidR="00B7207F" w:rsidRPr="001A733A">
        <w:rPr>
          <w:noProof/>
          <w:lang w:val="en-GB"/>
        </w:rPr>
        <w:t>(Hussey et al., 2016, p. 3)</w:t>
      </w:r>
      <w:r w:rsidR="00656C10" w:rsidRPr="001A733A">
        <w:rPr>
          <w:lang w:val="en-GB"/>
        </w:rPr>
        <w:fldChar w:fldCharType="end"/>
      </w:r>
      <w:r w:rsidR="00B7207F" w:rsidRPr="001A733A">
        <w:rPr>
          <w:lang w:val="en-GB"/>
        </w:rPr>
        <w:t xml:space="preserve">; </w:t>
      </w:r>
      <w:r w:rsidR="00C32344" w:rsidRPr="001A733A">
        <w:rPr>
          <w:lang w:val="en-GB"/>
        </w:rPr>
        <w:t xml:space="preserve">“The implicit measures used (IAT and IRAP) are computer-based tests that assess reaction time biases” </w:t>
      </w:r>
      <w:r w:rsidR="00C32344" w:rsidRPr="001A733A">
        <w:rPr>
          <w:lang w:val="en-GB"/>
        </w:rPr>
        <w:fldChar w:fldCharType="begin"/>
      </w:r>
      <w:r w:rsidR="00C32344" w:rsidRPr="001A733A">
        <w:rPr>
          <w:lang w:val="en-GB"/>
        </w:rPr>
        <w:instrText xml:space="preserve"> ADDIN ZOTERO_ITEM CSL_CITATION {"citationID":"rUcJyVAk","properties":{"formattedCitation":"(Stewart et al., 2017, p. 64)","plainCitation":"(Stewart et al., 2017, p. 64)","noteIndex":0},"citationItems":[{"id":2879,"uris":["http://zotero.org/users/1687755/items/L4YHLMR2"],"itemData":{"id":2879,"type":"article-journal","abstract":"Background and objectives\nThe relationship between self-esteem and paranoia may be influenced by social stress. This study aimed to replicate previous research on the impact ofsocial exclusion on paranoia and self-esteem in a non-clinical sample and to extend this work by examining the effect of exclusion on self-esteem at the ‘implicit’ level.\nMethods\nNon-clinical participants (N = 85) were randomly allocated to the Inclusion or Exclusion condition of a virtual ball-toss game (‘Cyberball’). They completed self-reportmeasures of state paranoia and self-esteem, and two implicit measures of self-esteem – theImplicit Association Task (IAT) and Implicit Relational Assessment Procedure (IRAP) –prior to and after exposure to Cyberball.\nResults\nSocial exclusion increased state paranoia. This effect was moderated by distress associated with trait paranoia. Exclusion was also associated with decreased self-reported self-esteem, as well as reduced implicit self-esteem on the IAT. Changes in self-reported self-esteem were associated with state paranoia at post-Cyberball. The IRAP indicated that reductions in implicit self-esteem may be due to increases in ‘Me-Negative’ and ‘Others-Positive’ biases (rather than reductions in ‘Me-Positive’ bias).\nLimitations\nThe current study involved a non-clinical sample and so findings cannot be generalized to clinical paranoia.\nConclusions\nThese findings are consistent with previous evidence that paranoia is associated with negative self-evaluations, whereas positive self-evaluations can persist in paranoia. They also provide support for the suggestion that investigations of self-esteem in paranoia should extend beyond global self-esteem and might benefit from a distinction between positive and negative components.","container-title":"Journal of Behavior Therapy and Experimental Psychiatry","DOI":"10.1016/j.jbtep.2017.04.001","ISSN":"0005-7916","journalAbbreviation":"Journal of Behavior Therapy and Experimental Psychiatry","page":"62-69","source":"ScienceDirect","title":"The effect of social exclusion on state paranoia and explicit and implicit self-esteem in a non-clinical sample","volume":"57","author":[{"family":"Stewart","given":"C."},{"family":"Rogers","given":"F."},{"family":"Pilch","given":"M."},{"family":"Stewart","given":"I."},{"family":"Barnes-Holmes","given":"Y."},{"family":"Westermann","given":"S."}],"issued":{"date-parts":[["2017",12,1]]}},"label":"page","suffix":", p. 64"}],"schema":"https://github.com/citation-style-language/schema/raw/master/csl-citation.json"} </w:instrText>
      </w:r>
      <w:r w:rsidR="00C32344" w:rsidRPr="001A733A">
        <w:rPr>
          <w:lang w:val="en-GB"/>
        </w:rPr>
        <w:fldChar w:fldCharType="separate"/>
      </w:r>
      <w:r w:rsidR="00C32344" w:rsidRPr="001A733A">
        <w:rPr>
          <w:noProof/>
          <w:lang w:val="en-GB"/>
        </w:rPr>
        <w:t>(Stewart et al., 2017, p. 64)</w:t>
      </w:r>
      <w:r w:rsidR="00C32344" w:rsidRPr="001A733A">
        <w:rPr>
          <w:lang w:val="en-GB"/>
        </w:rPr>
        <w:fldChar w:fldCharType="end"/>
      </w:r>
      <w:r w:rsidR="00CC2799" w:rsidRPr="001A733A">
        <w:rPr>
          <w:lang w:val="en-GB"/>
        </w:rPr>
        <w:t xml:space="preserve">. </w:t>
      </w:r>
    </w:p>
    <w:p w14:paraId="3581164D" w14:textId="54BF717B" w:rsidR="003C0D82" w:rsidRPr="001A733A" w:rsidRDefault="00DF7DFC" w:rsidP="0063082D">
      <w:pPr>
        <w:pStyle w:val="NormalWeb"/>
        <w:ind w:firstLine="720"/>
        <w:jc w:val="left"/>
      </w:pPr>
      <w:r w:rsidRPr="001A733A">
        <w:t xml:space="preserve">Barnes-Holmes’ last reference to the IRAP as an implicit measure </w:t>
      </w:r>
      <w:r w:rsidR="006B3DF9" w:rsidRPr="001A733A">
        <w:fldChar w:fldCharType="begin"/>
      </w:r>
      <w:r w:rsidRPr="001A733A">
        <w:instrText xml:space="preserve"> ADDIN ZOTERO_ITEM CSL_CITATION {"citationID":"RuDVDiyy","properties":{"formattedCitation":"(i.e., Perez et al., 2019)","plainCitation":"(i.e., Perez et al., 2019)","noteIndex":0},"citationItems":[{"id":4057,"uris":["http://zotero.org/users/1687755/items/K3SZFPTN"],"itemData":{"id":4057,"type":"article-journal","abstract":"Studies on equivalence relations have suggested that abstract symbols might acquire emotional functions when related to facial expressions. The present study aimed to investigate the transformation of emotional functions from facial expressions of fear and of happiness to abstract stimuli via equivalence relations. A delayed matching-to-sample task established two equivalence classes between facial expressions of emotions and nonsense abstract stimuli: A1(Fear)-B1-C1-D1; A2(Happiness)-B2-C2-D2. After relational training (AB, AC, CD) and equivalence tests (BD, DB), the participants evaluated the meaning of one nonsense stimulus from each class (D1 and D2) by means of a semantic differential and an Implicit Relational Assessment Procedure (IRAP). Results from both the semantic differential and the IRAP supported the conclusion that the emotional functions of the faces, in terms of fear and happiness, had transformed via the equivalence classes to the D stimuli. Results are discussed in terms of the dynamics of arbitrarily applicable relational responding.","container-title":"The Psychological Record","DOI":"10.1007/s40732-018-0304-1","ISSN":"2163-3452","issue":"1","journalAbbreviation":"Psychol Rec","language":"en","page":"13-24","source":"Springer Link","title":"Implicit and Explicit Measures of Transformation of Function from Facial Expressions of Fear and of Happiness via Equivalence Relations","volume":"69","author":[{"family":"Perez","given":"William F."},{"family":"Almeida","given":"João Henrique","non-dropping-particle":"de"},{"family":"Rose","given":"Julio C.","non-dropping-particle":"de"},{"family":"Dorigon","given":"Andrea H."},{"family":"Vasconcellos","given":"Eduardo L.","non-dropping-particle":"de"},{"family":"Silva","given":"Marco A.","non-dropping-particle":"da"},{"family":"Lima","given":"Najra D. P."},{"family":"Almeida","given":"Roberta B. M.","non-dropping-particle":"de"},{"family":"Montan","given":"Rodrigo N. M."},{"family":"Barnes-Holmes","given":"Dermot"}],"issued":{"date-parts":[["2019",3,1]]}},"label":"page","prefix":"i.e.,"}],"schema":"https://github.com/citation-style-language/schema/raw/master/csl-citation.json"} </w:instrText>
      </w:r>
      <w:r w:rsidR="006B3DF9" w:rsidRPr="001A733A">
        <w:fldChar w:fldCharType="separate"/>
      </w:r>
      <w:r w:rsidRPr="001A733A">
        <w:rPr>
          <w:noProof/>
        </w:rPr>
        <w:t>(i.e., Perez et al., 2019)</w:t>
      </w:r>
      <w:r w:rsidR="006B3DF9" w:rsidRPr="001A733A">
        <w:fldChar w:fldCharType="end"/>
      </w:r>
      <w:r w:rsidRPr="001A733A">
        <w:t xml:space="preserve"> seems to have been just </w:t>
      </w:r>
      <w:r w:rsidR="00C6684E" w:rsidRPr="001A733A">
        <w:t>before</w:t>
      </w:r>
      <w:r w:rsidRPr="001A733A">
        <w:t xml:space="preserve"> the </w:t>
      </w:r>
      <w:r w:rsidR="0098647C" w:rsidRPr="001A733A">
        <w:t xml:space="preserve">publication of </w:t>
      </w:r>
      <w:r w:rsidR="00CF6740" w:rsidRPr="001A733A">
        <w:t xml:space="preserve">two independent meta-analyses of the IRAP’s psychometric properties </w:t>
      </w:r>
      <w:r w:rsidR="00827885" w:rsidRPr="001A733A">
        <w:fldChar w:fldCharType="begin"/>
      </w:r>
      <w:r w:rsidR="00827885" w:rsidRPr="001A733A">
        <w:instrText xml:space="preserve"> ADDIN ZOTERO_ITEM CSL_CITATION {"citationID":"FtRLkhiE","properties":{"formattedCitation":"(Greenwald &amp; Lai, 2020; Hussey &amp; Drake, 2020)","plainCitation":"(Greenwald &amp; Lai, 2020; Hussey &amp; Drake,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K."}],"issued":{"date-parts":[["2020"]]}},"label":"page"},{"id":4191,"uris":["http://zotero.org/users/1687755/items/MU3ZSDRR"],"itemData":{"id":4191,"type":"article-journal","abstract":"Evidence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(k = 16) and participants (N = 1576). Results suggest that internal consistency is poor (α = .51, 95% CI [.46, .56]) and test-retest reliability is very poor (ICC = .20, 95% CI [.05, .34]). We conclude that researchers should be very cautious about choosing to employ the IRAP or when interpreting its results.","container-title":"Preprint","DOI":"10.31234/osf.io/ge3k7","note":"publisher: PsyArXiv","source":"psyarxiv.com","title":"The Implicit Relational Assessment Procedure demonstrates poor internal consistency and test-retest reliability: A meta-analysis","URL":"https://psyarxiv.com/ge3k7/","author":[{"family":"Hussey","given":"Ian"},{"family":"Drake","given":"Chad E."}],"accessed":{"date-parts":[["2020",6,12]]},"issued":{"date-parts":[["2020"]]}},"label":"page"}],"schema":"https://github.com/citation-style-language/schema/raw/master/csl-citation.json"} </w:instrText>
      </w:r>
      <w:r w:rsidR="00827885" w:rsidRPr="001A733A">
        <w:fldChar w:fldCharType="separate"/>
      </w:r>
      <w:r w:rsidR="00827885" w:rsidRPr="001A733A">
        <w:t>(Greenwald &amp; Lai, 2020; Hussey &amp; Drake, 2020)</w:t>
      </w:r>
      <w:r w:rsidR="00827885" w:rsidRPr="001A733A">
        <w:fldChar w:fldCharType="end"/>
      </w:r>
      <w:r w:rsidRPr="001A733A">
        <w:t>.</w:t>
      </w:r>
      <w:r w:rsidR="00827885" w:rsidRPr="001A733A">
        <w:t xml:space="preserve"> These reviews both </w:t>
      </w:r>
      <w:r w:rsidR="00CF6740" w:rsidRPr="001A733A">
        <w:t xml:space="preserve">concluded that the IRAP </w:t>
      </w:r>
      <w:r w:rsidR="006C72E3" w:rsidRPr="001A733A">
        <w:t xml:space="preserve">demonstrates </w:t>
      </w:r>
      <w:r w:rsidR="00CF6740" w:rsidRPr="001A733A">
        <w:t xml:space="preserve">poor reliability </w:t>
      </w:r>
      <w:r w:rsidR="00827885" w:rsidRPr="001A733A">
        <w:t xml:space="preserve">(Cronbach's α = .51 </w:t>
      </w:r>
      <w:r w:rsidR="00827885" w:rsidRPr="001A733A">
        <w:lastRenderedPageBreak/>
        <w:t>to .56)</w:t>
      </w:r>
      <w:r w:rsidR="00E4102B" w:rsidRPr="001A733A">
        <w:t>. A</w:t>
      </w:r>
      <w:r w:rsidR="00827885" w:rsidRPr="001A733A">
        <w:t xml:space="preserve">s such, </w:t>
      </w:r>
      <w:r w:rsidR="00020DCF" w:rsidRPr="001A733A">
        <w:t xml:space="preserve">its psychometric properties make it a poor </w:t>
      </w:r>
      <w:r w:rsidR="002E2D36" w:rsidRPr="001A733A">
        <w:t xml:space="preserve">implicit </w:t>
      </w:r>
      <w:r w:rsidR="00020DCF" w:rsidRPr="001A733A">
        <w:t>measure relative to other</w:t>
      </w:r>
      <w:r w:rsidR="004D5A5C" w:rsidRPr="001A733A">
        <w:t xml:space="preserve">s </w:t>
      </w:r>
      <w:r w:rsidR="002E2D36" w:rsidRPr="001A733A">
        <w:fldChar w:fldCharType="begin"/>
      </w:r>
      <w:r w:rsidR="002E2D36" w:rsidRPr="001A733A">
        <w:instrText xml:space="preserve"> ADDIN ZOTERO_ITEM CSL_CITATION {"citationID":"vV17Jt3V","properties":{"formattedCitation":"(see Greenwald &amp; Lai, 2020)","plainCitation":"(see Greenwald &amp; Lai, 2020)","noteIndex":0},"citationItems":[{"id":24,"uris":["http://zotero.org/users/1687755/items/UQYJYU63"],"itemData":{"id":24,"type":"article-journal","abstract":"In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K."}],"issued":{"date-parts":[["2020"]]}},"label":"page","prefix":"see "}],"schema":"https://github.com/citation-style-language/schema/raw/master/csl-citation.json"} </w:instrText>
      </w:r>
      <w:r w:rsidR="002E2D36" w:rsidRPr="001A733A">
        <w:fldChar w:fldCharType="separate"/>
      </w:r>
      <w:r w:rsidR="002E2D36" w:rsidRPr="001A733A">
        <w:rPr>
          <w:noProof/>
        </w:rPr>
        <w:t>(see Greenwald &amp; Lai, 2020)</w:t>
      </w:r>
      <w:r w:rsidR="002E2D36" w:rsidRPr="001A733A">
        <w:fldChar w:fldCharType="end"/>
      </w:r>
      <w:r w:rsidR="00827885" w:rsidRPr="001A733A">
        <w:t>.</w:t>
      </w:r>
      <w:r w:rsidR="00483C92" w:rsidRPr="001A733A">
        <w:t xml:space="preserve"> </w:t>
      </w:r>
    </w:p>
    <w:p w14:paraId="22AFDC7B" w14:textId="5B8C8B72" w:rsidR="005E5F99" w:rsidRPr="001A733A" w:rsidRDefault="005E5F99" w:rsidP="0063082D">
      <w:pPr>
        <w:jc w:val="left"/>
      </w:pPr>
      <w:r w:rsidRPr="001A733A">
        <w:t>Note that th</w:t>
      </w:r>
      <w:r w:rsidR="00994A11" w:rsidRPr="001A733A">
        <w:t>is</w:t>
      </w:r>
      <w:r w:rsidRPr="001A733A">
        <w:t xml:space="preserve"> </w:t>
      </w:r>
      <w:r w:rsidR="00716592" w:rsidRPr="001A733A">
        <w:t xml:space="preserve">question of </w:t>
      </w:r>
      <w:r w:rsidR="00BD4E0E" w:rsidRPr="001A733A">
        <w:t xml:space="preserve">whether the </w:t>
      </w:r>
      <w:r w:rsidR="001D5D94" w:rsidRPr="001A733A">
        <w:t xml:space="preserve">IRAP </w:t>
      </w:r>
      <w:r w:rsidR="00BD4E0E" w:rsidRPr="001A733A">
        <w:t xml:space="preserve">was claimed to be </w:t>
      </w:r>
      <w:r w:rsidR="001D5D94" w:rsidRPr="001A733A">
        <w:t xml:space="preserve">an implicit measure </w:t>
      </w:r>
      <w:r w:rsidRPr="001A733A">
        <w:t xml:space="preserve">is agnostic to whether </w:t>
      </w:r>
      <w:r w:rsidR="001D5D94" w:rsidRPr="001A733A">
        <w:t xml:space="preserve">it </w:t>
      </w:r>
      <w:r w:rsidRPr="001A733A">
        <w:t xml:space="preserve">also has </w:t>
      </w:r>
      <w:r w:rsidR="00697E65" w:rsidRPr="001A733A">
        <w:t xml:space="preserve">real or potential </w:t>
      </w:r>
      <w:r w:rsidRPr="001A733A">
        <w:t xml:space="preserve">utility within behavior-analytic research </w:t>
      </w:r>
      <w:r w:rsidR="00813E7A" w:rsidRPr="001A733A">
        <w:t xml:space="preserve">(e.g., </w:t>
      </w:r>
      <w:r w:rsidRPr="001A733A">
        <w:t>as a measure of natural verbal relations</w:t>
      </w:r>
      <w:r w:rsidR="00813E7A" w:rsidRPr="001A733A">
        <w:t>)</w:t>
      </w:r>
      <w:r w:rsidRPr="001A733A">
        <w:t xml:space="preserve">. Barnes-Holmes has explicitly stated </w:t>
      </w:r>
      <w:r w:rsidR="004F0BC1" w:rsidRPr="001A733A">
        <w:t xml:space="preserve">his position </w:t>
      </w:r>
      <w:r w:rsidRPr="001A733A">
        <w:t>elsewhere</w:t>
      </w:r>
      <w:r w:rsidR="00A13613" w:rsidRPr="001A733A">
        <w:t xml:space="preserve"> that </w:t>
      </w:r>
      <w:r w:rsidRPr="001A733A">
        <w:t xml:space="preserve">functional-analytic explanations and cognitive representational explanations of behavioral phenomena are separate levels of analysis that do not interact or preclude one another </w:t>
      </w:r>
      <w:r w:rsidRPr="001A733A">
        <w:fldChar w:fldCharType="begin"/>
      </w:r>
      <w:r w:rsidRPr="001A733A">
        <w:instrText xml:space="preserve"> ADDIN ZOTERO_ITEM CSL_CITATION {"citationID":"CNS0CLfR","properties":{"formattedCitation":"(Barnes-Holmes &amp; Hussey, 2016)","plainCitation":"(Barnes-Holmes &amp; Hussey, 2016)","noteIndex":0},"citationItems":[{"id":1960,"uris":["http://zotero.org/users/1687755/items/EZR2WKP9"],"itemData":{"id":1960,"type":"article-journal","abstract":"The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Psychol","language":"en","license":"© 2015 International Union of Psychological Science","page":"50-57","source":"Wiley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framework","volume":"51","author":[{"family":"Barnes-Holmes","given":"Dermot"},{"family":"Hussey","given":"Ian"}],"issued":{"date-parts":[["2016",2,1]]}}}],"schema":"https://github.com/citation-style-language/schema/raw/master/csl-citation.json"} </w:instrText>
      </w:r>
      <w:r w:rsidRPr="001A733A">
        <w:fldChar w:fldCharType="separate"/>
      </w:r>
      <w:r w:rsidRPr="001A733A">
        <w:t>(Barnes-Holmes &amp; Hussey, 2016)</w:t>
      </w:r>
      <w:r w:rsidRPr="001A733A">
        <w:fldChar w:fldCharType="end"/>
      </w:r>
      <w:r w:rsidRPr="001A733A">
        <w:t>. As such, the question of whether the IRAP is an implicit measure or a measure of natural verbal relations is not an either</w:t>
      </w:r>
      <w:r w:rsidR="00716592" w:rsidRPr="001A733A">
        <w:t>-</w:t>
      </w:r>
      <w:r w:rsidRPr="001A733A">
        <w:t xml:space="preserve">or question. Barnes-Holmes &amp; Harte’s (2022) claim was that the IRAP did not start out as an implicit measure. The published scientific record demonstrates otherwise. </w:t>
      </w:r>
    </w:p>
    <w:p w14:paraId="6B932B0D" w14:textId="3A014A09" w:rsidR="00F2029C" w:rsidRPr="001A733A" w:rsidRDefault="00F2029C" w:rsidP="00DE698B">
      <w:pPr>
        <w:sectPr w:rsidR="00F2029C" w:rsidRPr="001A733A" w:rsidSect="001A733A">
          <w:type w:val="continuous"/>
          <w:pgSz w:w="11900" w:h="16840"/>
          <w:pgMar w:top="1440" w:right="1440" w:bottom="1440" w:left="1440" w:header="708" w:footer="708" w:gutter="0"/>
          <w:cols w:space="200"/>
          <w:docGrid w:linePitch="360"/>
        </w:sectPr>
      </w:pPr>
    </w:p>
    <w:p w14:paraId="0AD87A71" w14:textId="77777777" w:rsidR="00230B60" w:rsidRDefault="00230B60" w:rsidP="00230B60">
      <w:pPr>
        <w:ind w:firstLine="0"/>
      </w:pPr>
    </w:p>
    <w:p w14:paraId="74AA9D90" w14:textId="3E818BAE" w:rsidR="006665AE" w:rsidRPr="001A733A" w:rsidRDefault="00921C86" w:rsidP="00230B60">
      <w:pPr>
        <w:ind w:firstLine="0"/>
      </w:pPr>
      <w:r w:rsidRPr="001A733A">
        <w:rPr>
          <w:b/>
          <w:bCs/>
        </w:rPr>
        <w:t>Table 1.</w:t>
      </w:r>
      <w:r w:rsidRPr="001A733A">
        <w:t xml:space="preserve"> </w:t>
      </w:r>
      <w:r w:rsidR="00B55EB9" w:rsidRPr="001A733A">
        <w:t xml:space="preserve">Authors </w:t>
      </w:r>
      <w:r w:rsidR="00220E6D" w:rsidRPr="001A733A">
        <w:t>who have five or more IRAP publications and their association with Barnes-Holmes</w:t>
      </w:r>
      <w:r w:rsidR="00B55EB9" w:rsidRPr="001A733A">
        <w:t>.</w:t>
      </w:r>
    </w:p>
    <w:tbl>
      <w:tblPr>
        <w:tblStyle w:val="TableGrid"/>
        <w:tblW w:w="666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3"/>
        <w:gridCol w:w="1139"/>
        <w:gridCol w:w="1194"/>
        <w:gridCol w:w="873"/>
        <w:gridCol w:w="1061"/>
      </w:tblGrid>
      <w:tr w:rsidR="00A90A29" w:rsidRPr="00A90A29" w14:paraId="7A6F25A9" w14:textId="77777777" w:rsidTr="00600C17">
        <w:trPr>
          <w:trHeight w:val="360"/>
          <w:jc w:val="center"/>
        </w:trPr>
        <w:tc>
          <w:tcPr>
            <w:tcW w:w="2393" w:type="dxa"/>
            <w:tcBorders>
              <w:top w:val="single" w:sz="4" w:space="0" w:color="auto"/>
              <w:bottom w:val="single" w:sz="4" w:space="0" w:color="auto"/>
            </w:tcBorders>
          </w:tcPr>
          <w:p w14:paraId="5D839AF7" w14:textId="77777777" w:rsidR="00A90A29" w:rsidRPr="00A90A29" w:rsidRDefault="00A90A29" w:rsidP="00A90A29">
            <w:pPr>
              <w:pStyle w:val="TableFigure"/>
              <w:spacing w:before="0" w:line="240" w:lineRule="auto"/>
              <w:rPr>
                <w:sz w:val="20"/>
                <w:szCs w:val="20"/>
              </w:rPr>
            </w:pPr>
            <w:r w:rsidRPr="00A90A29">
              <w:rPr>
                <w:sz w:val="20"/>
                <w:szCs w:val="20"/>
              </w:rPr>
              <w:t>Author</w:t>
            </w:r>
          </w:p>
        </w:tc>
        <w:tc>
          <w:tcPr>
            <w:tcW w:w="1139" w:type="dxa"/>
            <w:tcBorders>
              <w:top w:val="single" w:sz="4" w:space="0" w:color="auto"/>
              <w:bottom w:val="single" w:sz="4" w:space="0" w:color="auto"/>
            </w:tcBorders>
          </w:tcPr>
          <w:p w14:paraId="1CDCD3FE" w14:textId="77777777" w:rsidR="00A90A29" w:rsidRPr="00A90A29" w:rsidRDefault="00A90A29" w:rsidP="00A90A29">
            <w:pPr>
              <w:pStyle w:val="TableFigure"/>
              <w:spacing w:before="0" w:line="240" w:lineRule="auto"/>
              <w:jc w:val="center"/>
              <w:rPr>
                <w:sz w:val="20"/>
                <w:szCs w:val="20"/>
              </w:rPr>
            </w:pPr>
            <w:r w:rsidRPr="00A90A29">
              <w:rPr>
                <w:sz w:val="20"/>
                <w:szCs w:val="20"/>
              </w:rPr>
              <w:t>Number of IRAP authorships</w:t>
            </w:r>
          </w:p>
        </w:tc>
        <w:tc>
          <w:tcPr>
            <w:tcW w:w="1194" w:type="dxa"/>
            <w:tcBorders>
              <w:top w:val="single" w:sz="4" w:space="0" w:color="auto"/>
              <w:bottom w:val="single" w:sz="4" w:space="0" w:color="auto"/>
            </w:tcBorders>
          </w:tcPr>
          <w:p w14:paraId="5EBD7E14" w14:textId="77777777" w:rsidR="00A90A29" w:rsidRPr="00A90A29" w:rsidRDefault="00A90A29" w:rsidP="00A90A29">
            <w:pPr>
              <w:pStyle w:val="TableFigure"/>
              <w:spacing w:before="0" w:line="240" w:lineRule="auto"/>
              <w:jc w:val="center"/>
              <w:rPr>
                <w:sz w:val="20"/>
                <w:szCs w:val="20"/>
              </w:rPr>
            </w:pPr>
            <w:r w:rsidRPr="00A90A29">
              <w:rPr>
                <w:sz w:val="20"/>
                <w:szCs w:val="20"/>
              </w:rPr>
              <w:t>Proportion of all publications</w:t>
            </w:r>
          </w:p>
        </w:tc>
        <w:tc>
          <w:tcPr>
            <w:tcW w:w="873" w:type="dxa"/>
            <w:tcBorders>
              <w:top w:val="single" w:sz="4" w:space="0" w:color="auto"/>
              <w:bottom w:val="single" w:sz="4" w:space="0" w:color="auto"/>
            </w:tcBorders>
          </w:tcPr>
          <w:p w14:paraId="269AB80F" w14:textId="77777777" w:rsidR="00A90A29" w:rsidRPr="00A90A29" w:rsidRDefault="00A90A29" w:rsidP="00A90A29">
            <w:pPr>
              <w:pStyle w:val="TableFigure"/>
              <w:spacing w:before="0" w:line="240" w:lineRule="auto"/>
              <w:jc w:val="center"/>
              <w:rPr>
                <w:sz w:val="20"/>
                <w:szCs w:val="20"/>
              </w:rPr>
            </w:pPr>
            <w:r w:rsidRPr="00A90A29">
              <w:rPr>
                <w:sz w:val="20"/>
                <w:szCs w:val="20"/>
              </w:rPr>
              <w:t>Student of DBH</w:t>
            </w:r>
          </w:p>
        </w:tc>
        <w:tc>
          <w:tcPr>
            <w:tcW w:w="1061" w:type="dxa"/>
            <w:tcBorders>
              <w:top w:val="single" w:sz="4" w:space="0" w:color="auto"/>
              <w:bottom w:val="single" w:sz="4" w:space="0" w:color="auto"/>
            </w:tcBorders>
          </w:tcPr>
          <w:p w14:paraId="1893D56B" w14:textId="77777777" w:rsidR="00A90A29" w:rsidRPr="00A90A29" w:rsidRDefault="00A90A29" w:rsidP="00A90A29">
            <w:pPr>
              <w:pStyle w:val="TableFigure"/>
              <w:spacing w:before="0" w:line="240" w:lineRule="auto"/>
              <w:jc w:val="center"/>
              <w:rPr>
                <w:sz w:val="20"/>
                <w:szCs w:val="20"/>
              </w:rPr>
            </w:pPr>
            <w:r w:rsidRPr="00A90A29">
              <w:rPr>
                <w:sz w:val="20"/>
                <w:szCs w:val="20"/>
              </w:rPr>
              <w:t>Student of DBH’s student</w:t>
            </w:r>
          </w:p>
        </w:tc>
      </w:tr>
      <w:tr w:rsidR="00A90A29" w:rsidRPr="00A90A29" w14:paraId="78625E73" w14:textId="77777777" w:rsidTr="00600C17">
        <w:trPr>
          <w:trHeight w:val="257"/>
          <w:jc w:val="center"/>
        </w:trPr>
        <w:tc>
          <w:tcPr>
            <w:tcW w:w="2393" w:type="dxa"/>
            <w:tcBorders>
              <w:top w:val="single" w:sz="4" w:space="0" w:color="auto"/>
            </w:tcBorders>
          </w:tcPr>
          <w:p w14:paraId="1504C2A7" w14:textId="77777777" w:rsidR="00A90A29" w:rsidRPr="00A90A29" w:rsidRDefault="00A90A29" w:rsidP="00A90A29">
            <w:pPr>
              <w:pStyle w:val="TableFigure"/>
              <w:spacing w:before="0" w:line="240" w:lineRule="auto"/>
              <w:rPr>
                <w:sz w:val="20"/>
                <w:szCs w:val="20"/>
              </w:rPr>
            </w:pPr>
            <w:r w:rsidRPr="00A90A29">
              <w:rPr>
                <w:sz w:val="20"/>
                <w:szCs w:val="20"/>
              </w:rPr>
              <w:t>Dermot Barnes-Holmes</w:t>
            </w:r>
          </w:p>
        </w:tc>
        <w:tc>
          <w:tcPr>
            <w:tcW w:w="1139" w:type="dxa"/>
            <w:tcBorders>
              <w:top w:val="single" w:sz="4" w:space="0" w:color="auto"/>
            </w:tcBorders>
          </w:tcPr>
          <w:p w14:paraId="72AC36B0"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75</w:t>
            </w:r>
          </w:p>
        </w:tc>
        <w:tc>
          <w:tcPr>
            <w:tcW w:w="1194" w:type="dxa"/>
            <w:tcBorders>
              <w:top w:val="single" w:sz="4" w:space="0" w:color="auto"/>
            </w:tcBorders>
          </w:tcPr>
          <w:p w14:paraId="53BAFCB7"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48%</w:t>
            </w:r>
          </w:p>
        </w:tc>
        <w:tc>
          <w:tcPr>
            <w:tcW w:w="873" w:type="dxa"/>
            <w:tcBorders>
              <w:top w:val="single" w:sz="4" w:space="0" w:color="auto"/>
            </w:tcBorders>
          </w:tcPr>
          <w:p w14:paraId="477DDF35" w14:textId="77777777" w:rsidR="00A90A29" w:rsidRPr="00A90A29" w:rsidRDefault="00A90A29" w:rsidP="00A90A29">
            <w:pPr>
              <w:pStyle w:val="TableFigure"/>
              <w:spacing w:before="0" w:line="240" w:lineRule="auto"/>
              <w:jc w:val="center"/>
              <w:rPr>
                <w:sz w:val="20"/>
                <w:szCs w:val="20"/>
              </w:rPr>
            </w:pPr>
            <w:r w:rsidRPr="00A90A29">
              <w:rPr>
                <w:sz w:val="20"/>
                <w:szCs w:val="20"/>
              </w:rPr>
              <w:t>-</w:t>
            </w:r>
          </w:p>
        </w:tc>
        <w:tc>
          <w:tcPr>
            <w:tcW w:w="1061" w:type="dxa"/>
            <w:tcBorders>
              <w:top w:val="single" w:sz="4" w:space="0" w:color="auto"/>
            </w:tcBorders>
          </w:tcPr>
          <w:p w14:paraId="42E8CF38" w14:textId="77777777" w:rsidR="00A90A29" w:rsidRPr="00A90A29" w:rsidRDefault="00A90A29" w:rsidP="00A90A29">
            <w:pPr>
              <w:pStyle w:val="TableFigure"/>
              <w:spacing w:before="0" w:line="240" w:lineRule="auto"/>
              <w:jc w:val="center"/>
              <w:rPr>
                <w:sz w:val="20"/>
                <w:szCs w:val="20"/>
              </w:rPr>
            </w:pPr>
            <w:r w:rsidRPr="00A90A29">
              <w:rPr>
                <w:sz w:val="20"/>
                <w:szCs w:val="20"/>
              </w:rPr>
              <w:t>-</w:t>
            </w:r>
          </w:p>
        </w:tc>
      </w:tr>
      <w:tr w:rsidR="00A90A29" w:rsidRPr="00A90A29" w14:paraId="7BD9EF6C" w14:textId="77777777" w:rsidTr="00600C17">
        <w:trPr>
          <w:trHeight w:val="251"/>
          <w:jc w:val="center"/>
        </w:trPr>
        <w:tc>
          <w:tcPr>
            <w:tcW w:w="2393" w:type="dxa"/>
          </w:tcPr>
          <w:p w14:paraId="70CE4A13" w14:textId="77777777" w:rsidR="00A90A29" w:rsidRPr="00A90A29" w:rsidRDefault="00A90A29" w:rsidP="00A90A29">
            <w:pPr>
              <w:pStyle w:val="TableFigure"/>
              <w:spacing w:before="0" w:line="240" w:lineRule="auto"/>
              <w:rPr>
                <w:sz w:val="20"/>
                <w:szCs w:val="20"/>
              </w:rPr>
            </w:pPr>
            <w:r w:rsidRPr="00A90A29">
              <w:rPr>
                <w:sz w:val="20"/>
                <w:szCs w:val="20"/>
              </w:rPr>
              <w:t>Yvonne Barnes-Holmes</w:t>
            </w:r>
          </w:p>
        </w:tc>
        <w:tc>
          <w:tcPr>
            <w:tcW w:w="1139" w:type="dxa"/>
          </w:tcPr>
          <w:p w14:paraId="34FCB51D"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34</w:t>
            </w:r>
          </w:p>
        </w:tc>
        <w:tc>
          <w:tcPr>
            <w:tcW w:w="1194" w:type="dxa"/>
          </w:tcPr>
          <w:p w14:paraId="5DBCD6E6"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22%</w:t>
            </w:r>
          </w:p>
        </w:tc>
        <w:tc>
          <w:tcPr>
            <w:tcW w:w="873" w:type="dxa"/>
          </w:tcPr>
          <w:p w14:paraId="308D2CB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32F854CC"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50ABCD8A" w14:textId="77777777" w:rsidTr="00600C17">
        <w:trPr>
          <w:trHeight w:val="257"/>
          <w:jc w:val="center"/>
        </w:trPr>
        <w:tc>
          <w:tcPr>
            <w:tcW w:w="2393" w:type="dxa"/>
          </w:tcPr>
          <w:p w14:paraId="72C2EFDA" w14:textId="77777777" w:rsidR="00A90A29" w:rsidRPr="00A90A29" w:rsidRDefault="00A90A29" w:rsidP="00A90A29">
            <w:pPr>
              <w:pStyle w:val="TableFigure"/>
              <w:spacing w:before="0" w:line="240" w:lineRule="auto"/>
              <w:rPr>
                <w:sz w:val="20"/>
                <w:szCs w:val="20"/>
              </w:rPr>
            </w:pPr>
            <w:r w:rsidRPr="00A90A29">
              <w:rPr>
                <w:sz w:val="20"/>
                <w:szCs w:val="20"/>
              </w:rPr>
              <w:t xml:space="preserve">Ciara </w:t>
            </w:r>
            <w:proofErr w:type="spellStart"/>
            <w:r w:rsidRPr="00A90A29">
              <w:rPr>
                <w:sz w:val="20"/>
                <w:szCs w:val="20"/>
              </w:rPr>
              <w:t>McEnteggart</w:t>
            </w:r>
            <w:proofErr w:type="spellEnd"/>
          </w:p>
        </w:tc>
        <w:tc>
          <w:tcPr>
            <w:tcW w:w="1139" w:type="dxa"/>
          </w:tcPr>
          <w:p w14:paraId="3B787482"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21</w:t>
            </w:r>
          </w:p>
        </w:tc>
        <w:tc>
          <w:tcPr>
            <w:tcW w:w="1194" w:type="dxa"/>
          </w:tcPr>
          <w:p w14:paraId="171A71E0"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14%</w:t>
            </w:r>
          </w:p>
        </w:tc>
        <w:tc>
          <w:tcPr>
            <w:tcW w:w="873" w:type="dxa"/>
          </w:tcPr>
          <w:p w14:paraId="6C8F5F43"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34672B8"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00109C7F" w14:textId="77777777" w:rsidTr="00600C17">
        <w:trPr>
          <w:trHeight w:val="257"/>
          <w:jc w:val="center"/>
        </w:trPr>
        <w:tc>
          <w:tcPr>
            <w:tcW w:w="2393" w:type="dxa"/>
          </w:tcPr>
          <w:p w14:paraId="69F91906" w14:textId="77777777" w:rsidR="00A90A29" w:rsidRPr="00A90A29" w:rsidRDefault="00A90A29" w:rsidP="00A90A29">
            <w:pPr>
              <w:pStyle w:val="TableFigure"/>
              <w:spacing w:before="0" w:line="240" w:lineRule="auto"/>
              <w:rPr>
                <w:sz w:val="20"/>
                <w:szCs w:val="20"/>
              </w:rPr>
            </w:pPr>
            <w:r w:rsidRPr="00A90A29">
              <w:rPr>
                <w:sz w:val="20"/>
                <w:szCs w:val="20"/>
              </w:rPr>
              <w:t>Ian Stewart</w:t>
            </w:r>
          </w:p>
        </w:tc>
        <w:tc>
          <w:tcPr>
            <w:tcW w:w="1139" w:type="dxa"/>
          </w:tcPr>
          <w:p w14:paraId="1441D89E"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17</w:t>
            </w:r>
          </w:p>
        </w:tc>
        <w:tc>
          <w:tcPr>
            <w:tcW w:w="1194" w:type="dxa"/>
          </w:tcPr>
          <w:p w14:paraId="3D1FEC48"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11%</w:t>
            </w:r>
          </w:p>
        </w:tc>
        <w:tc>
          <w:tcPr>
            <w:tcW w:w="873" w:type="dxa"/>
          </w:tcPr>
          <w:p w14:paraId="0CB8598E"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1750566F"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DF297BC" w14:textId="77777777" w:rsidTr="00600C17">
        <w:trPr>
          <w:trHeight w:val="257"/>
          <w:jc w:val="center"/>
        </w:trPr>
        <w:tc>
          <w:tcPr>
            <w:tcW w:w="2393" w:type="dxa"/>
          </w:tcPr>
          <w:p w14:paraId="18506225" w14:textId="77777777" w:rsidR="00A90A29" w:rsidRPr="00A90A29" w:rsidRDefault="00A90A29" w:rsidP="00A90A29">
            <w:pPr>
              <w:pStyle w:val="TableFigure"/>
              <w:spacing w:before="0" w:line="240" w:lineRule="auto"/>
              <w:rPr>
                <w:sz w:val="20"/>
                <w:szCs w:val="20"/>
              </w:rPr>
            </w:pPr>
            <w:r w:rsidRPr="00A90A29">
              <w:rPr>
                <w:sz w:val="20"/>
                <w:szCs w:val="20"/>
              </w:rPr>
              <w:t>Carol Murphy</w:t>
            </w:r>
          </w:p>
        </w:tc>
        <w:tc>
          <w:tcPr>
            <w:tcW w:w="1139" w:type="dxa"/>
          </w:tcPr>
          <w:p w14:paraId="5ED1ED26"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15</w:t>
            </w:r>
          </w:p>
        </w:tc>
        <w:tc>
          <w:tcPr>
            <w:tcW w:w="1194" w:type="dxa"/>
          </w:tcPr>
          <w:p w14:paraId="3683ABC8"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10%</w:t>
            </w:r>
          </w:p>
        </w:tc>
        <w:tc>
          <w:tcPr>
            <w:tcW w:w="873" w:type="dxa"/>
          </w:tcPr>
          <w:p w14:paraId="7461EB46"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B8BD18A"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7D8B2681" w14:textId="77777777" w:rsidTr="00600C17">
        <w:trPr>
          <w:trHeight w:val="257"/>
          <w:jc w:val="center"/>
        </w:trPr>
        <w:tc>
          <w:tcPr>
            <w:tcW w:w="2393" w:type="dxa"/>
          </w:tcPr>
          <w:p w14:paraId="0EB40A33" w14:textId="77777777" w:rsidR="00A90A29" w:rsidRPr="00A90A29" w:rsidRDefault="00A90A29" w:rsidP="00A90A29">
            <w:pPr>
              <w:pStyle w:val="TableFigure"/>
              <w:spacing w:before="0" w:line="240" w:lineRule="auto"/>
              <w:rPr>
                <w:sz w:val="20"/>
                <w:szCs w:val="20"/>
              </w:rPr>
            </w:pPr>
            <w:r w:rsidRPr="00A90A29">
              <w:rPr>
                <w:sz w:val="20"/>
                <w:szCs w:val="20"/>
              </w:rPr>
              <w:t>Michelle Kelly</w:t>
            </w:r>
          </w:p>
        </w:tc>
        <w:tc>
          <w:tcPr>
            <w:tcW w:w="1139" w:type="dxa"/>
          </w:tcPr>
          <w:p w14:paraId="2BF80698"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10</w:t>
            </w:r>
          </w:p>
        </w:tc>
        <w:tc>
          <w:tcPr>
            <w:tcW w:w="1194" w:type="dxa"/>
          </w:tcPr>
          <w:p w14:paraId="6521B44E"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590F124A"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323D87B0"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3633E004" w14:textId="77777777" w:rsidTr="00600C17">
        <w:trPr>
          <w:trHeight w:val="257"/>
          <w:jc w:val="center"/>
        </w:trPr>
        <w:tc>
          <w:tcPr>
            <w:tcW w:w="2393" w:type="dxa"/>
          </w:tcPr>
          <w:p w14:paraId="5E510C36" w14:textId="77777777" w:rsidR="00A90A29" w:rsidRPr="00A90A29" w:rsidRDefault="00A90A29" w:rsidP="00A90A29">
            <w:pPr>
              <w:pStyle w:val="TableFigure"/>
              <w:spacing w:before="0" w:line="240" w:lineRule="auto"/>
              <w:rPr>
                <w:sz w:val="20"/>
                <w:szCs w:val="20"/>
              </w:rPr>
            </w:pPr>
            <w:r w:rsidRPr="00A90A29">
              <w:rPr>
                <w:sz w:val="20"/>
                <w:szCs w:val="20"/>
              </w:rPr>
              <w:t>Diana Bast</w:t>
            </w:r>
          </w:p>
        </w:tc>
        <w:tc>
          <w:tcPr>
            <w:tcW w:w="1139" w:type="dxa"/>
          </w:tcPr>
          <w:p w14:paraId="664E5C71"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9</w:t>
            </w:r>
          </w:p>
        </w:tc>
        <w:tc>
          <w:tcPr>
            <w:tcW w:w="1194" w:type="dxa"/>
          </w:tcPr>
          <w:p w14:paraId="673D394F"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32CC78DF"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945CF70"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A28F854" w14:textId="77777777" w:rsidTr="00600C17">
        <w:trPr>
          <w:trHeight w:val="257"/>
          <w:jc w:val="center"/>
        </w:trPr>
        <w:tc>
          <w:tcPr>
            <w:tcW w:w="2393" w:type="dxa"/>
          </w:tcPr>
          <w:p w14:paraId="7F25DB9B" w14:textId="77777777" w:rsidR="00A90A29" w:rsidRPr="00A90A29" w:rsidRDefault="00A90A29" w:rsidP="00A90A29">
            <w:pPr>
              <w:pStyle w:val="TableFigure"/>
              <w:spacing w:before="0" w:line="240" w:lineRule="auto"/>
              <w:rPr>
                <w:sz w:val="20"/>
                <w:szCs w:val="20"/>
              </w:rPr>
            </w:pPr>
            <w:r w:rsidRPr="00A90A29">
              <w:rPr>
                <w:sz w:val="20"/>
                <w:szCs w:val="20"/>
              </w:rPr>
              <w:t>Colin Harte</w:t>
            </w:r>
          </w:p>
        </w:tc>
        <w:tc>
          <w:tcPr>
            <w:tcW w:w="1139" w:type="dxa"/>
          </w:tcPr>
          <w:p w14:paraId="6A66C78F"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9</w:t>
            </w:r>
          </w:p>
        </w:tc>
        <w:tc>
          <w:tcPr>
            <w:tcW w:w="1194" w:type="dxa"/>
          </w:tcPr>
          <w:p w14:paraId="0402BBB4"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77E79A7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0B1CC7C8"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0094CD0B" w14:textId="77777777" w:rsidTr="00600C17">
        <w:trPr>
          <w:trHeight w:val="257"/>
          <w:jc w:val="center"/>
        </w:trPr>
        <w:tc>
          <w:tcPr>
            <w:tcW w:w="2393" w:type="dxa"/>
          </w:tcPr>
          <w:p w14:paraId="40CBA2F4" w14:textId="77777777" w:rsidR="00A90A29" w:rsidRPr="00A90A29" w:rsidRDefault="00A90A29" w:rsidP="00A90A29">
            <w:pPr>
              <w:pStyle w:val="TableFigure"/>
              <w:spacing w:before="0" w:line="240" w:lineRule="auto"/>
              <w:rPr>
                <w:sz w:val="20"/>
                <w:szCs w:val="20"/>
              </w:rPr>
            </w:pPr>
            <w:r w:rsidRPr="00A90A29">
              <w:rPr>
                <w:sz w:val="20"/>
                <w:szCs w:val="20"/>
              </w:rPr>
              <w:t>Ian Hussey</w:t>
            </w:r>
          </w:p>
        </w:tc>
        <w:tc>
          <w:tcPr>
            <w:tcW w:w="1139" w:type="dxa"/>
          </w:tcPr>
          <w:p w14:paraId="5F374ED1"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9</w:t>
            </w:r>
          </w:p>
        </w:tc>
        <w:tc>
          <w:tcPr>
            <w:tcW w:w="1194" w:type="dxa"/>
          </w:tcPr>
          <w:p w14:paraId="67D7A282"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6%</w:t>
            </w:r>
          </w:p>
        </w:tc>
        <w:tc>
          <w:tcPr>
            <w:tcW w:w="873" w:type="dxa"/>
          </w:tcPr>
          <w:p w14:paraId="5682355C"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C45E5FC"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10A10C29" w14:textId="77777777" w:rsidTr="00600C17">
        <w:trPr>
          <w:trHeight w:val="257"/>
          <w:jc w:val="center"/>
        </w:trPr>
        <w:tc>
          <w:tcPr>
            <w:tcW w:w="2393" w:type="dxa"/>
          </w:tcPr>
          <w:p w14:paraId="678ABFF6" w14:textId="77777777" w:rsidR="00A90A29" w:rsidRPr="00A90A29" w:rsidRDefault="00A90A29" w:rsidP="00A90A29">
            <w:pPr>
              <w:pStyle w:val="TableFigure"/>
              <w:spacing w:before="0" w:line="240" w:lineRule="auto"/>
              <w:rPr>
                <w:sz w:val="20"/>
                <w:szCs w:val="20"/>
              </w:rPr>
            </w:pPr>
            <w:r w:rsidRPr="00A90A29">
              <w:rPr>
                <w:sz w:val="20"/>
                <w:szCs w:val="20"/>
              </w:rPr>
              <w:t>Julio de Rose</w:t>
            </w:r>
          </w:p>
        </w:tc>
        <w:tc>
          <w:tcPr>
            <w:tcW w:w="1139" w:type="dxa"/>
          </w:tcPr>
          <w:p w14:paraId="50F33D93"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w:t>
            </w:r>
          </w:p>
        </w:tc>
        <w:tc>
          <w:tcPr>
            <w:tcW w:w="1194" w:type="dxa"/>
          </w:tcPr>
          <w:p w14:paraId="1E8E035A"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49234A18"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69DE4F9C"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r>
      <w:tr w:rsidR="00A90A29" w:rsidRPr="00A90A29" w14:paraId="79BAA935" w14:textId="77777777" w:rsidTr="00600C17">
        <w:trPr>
          <w:trHeight w:val="257"/>
          <w:jc w:val="center"/>
        </w:trPr>
        <w:tc>
          <w:tcPr>
            <w:tcW w:w="2393" w:type="dxa"/>
          </w:tcPr>
          <w:p w14:paraId="0D5C375F" w14:textId="77777777" w:rsidR="00A90A29" w:rsidRPr="00A90A29" w:rsidRDefault="00A90A29" w:rsidP="00A90A29">
            <w:pPr>
              <w:pStyle w:val="TableFigure"/>
              <w:spacing w:before="0" w:line="240" w:lineRule="auto"/>
              <w:rPr>
                <w:sz w:val="20"/>
                <w:szCs w:val="20"/>
              </w:rPr>
            </w:pPr>
            <w:r w:rsidRPr="00A90A29">
              <w:rPr>
                <w:sz w:val="20"/>
                <w:szCs w:val="20"/>
              </w:rPr>
              <w:t>Sean Hughes</w:t>
            </w:r>
          </w:p>
        </w:tc>
        <w:tc>
          <w:tcPr>
            <w:tcW w:w="1139" w:type="dxa"/>
          </w:tcPr>
          <w:p w14:paraId="25C4ED03"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w:t>
            </w:r>
          </w:p>
        </w:tc>
        <w:tc>
          <w:tcPr>
            <w:tcW w:w="1194" w:type="dxa"/>
          </w:tcPr>
          <w:p w14:paraId="0EC55A18"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441E019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4E2EF004"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4FB90E24" w14:textId="77777777" w:rsidTr="00600C17">
        <w:trPr>
          <w:trHeight w:val="257"/>
          <w:jc w:val="center"/>
        </w:trPr>
        <w:tc>
          <w:tcPr>
            <w:tcW w:w="2393" w:type="dxa"/>
          </w:tcPr>
          <w:p w14:paraId="08FA5BB4" w14:textId="77777777" w:rsidR="00A90A29" w:rsidRPr="00A90A29" w:rsidRDefault="00A90A29" w:rsidP="00A90A29">
            <w:pPr>
              <w:pStyle w:val="TableFigure"/>
              <w:spacing w:before="0" w:line="240" w:lineRule="auto"/>
              <w:rPr>
                <w:sz w:val="20"/>
                <w:szCs w:val="20"/>
              </w:rPr>
            </w:pPr>
            <w:r w:rsidRPr="00A90A29">
              <w:rPr>
                <w:sz w:val="20"/>
                <w:szCs w:val="20"/>
              </w:rPr>
              <w:t>Louise McHugh</w:t>
            </w:r>
          </w:p>
        </w:tc>
        <w:tc>
          <w:tcPr>
            <w:tcW w:w="1139" w:type="dxa"/>
          </w:tcPr>
          <w:p w14:paraId="079CCF34"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7</w:t>
            </w:r>
          </w:p>
        </w:tc>
        <w:tc>
          <w:tcPr>
            <w:tcW w:w="1194" w:type="dxa"/>
          </w:tcPr>
          <w:p w14:paraId="25C5A3F5"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2A2FABF9"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01E52B41"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74B20CD4" w14:textId="77777777" w:rsidTr="00600C17">
        <w:trPr>
          <w:trHeight w:val="257"/>
          <w:jc w:val="center"/>
        </w:trPr>
        <w:tc>
          <w:tcPr>
            <w:tcW w:w="2393" w:type="dxa"/>
          </w:tcPr>
          <w:p w14:paraId="09605765" w14:textId="77777777" w:rsidR="00A90A29" w:rsidRPr="00A90A29" w:rsidRDefault="00A90A29" w:rsidP="00A90A29">
            <w:pPr>
              <w:pStyle w:val="TableFigure"/>
              <w:spacing w:before="0" w:line="240" w:lineRule="auto"/>
              <w:rPr>
                <w:sz w:val="20"/>
                <w:szCs w:val="20"/>
              </w:rPr>
            </w:pPr>
            <w:r w:rsidRPr="00A90A29">
              <w:rPr>
                <w:sz w:val="20"/>
                <w:szCs w:val="20"/>
              </w:rPr>
              <w:t xml:space="preserve">Renato </w:t>
            </w:r>
            <w:proofErr w:type="spellStart"/>
            <w:r w:rsidRPr="00A90A29">
              <w:rPr>
                <w:sz w:val="20"/>
                <w:szCs w:val="20"/>
              </w:rPr>
              <w:t>Bortoloti</w:t>
            </w:r>
            <w:proofErr w:type="spellEnd"/>
          </w:p>
        </w:tc>
        <w:tc>
          <w:tcPr>
            <w:tcW w:w="1139" w:type="dxa"/>
          </w:tcPr>
          <w:p w14:paraId="50057FC7"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7E03D712"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745ECF50"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744420FA"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r>
      <w:tr w:rsidR="00A90A29" w:rsidRPr="00A90A29" w14:paraId="71577D60" w14:textId="77777777" w:rsidTr="00600C17">
        <w:trPr>
          <w:trHeight w:val="257"/>
          <w:jc w:val="center"/>
        </w:trPr>
        <w:tc>
          <w:tcPr>
            <w:tcW w:w="2393" w:type="dxa"/>
          </w:tcPr>
          <w:p w14:paraId="6DA32483" w14:textId="77777777" w:rsidR="00A90A29" w:rsidRPr="00A90A29" w:rsidRDefault="00A90A29" w:rsidP="00A90A29">
            <w:pPr>
              <w:pStyle w:val="TableFigure"/>
              <w:spacing w:before="0" w:line="240" w:lineRule="auto"/>
              <w:rPr>
                <w:sz w:val="20"/>
                <w:szCs w:val="20"/>
              </w:rPr>
            </w:pPr>
            <w:r w:rsidRPr="00A90A29">
              <w:rPr>
                <w:sz w:val="20"/>
                <w:szCs w:val="20"/>
              </w:rPr>
              <w:t>João Henrique de Almeida</w:t>
            </w:r>
          </w:p>
        </w:tc>
        <w:tc>
          <w:tcPr>
            <w:tcW w:w="1139" w:type="dxa"/>
          </w:tcPr>
          <w:p w14:paraId="26BCAD67"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2F550CFB"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6CDFB460"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D17B3BF"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69B280A" w14:textId="77777777" w:rsidTr="00600C17">
        <w:trPr>
          <w:trHeight w:val="257"/>
          <w:jc w:val="center"/>
        </w:trPr>
        <w:tc>
          <w:tcPr>
            <w:tcW w:w="2393" w:type="dxa"/>
          </w:tcPr>
          <w:p w14:paraId="4471C7A8" w14:textId="77777777" w:rsidR="00A90A29" w:rsidRPr="00A90A29" w:rsidRDefault="00A90A29" w:rsidP="00A90A29">
            <w:pPr>
              <w:pStyle w:val="TableFigure"/>
              <w:spacing w:before="0" w:line="240" w:lineRule="auto"/>
              <w:rPr>
                <w:sz w:val="20"/>
                <w:szCs w:val="20"/>
              </w:rPr>
            </w:pPr>
            <w:r w:rsidRPr="00A90A29">
              <w:rPr>
                <w:sz w:val="20"/>
                <w:szCs w:val="20"/>
              </w:rPr>
              <w:t>Chad E. Drake</w:t>
            </w:r>
          </w:p>
        </w:tc>
        <w:tc>
          <w:tcPr>
            <w:tcW w:w="1139" w:type="dxa"/>
          </w:tcPr>
          <w:p w14:paraId="5C055491"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538A2507"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75BB5C06"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2FC65442"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r>
      <w:tr w:rsidR="00A90A29" w:rsidRPr="00A90A29" w14:paraId="30291086" w14:textId="77777777" w:rsidTr="00600C17">
        <w:trPr>
          <w:trHeight w:val="251"/>
          <w:jc w:val="center"/>
        </w:trPr>
        <w:tc>
          <w:tcPr>
            <w:tcW w:w="2393" w:type="dxa"/>
          </w:tcPr>
          <w:p w14:paraId="695BED15" w14:textId="77777777" w:rsidR="00A90A29" w:rsidRPr="00A90A29" w:rsidRDefault="00A90A29" w:rsidP="00A90A29">
            <w:pPr>
              <w:pStyle w:val="TableFigure"/>
              <w:spacing w:before="0" w:line="240" w:lineRule="auto"/>
              <w:rPr>
                <w:sz w:val="20"/>
                <w:szCs w:val="20"/>
              </w:rPr>
            </w:pPr>
            <w:r w:rsidRPr="00A90A29">
              <w:rPr>
                <w:sz w:val="20"/>
                <w:szCs w:val="20"/>
              </w:rPr>
              <w:t>Deirdre Kavanagh</w:t>
            </w:r>
          </w:p>
        </w:tc>
        <w:tc>
          <w:tcPr>
            <w:tcW w:w="1139" w:type="dxa"/>
          </w:tcPr>
          <w:p w14:paraId="06A33C96"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3F5806EE"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2F0EBA65"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31177A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03AFDC85" w14:textId="77777777" w:rsidTr="00600C17">
        <w:trPr>
          <w:trHeight w:val="257"/>
          <w:jc w:val="center"/>
        </w:trPr>
        <w:tc>
          <w:tcPr>
            <w:tcW w:w="2393" w:type="dxa"/>
          </w:tcPr>
          <w:p w14:paraId="326BB501" w14:textId="77777777" w:rsidR="00A90A29" w:rsidRPr="00A90A29" w:rsidRDefault="00A90A29" w:rsidP="00A90A29">
            <w:pPr>
              <w:pStyle w:val="TableFigure"/>
              <w:spacing w:before="0" w:line="240" w:lineRule="auto"/>
              <w:rPr>
                <w:sz w:val="20"/>
                <w:szCs w:val="20"/>
              </w:rPr>
            </w:pPr>
            <w:r w:rsidRPr="00A90A29">
              <w:rPr>
                <w:sz w:val="20"/>
                <w:szCs w:val="20"/>
              </w:rPr>
              <w:t>Emma Nicholson</w:t>
            </w:r>
          </w:p>
        </w:tc>
        <w:tc>
          <w:tcPr>
            <w:tcW w:w="1139" w:type="dxa"/>
          </w:tcPr>
          <w:p w14:paraId="690BB669"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6</w:t>
            </w:r>
          </w:p>
        </w:tc>
        <w:tc>
          <w:tcPr>
            <w:tcW w:w="1194" w:type="dxa"/>
          </w:tcPr>
          <w:p w14:paraId="0161CC31"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4%</w:t>
            </w:r>
          </w:p>
        </w:tc>
        <w:tc>
          <w:tcPr>
            <w:tcW w:w="873" w:type="dxa"/>
          </w:tcPr>
          <w:p w14:paraId="1FE31273"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6547846B"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1FC2D71" w14:textId="77777777" w:rsidTr="00600C17">
        <w:trPr>
          <w:trHeight w:val="257"/>
          <w:jc w:val="center"/>
        </w:trPr>
        <w:tc>
          <w:tcPr>
            <w:tcW w:w="2393" w:type="dxa"/>
          </w:tcPr>
          <w:p w14:paraId="0CAB9BCF" w14:textId="77777777" w:rsidR="00A90A29" w:rsidRPr="00A90A29" w:rsidRDefault="00A90A29" w:rsidP="00A90A29">
            <w:pPr>
              <w:pStyle w:val="TableFigure"/>
              <w:spacing w:before="0" w:line="240" w:lineRule="auto"/>
              <w:rPr>
                <w:sz w:val="20"/>
                <w:szCs w:val="20"/>
              </w:rPr>
            </w:pPr>
            <w:r w:rsidRPr="00A90A29">
              <w:rPr>
                <w:sz w:val="20"/>
                <w:szCs w:val="20"/>
              </w:rPr>
              <w:t>Lynn Farrell</w:t>
            </w:r>
          </w:p>
        </w:tc>
        <w:tc>
          <w:tcPr>
            <w:tcW w:w="1139" w:type="dxa"/>
          </w:tcPr>
          <w:p w14:paraId="2E84FE3C"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5</w:t>
            </w:r>
          </w:p>
        </w:tc>
        <w:tc>
          <w:tcPr>
            <w:tcW w:w="1194" w:type="dxa"/>
          </w:tcPr>
          <w:p w14:paraId="3F1A19D1"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3%</w:t>
            </w:r>
          </w:p>
        </w:tc>
        <w:tc>
          <w:tcPr>
            <w:tcW w:w="873" w:type="dxa"/>
          </w:tcPr>
          <w:p w14:paraId="675D2E7B" w14:textId="77777777" w:rsidR="00A90A29" w:rsidRPr="00A90A29" w:rsidRDefault="00A90A29" w:rsidP="00A90A29">
            <w:pPr>
              <w:pStyle w:val="TableFigure"/>
              <w:spacing w:before="0" w:line="240" w:lineRule="auto"/>
              <w:jc w:val="center"/>
              <w:rPr>
                <w:sz w:val="20"/>
                <w:szCs w:val="20"/>
              </w:rPr>
            </w:pPr>
            <w:r w:rsidRPr="00A90A29">
              <w:rPr>
                <w:sz w:val="20"/>
                <w:szCs w:val="20"/>
              </w:rPr>
              <w:t>No</w:t>
            </w:r>
          </w:p>
        </w:tc>
        <w:tc>
          <w:tcPr>
            <w:tcW w:w="1061" w:type="dxa"/>
          </w:tcPr>
          <w:p w14:paraId="7CCD106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E551BEC" w14:textId="77777777" w:rsidTr="00600C17">
        <w:trPr>
          <w:trHeight w:val="257"/>
          <w:jc w:val="center"/>
        </w:trPr>
        <w:tc>
          <w:tcPr>
            <w:tcW w:w="2393" w:type="dxa"/>
          </w:tcPr>
          <w:p w14:paraId="22682E08" w14:textId="77777777" w:rsidR="00A90A29" w:rsidRPr="00A90A29" w:rsidRDefault="00A90A29" w:rsidP="00A90A29">
            <w:pPr>
              <w:pStyle w:val="TableFigure"/>
              <w:spacing w:before="0" w:line="240" w:lineRule="auto"/>
              <w:rPr>
                <w:sz w:val="20"/>
                <w:szCs w:val="20"/>
              </w:rPr>
            </w:pPr>
            <w:r w:rsidRPr="00A90A29">
              <w:rPr>
                <w:sz w:val="20"/>
                <w:szCs w:val="20"/>
              </w:rPr>
              <w:t>Martin Finn</w:t>
            </w:r>
          </w:p>
        </w:tc>
        <w:tc>
          <w:tcPr>
            <w:tcW w:w="1139" w:type="dxa"/>
          </w:tcPr>
          <w:p w14:paraId="11BAA48D"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5</w:t>
            </w:r>
          </w:p>
        </w:tc>
        <w:tc>
          <w:tcPr>
            <w:tcW w:w="1194" w:type="dxa"/>
          </w:tcPr>
          <w:p w14:paraId="40477F2D"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3%</w:t>
            </w:r>
          </w:p>
        </w:tc>
        <w:tc>
          <w:tcPr>
            <w:tcW w:w="873" w:type="dxa"/>
          </w:tcPr>
          <w:p w14:paraId="11E6C5E8"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5D42FF9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r w:rsidR="00A90A29" w:rsidRPr="00A90A29" w14:paraId="644C3212" w14:textId="77777777" w:rsidTr="00600C17">
        <w:trPr>
          <w:trHeight w:val="257"/>
          <w:jc w:val="center"/>
        </w:trPr>
        <w:tc>
          <w:tcPr>
            <w:tcW w:w="2393" w:type="dxa"/>
          </w:tcPr>
          <w:p w14:paraId="521D3088" w14:textId="77777777" w:rsidR="00A90A29" w:rsidRPr="00A90A29" w:rsidRDefault="00A90A29" w:rsidP="00A90A29">
            <w:pPr>
              <w:pStyle w:val="TableFigure"/>
              <w:spacing w:before="0" w:line="240" w:lineRule="auto"/>
              <w:rPr>
                <w:sz w:val="20"/>
                <w:szCs w:val="20"/>
              </w:rPr>
            </w:pPr>
            <w:r w:rsidRPr="00A90A29">
              <w:rPr>
                <w:sz w:val="20"/>
                <w:szCs w:val="20"/>
              </w:rPr>
              <w:t>Aileen Leech</w:t>
            </w:r>
          </w:p>
        </w:tc>
        <w:tc>
          <w:tcPr>
            <w:tcW w:w="1139" w:type="dxa"/>
          </w:tcPr>
          <w:p w14:paraId="44DBBEBA" w14:textId="77777777" w:rsidR="00A90A29" w:rsidRPr="00A90A29" w:rsidRDefault="00A90A29" w:rsidP="00A90A29">
            <w:pPr>
              <w:pStyle w:val="TableFigure"/>
              <w:tabs>
                <w:tab w:val="decimal" w:pos="551"/>
              </w:tabs>
              <w:spacing w:before="0" w:line="240" w:lineRule="auto"/>
              <w:rPr>
                <w:sz w:val="20"/>
                <w:szCs w:val="20"/>
              </w:rPr>
            </w:pPr>
            <w:r w:rsidRPr="00A90A29">
              <w:rPr>
                <w:sz w:val="20"/>
                <w:szCs w:val="20"/>
              </w:rPr>
              <w:t>5</w:t>
            </w:r>
          </w:p>
        </w:tc>
        <w:tc>
          <w:tcPr>
            <w:tcW w:w="1194" w:type="dxa"/>
          </w:tcPr>
          <w:p w14:paraId="3D30BFEF" w14:textId="77777777" w:rsidR="00A90A29" w:rsidRPr="00A90A29" w:rsidRDefault="00A90A29" w:rsidP="00A90A29">
            <w:pPr>
              <w:pStyle w:val="TableFigure"/>
              <w:tabs>
                <w:tab w:val="decimal" w:pos="518"/>
              </w:tabs>
              <w:spacing w:before="0" w:line="240" w:lineRule="auto"/>
              <w:rPr>
                <w:sz w:val="20"/>
                <w:szCs w:val="20"/>
              </w:rPr>
            </w:pPr>
            <w:r w:rsidRPr="00A90A29">
              <w:rPr>
                <w:sz w:val="20"/>
                <w:szCs w:val="20"/>
              </w:rPr>
              <w:t>3%</w:t>
            </w:r>
          </w:p>
        </w:tc>
        <w:tc>
          <w:tcPr>
            <w:tcW w:w="873" w:type="dxa"/>
          </w:tcPr>
          <w:p w14:paraId="12400FEA"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c>
          <w:tcPr>
            <w:tcW w:w="1061" w:type="dxa"/>
          </w:tcPr>
          <w:p w14:paraId="3EAF408D" w14:textId="77777777" w:rsidR="00A90A29" w:rsidRPr="00A90A29" w:rsidRDefault="00A90A29" w:rsidP="00A90A29">
            <w:pPr>
              <w:pStyle w:val="TableFigure"/>
              <w:spacing w:before="0" w:line="240" w:lineRule="auto"/>
              <w:jc w:val="center"/>
              <w:rPr>
                <w:sz w:val="20"/>
                <w:szCs w:val="20"/>
              </w:rPr>
            </w:pPr>
            <w:r w:rsidRPr="00A90A29">
              <w:rPr>
                <w:sz w:val="20"/>
                <w:szCs w:val="20"/>
              </w:rPr>
              <w:t>Yes</w:t>
            </w:r>
          </w:p>
        </w:tc>
      </w:tr>
    </w:tbl>
    <w:p w14:paraId="451A9AFE" w14:textId="77777777" w:rsidR="0089030B" w:rsidRPr="001A733A" w:rsidRDefault="0089030B" w:rsidP="00A90A29">
      <w:pPr>
        <w:ind w:firstLine="0"/>
      </w:pPr>
    </w:p>
    <w:p w14:paraId="55A20490" w14:textId="77777777" w:rsidR="0089030B" w:rsidRPr="001A733A" w:rsidRDefault="0089030B" w:rsidP="00DE698B"/>
    <w:p w14:paraId="07E77276" w14:textId="28B8D3CC" w:rsidR="0089030B" w:rsidRPr="001A733A" w:rsidRDefault="0089030B" w:rsidP="00DE698B">
      <w:pPr>
        <w:sectPr w:rsidR="0089030B" w:rsidRPr="001A733A" w:rsidSect="001A733A">
          <w:type w:val="continuous"/>
          <w:pgSz w:w="11900" w:h="16840"/>
          <w:pgMar w:top="1440" w:right="1440" w:bottom="1440" w:left="1440" w:header="708" w:footer="708" w:gutter="0"/>
          <w:cols w:space="200"/>
          <w:docGrid w:linePitch="360"/>
        </w:sectPr>
      </w:pPr>
    </w:p>
    <w:p w14:paraId="1EBB940B" w14:textId="77777777" w:rsidR="00C3738D" w:rsidRPr="001A733A" w:rsidRDefault="00C3738D" w:rsidP="00DE698B">
      <w:pPr>
        <w:pStyle w:val="Heading1"/>
      </w:pPr>
      <w:r w:rsidRPr="001A733A">
        <w:t>Barnes-Holmes cannot have lost control of his creation because he produced most of the literature</w:t>
      </w:r>
    </w:p>
    <w:p w14:paraId="1D2B2724" w14:textId="77777777" w:rsidR="00C3738D" w:rsidRPr="001A733A" w:rsidRDefault="00C3738D" w:rsidP="0063082D">
      <w:pPr>
        <w:jc w:val="left"/>
      </w:pPr>
      <w:r w:rsidRPr="001A733A">
        <w:t>Claim 2: “the creator of the IRAP seemingly lost control of his creation as the procedure became almost exclusively employed as a measure of implicit cognition” (Barnes-Holmes &amp; Harte, 2022, p. 2). The implication here is that researchers other than Barnes-Holmes used the task extensively by others, perhaps in ways not intended by its creator. Putting aside the question of how it was used (i.e., given that the previous section shows that it was consistently described as an implicit measure), this claim can be easily tested by examining the authorship of IRAP publications. If Barnes-Holmes &amp; Harte’s (2022) claim that Barnes-Holmes “lost control” of the task is valid, then the task would have to have seen extensive use by others.</w:t>
      </w:r>
    </w:p>
    <w:p w14:paraId="1F2E2A35" w14:textId="7D3361C5" w:rsidR="00DA562F" w:rsidRPr="001A733A" w:rsidRDefault="00C3738D" w:rsidP="0063082D">
      <w:pPr>
        <w:jc w:val="left"/>
      </w:pPr>
      <w:r w:rsidRPr="001A733A">
        <w:t xml:space="preserve">These publications included 289 individual authors. The median number of publications per author was 1, with low variation (Median Absolute Deviation = 0). This demonstrates that the modal researcher who uses the IRAP uses it just once. To understand repeat users of the task, I extracted all researchers with at least five publications using the IRAP. Twenty such researchers were found (see Table 1). Results demonstrated that Dermot Barnes-Holmes was a co-author of 48% of all IRAP publications between 2006 and 2022. Of these twenty frequent users of the IRAP, one was Dermot Barnes-Holmes himself, fifteen were his current and </w:t>
      </w:r>
      <w:r w:rsidR="00DA562F" w:rsidRPr="001A733A">
        <w:t>former students, and one was one of his former student’s students. Only three individuals (15%) who have frequently published IRAP studies did not come from Barnes-Holmes’s academic lineage. 71% of all IRAP publications included Barnes-Holmes, one of his students, or one of his students’ students as a co-author.</w:t>
      </w:r>
    </w:p>
    <w:p w14:paraId="779665A8" w14:textId="7935C75D" w:rsidR="004F23F5" w:rsidRPr="001A733A" w:rsidRDefault="004F23F5" w:rsidP="0063082D">
      <w:pPr>
        <w:jc w:val="left"/>
      </w:pPr>
      <w:r w:rsidRPr="001A733A">
        <w:t xml:space="preserve">Collectively, this analysis of the authorship patterns in the IRAP literature reduces the credibility of Barnes-Holmes &amp; Harte’s (2022) claim that the task’s creator lost control of the </w:t>
      </w:r>
      <w:r w:rsidRPr="001A733A">
        <w:lastRenderedPageBreak/>
        <w:t>IRAP and the implication that it was authors other than Barnes-Holmes that used the IRAP as an implicit measure.</w:t>
      </w:r>
    </w:p>
    <w:p w14:paraId="5FC6DDEF" w14:textId="77777777" w:rsidR="004F23F5" w:rsidRPr="001A733A" w:rsidRDefault="004F23F5" w:rsidP="00DE698B">
      <w:pPr>
        <w:pStyle w:val="Heading1"/>
      </w:pPr>
      <w:r w:rsidRPr="001A733A">
        <w:t>The analogy with Frankenstein</w:t>
      </w:r>
    </w:p>
    <w:p w14:paraId="46FD98F8" w14:textId="3A5DB0A1" w:rsidR="003F5746" w:rsidRPr="001A733A" w:rsidRDefault="004F23F5" w:rsidP="0063082D">
      <w:pPr>
        <w:pStyle w:val="NormalWeb"/>
        <w:ind w:firstLine="720"/>
        <w:jc w:val="left"/>
        <w:rPr>
          <w:rFonts w:eastAsia="Times New Roman"/>
          <w:kern w:val="0"/>
          <w:lang w:eastAsia="zh-CN"/>
        </w:rPr>
      </w:pPr>
      <w:r w:rsidRPr="001A733A">
        <w:t xml:space="preserve">Barnes-Holmes &amp; Harte’s (2022) analogy between the IRAP and Frankenstein’s monster is instructive and worth exploring. They stated that “In Mary Shelley’s classic novel, Frankenstein (1818), we are presented with the case of a doctor who creates a living monster by successfully piecing together and reanimating body parts from different people. However, not long after the monster has been brought to </w:t>
      </w:r>
      <w:proofErr w:type="gramStart"/>
      <w:r w:rsidRPr="001A733A">
        <w:t>life</w:t>
      </w:r>
      <w:proofErr w:type="gramEnd"/>
      <w:r w:rsidRPr="001A733A">
        <w:t xml:space="preserve"> he becomes Dr. Frankenstein’s nemesis and eventually leads to their joint demise. … </w:t>
      </w:r>
      <w:r w:rsidRPr="001A733A">
        <w:rPr>
          <w:rFonts w:eastAsia="Times New Roman"/>
          <w:kern w:val="0"/>
          <w:lang w:eastAsia="zh-CN"/>
        </w:rPr>
        <w:t xml:space="preserve">However, as was the case with Dr. Frankenstein’s monster, the creator of the IRAP seemingly lost control of his creation as the procedure became almost exclusively employed as a measure of implicit cognition. … we hope that this story will not end in the same way that Shelley’s did. Rather we hope that </w:t>
      </w:r>
      <w:r w:rsidR="00BE2C3F" w:rsidRPr="001A733A">
        <w:rPr>
          <w:rFonts w:eastAsia="Times New Roman"/>
          <w:kern w:val="0"/>
          <w:lang w:eastAsia="zh-CN"/>
        </w:rPr>
        <w:t xml:space="preserve">the IRAP, unlike Frankenstein’s monster, will be tamed and refined into a better understood, more precise, functional-analytic tool” (pp. 1-2). This rendition of the novel’s plot and themes is a common and ironic misunderstanding: </w:t>
      </w:r>
      <w:r w:rsidR="00BE2C3F" w:rsidRPr="001A733A">
        <w:t xml:space="preserve">Shelly’s Frankenstein is a story about the follies of scientific ambition that is blind to responsibility. Through his </w:t>
      </w:r>
      <w:r w:rsidR="00DB5700" w:rsidRPr="001A733A">
        <w:t>labors</w:t>
      </w:r>
      <w:r w:rsidR="00BE2C3F" w:rsidRPr="001A733A">
        <w:t xml:space="preserve">, </w:t>
      </w:r>
      <w:r w:rsidR="00BE2C3F" w:rsidRPr="001A733A">
        <w:rPr>
          <w:rFonts w:eastAsia="Times New Roman"/>
          <w:kern w:val="0"/>
          <w:lang w:eastAsia="zh-CN"/>
        </w:rPr>
        <w:t>Victor Frankenstein</w:t>
      </w:r>
      <w:r w:rsidR="00BE2C3F" w:rsidRPr="001A733A">
        <w:t xml:space="preserve"> creates new life. But he does not lose control of the creature</w:t>
      </w:r>
      <w:r w:rsidR="0089116E" w:rsidRPr="001A733A">
        <w:t>:</w:t>
      </w:r>
      <w:r w:rsidR="00BE2C3F" w:rsidRPr="001A733A">
        <w:t xml:space="preserve"> he abandons and betrays it. The creature goes on to cause </w:t>
      </w:r>
      <w:r w:rsidR="00F04AEC" w:rsidRPr="001A733A">
        <w:t>carnage</w:t>
      </w:r>
      <w:r w:rsidR="00BE2C3F" w:rsidRPr="001A733A">
        <w:t xml:space="preserve">, but </w:t>
      </w:r>
      <w:r w:rsidR="00BE2C3F" w:rsidRPr="001A733A">
        <w:rPr>
          <w:rFonts w:eastAsia="Times New Roman"/>
          <w:kern w:val="0"/>
          <w:lang w:eastAsia="zh-CN"/>
        </w:rPr>
        <w:t>the ultimate cause of this damage is Frankenstein’s failure</w:t>
      </w:r>
      <w:r w:rsidR="004A3471" w:rsidRPr="001A733A">
        <w:rPr>
          <w:rFonts w:eastAsia="Times New Roman"/>
          <w:kern w:val="0"/>
          <w:lang w:eastAsia="zh-CN"/>
        </w:rPr>
        <w:t xml:space="preserve"> </w:t>
      </w:r>
      <w:r w:rsidR="00BE2C3F" w:rsidRPr="001A733A">
        <w:rPr>
          <w:rFonts w:eastAsia="Times New Roman"/>
          <w:kern w:val="0"/>
          <w:lang w:eastAsia="zh-CN"/>
        </w:rPr>
        <w:t>to stay true to his prior words or take responsibility for his influence</w:t>
      </w:r>
      <w:r w:rsidR="0032644B" w:rsidRPr="001A733A">
        <w:rPr>
          <w:rFonts w:eastAsia="Times New Roman"/>
          <w:kern w:val="0"/>
          <w:lang w:eastAsia="zh-CN"/>
        </w:rPr>
        <w:t xml:space="preserve"> over his creation</w:t>
      </w:r>
      <w:r w:rsidR="00BE2C3F" w:rsidRPr="001A733A">
        <w:rPr>
          <w:rFonts w:eastAsia="Times New Roman"/>
          <w:kern w:val="0"/>
          <w:lang w:eastAsia="zh-CN"/>
        </w:rPr>
        <w:t>.</w:t>
      </w:r>
    </w:p>
    <w:p w14:paraId="5BDA8131" w14:textId="054CDCDC" w:rsidR="00B12A48" w:rsidRPr="001A733A" w:rsidRDefault="00B12A48" w:rsidP="00DE698B">
      <w:pPr>
        <w:pStyle w:val="Heading1"/>
        <w:rPr>
          <w:rFonts w:eastAsia="Times New Roman"/>
          <w:kern w:val="0"/>
          <w:lang w:eastAsia="zh-CN"/>
        </w:rPr>
      </w:pPr>
      <w:r w:rsidRPr="001A733A">
        <w:t>Conclusion</w:t>
      </w:r>
    </w:p>
    <w:p w14:paraId="7959372F" w14:textId="274144B2" w:rsidR="000720C7" w:rsidRPr="005341B5" w:rsidRDefault="00BB12DC" w:rsidP="0063082D">
      <w:pPr>
        <w:pStyle w:val="NormalWeb"/>
        <w:ind w:firstLine="720"/>
        <w:jc w:val="left"/>
        <w:rPr>
          <w:lang w:eastAsia="zh-CN"/>
        </w:rPr>
      </w:pPr>
      <w:r w:rsidRPr="001A733A">
        <w:rPr>
          <w:lang w:eastAsia="zh-CN"/>
        </w:rPr>
        <w:t xml:space="preserve">Contrary to what Barnes-Holmes &amp; Harte (2022) claimed, </w:t>
      </w:r>
      <w:r w:rsidR="003C7B30" w:rsidRPr="001A733A">
        <w:rPr>
          <w:lang w:eastAsia="zh-CN"/>
        </w:rPr>
        <w:t>a systematic review of the published IRAP literature</w:t>
      </w:r>
      <w:r w:rsidRPr="001A733A">
        <w:rPr>
          <w:lang w:eastAsia="zh-CN"/>
        </w:rPr>
        <w:t xml:space="preserve"> show</w:t>
      </w:r>
      <w:r w:rsidR="00945663" w:rsidRPr="001A733A">
        <w:rPr>
          <w:lang w:eastAsia="zh-CN"/>
        </w:rPr>
        <w:t>ed</w:t>
      </w:r>
      <w:r w:rsidRPr="001A733A">
        <w:rPr>
          <w:lang w:eastAsia="zh-CN"/>
        </w:rPr>
        <w:t xml:space="preserve"> that, f</w:t>
      </w:r>
      <w:r w:rsidR="00D72946" w:rsidRPr="001A733A">
        <w:rPr>
          <w:lang w:eastAsia="zh-CN"/>
        </w:rPr>
        <w:t xml:space="preserve">rom its inception, Barnes-Holmes </w:t>
      </w:r>
      <w:r w:rsidRPr="001A733A">
        <w:rPr>
          <w:lang w:eastAsia="zh-CN"/>
        </w:rPr>
        <w:t>stated</w:t>
      </w:r>
      <w:r w:rsidR="00D72946" w:rsidRPr="001A733A">
        <w:rPr>
          <w:lang w:eastAsia="zh-CN"/>
        </w:rPr>
        <w:t xml:space="preserve"> that the IRAP was created </w:t>
      </w:r>
      <w:r w:rsidR="0042369B" w:rsidRPr="001A733A">
        <w:rPr>
          <w:lang w:eastAsia="zh-CN"/>
        </w:rPr>
        <w:t xml:space="preserve">and used </w:t>
      </w:r>
      <w:r w:rsidR="00D72946" w:rsidRPr="001A733A">
        <w:rPr>
          <w:lang w:eastAsia="zh-CN"/>
        </w:rPr>
        <w:t xml:space="preserve">as an implicit measure. </w:t>
      </w:r>
      <w:r w:rsidR="0042369B" w:rsidRPr="001A733A">
        <w:rPr>
          <w:lang w:eastAsia="zh-CN"/>
        </w:rPr>
        <w:t xml:space="preserve">Barnes-Holmes </w:t>
      </w:r>
      <w:r w:rsidR="00D72946" w:rsidRPr="001A733A">
        <w:rPr>
          <w:lang w:eastAsia="zh-CN"/>
        </w:rPr>
        <w:t xml:space="preserve">never ‘lost control’ of the task but </w:t>
      </w:r>
      <w:r w:rsidRPr="001A733A">
        <w:rPr>
          <w:lang w:eastAsia="zh-CN"/>
        </w:rPr>
        <w:t xml:space="preserve">rather </w:t>
      </w:r>
      <w:r w:rsidR="00D72946" w:rsidRPr="001A733A">
        <w:rPr>
          <w:lang w:eastAsia="zh-CN"/>
        </w:rPr>
        <w:t xml:space="preserve">has </w:t>
      </w:r>
      <w:r w:rsidR="00C009EF" w:rsidRPr="001A733A">
        <w:rPr>
          <w:lang w:eastAsia="zh-CN"/>
        </w:rPr>
        <w:t>continued</w:t>
      </w:r>
      <w:r w:rsidR="00D72946" w:rsidRPr="001A733A">
        <w:rPr>
          <w:lang w:eastAsia="zh-CN"/>
        </w:rPr>
        <w:t xml:space="preserve"> to be </w:t>
      </w:r>
      <w:r w:rsidR="00C009EF" w:rsidRPr="001A733A">
        <w:rPr>
          <w:lang w:eastAsia="zh-CN"/>
        </w:rPr>
        <w:t xml:space="preserve">the primary </w:t>
      </w:r>
      <w:r w:rsidR="00D72946" w:rsidRPr="001A733A">
        <w:rPr>
          <w:lang w:eastAsia="zh-CN"/>
        </w:rPr>
        <w:t xml:space="preserve">author of IRAP publications. </w:t>
      </w:r>
      <w:r w:rsidR="00457F7C" w:rsidRPr="001A733A">
        <w:rPr>
          <w:lang w:eastAsia="zh-CN"/>
        </w:rPr>
        <w:t xml:space="preserve">Barnes-Holmes </w:t>
      </w:r>
      <w:r w:rsidR="00457F7C" w:rsidRPr="001A733A">
        <w:rPr>
          <w:lang w:eastAsia="zh-CN"/>
        </w:rPr>
        <w:lastRenderedPageBreak/>
        <w:t xml:space="preserve">has </w:t>
      </w:r>
      <w:r w:rsidR="008F3D36" w:rsidRPr="001A733A">
        <w:rPr>
          <w:lang w:eastAsia="zh-CN"/>
        </w:rPr>
        <w:t xml:space="preserve">therefore </w:t>
      </w:r>
      <w:r w:rsidR="00457F7C" w:rsidRPr="001A733A">
        <w:rPr>
          <w:lang w:eastAsia="zh-CN"/>
        </w:rPr>
        <w:t>played a central role in the verbal community that establishe</w:t>
      </w:r>
      <w:r w:rsidR="00762BA9" w:rsidRPr="001A733A">
        <w:rPr>
          <w:lang w:eastAsia="zh-CN"/>
        </w:rPr>
        <w:t>s</w:t>
      </w:r>
      <w:r w:rsidR="00457F7C" w:rsidRPr="001A733A">
        <w:rPr>
          <w:lang w:eastAsia="zh-CN"/>
        </w:rPr>
        <w:t xml:space="preserve"> and maintain</w:t>
      </w:r>
      <w:r w:rsidR="00762BA9" w:rsidRPr="001A733A">
        <w:rPr>
          <w:lang w:eastAsia="zh-CN"/>
        </w:rPr>
        <w:t>s the</w:t>
      </w:r>
      <w:r w:rsidR="00457F7C" w:rsidRPr="001A733A">
        <w:rPr>
          <w:lang w:eastAsia="zh-CN"/>
        </w:rPr>
        <w:t xml:space="preserve"> </w:t>
      </w:r>
      <w:r w:rsidR="008B1E73" w:rsidRPr="001A733A">
        <w:rPr>
          <w:lang w:eastAsia="zh-CN"/>
        </w:rPr>
        <w:t xml:space="preserve">labelling </w:t>
      </w:r>
      <w:r w:rsidR="00457F7C" w:rsidRPr="001A733A">
        <w:rPr>
          <w:lang w:eastAsia="zh-CN"/>
        </w:rPr>
        <w:t>and us</w:t>
      </w:r>
      <w:r w:rsidR="00762BA9" w:rsidRPr="001A733A">
        <w:rPr>
          <w:lang w:eastAsia="zh-CN"/>
        </w:rPr>
        <w:t>e</w:t>
      </w:r>
      <w:r w:rsidR="00F447C8" w:rsidRPr="001A733A">
        <w:rPr>
          <w:lang w:eastAsia="zh-CN"/>
        </w:rPr>
        <w:t xml:space="preserve"> of</w:t>
      </w:r>
      <w:r w:rsidR="00457F7C" w:rsidRPr="001A733A">
        <w:rPr>
          <w:lang w:eastAsia="zh-CN"/>
        </w:rPr>
        <w:t xml:space="preserve"> the IRAP as an implicit measure.</w:t>
      </w:r>
      <w:r w:rsidR="003C7B30" w:rsidRPr="001A733A">
        <w:rPr>
          <w:lang w:eastAsia="zh-CN"/>
        </w:rPr>
        <w:t xml:space="preserve"> </w:t>
      </w:r>
      <w:r w:rsidR="00011F4F" w:rsidRPr="001A733A">
        <w:rPr>
          <w:lang w:eastAsia="zh-CN"/>
        </w:rPr>
        <w:t xml:space="preserve">Revisionism or obfuscation </w:t>
      </w:r>
      <w:r w:rsidR="004C75B2" w:rsidRPr="001A733A">
        <w:t xml:space="preserve">of the IRAP’s history and evolution </w:t>
      </w:r>
      <w:r w:rsidR="000E499B" w:rsidRPr="001A733A">
        <w:t xml:space="preserve">only </w:t>
      </w:r>
      <w:r w:rsidR="008B1E73" w:rsidRPr="001A733A">
        <w:t xml:space="preserve">serves to </w:t>
      </w:r>
      <w:r w:rsidR="00011F4F" w:rsidRPr="001A733A">
        <w:t>mislead readers</w:t>
      </w:r>
      <w:r w:rsidR="008B1E73" w:rsidRPr="001A733A">
        <w:t xml:space="preserve"> and </w:t>
      </w:r>
      <w:r w:rsidR="004C75B2" w:rsidRPr="001A733A">
        <w:t xml:space="preserve">further confuse </w:t>
      </w:r>
      <w:r w:rsidR="008B1E73" w:rsidRPr="001A733A">
        <w:t xml:space="preserve">the task’s </w:t>
      </w:r>
      <w:r w:rsidR="004C75B2" w:rsidRPr="001A733A">
        <w:t>purpose and potential utility.</w:t>
      </w:r>
      <w:r w:rsidR="00380D7D" w:rsidRPr="001A733A">
        <w:t xml:space="preserve"> </w:t>
      </w:r>
      <w:r w:rsidR="005B5E05" w:rsidRPr="001A733A">
        <w:t>Unfortunately, t</w:t>
      </w:r>
      <w:r w:rsidR="00607E33" w:rsidRPr="001A733A">
        <w:t xml:space="preserve">he credibility of </w:t>
      </w:r>
      <w:r w:rsidR="00CD4BEF" w:rsidRPr="001A733A">
        <w:t xml:space="preserve">Barnes-Holmes &amp; Harte’s (2022) vision for the future of </w:t>
      </w:r>
      <w:r w:rsidR="001D73A1" w:rsidRPr="001A733A">
        <w:t xml:space="preserve">the </w:t>
      </w:r>
      <w:r w:rsidR="00CD4BEF" w:rsidRPr="001A733A">
        <w:t xml:space="preserve">IRAP is undermined by their </w:t>
      </w:r>
      <w:r w:rsidR="00411861" w:rsidRPr="001A733A">
        <w:t>mischaracterization</w:t>
      </w:r>
      <w:r w:rsidR="00CD4BEF" w:rsidRPr="001A733A">
        <w:t xml:space="preserve"> of its past.</w:t>
      </w:r>
      <w:r w:rsidR="000720C7">
        <w:br w:type="page"/>
      </w:r>
    </w:p>
    <w:p w14:paraId="78A2F4B2" w14:textId="54B6D71C" w:rsidR="00273B32" w:rsidRDefault="00273B32" w:rsidP="00273B32">
      <w:pPr>
        <w:pStyle w:val="Heading1"/>
      </w:pPr>
      <w:r w:rsidRPr="00273B32">
        <w:lastRenderedPageBreak/>
        <w:t>Statements and Declarations</w:t>
      </w:r>
    </w:p>
    <w:p w14:paraId="1AED067D" w14:textId="3FF53C82" w:rsidR="00273B32" w:rsidRDefault="00273B32" w:rsidP="00273B32">
      <w:pPr>
        <w:pStyle w:val="Heading2"/>
      </w:pPr>
      <w:r>
        <w:t>Conflict of Interest</w:t>
      </w:r>
    </w:p>
    <w:p w14:paraId="2B1306F9" w14:textId="0B911D26" w:rsidR="00FE35A9" w:rsidRDefault="00FE35A9" w:rsidP="00273B32">
      <w:r w:rsidRPr="00FE35A9">
        <w:t xml:space="preserve">The author </w:t>
      </w:r>
      <w:r>
        <w:t xml:space="preserve">declares that he has </w:t>
      </w:r>
      <w:r w:rsidRPr="00FE35A9">
        <w:t>no relevant financial or non-financial interests to disclose.</w:t>
      </w:r>
    </w:p>
    <w:p w14:paraId="1800B8E7" w14:textId="5E1D186C" w:rsidR="00273B32" w:rsidRPr="00273B32" w:rsidRDefault="00273B32" w:rsidP="00273B32">
      <w:pPr>
        <w:pStyle w:val="Heading2"/>
      </w:pPr>
      <w:r>
        <w:t>Funding</w:t>
      </w:r>
    </w:p>
    <w:p w14:paraId="056723A5" w14:textId="7B272E03" w:rsidR="00273B32" w:rsidRPr="00273B32" w:rsidRDefault="005E29DB" w:rsidP="00273B32">
      <w:r>
        <w:t>This research</w:t>
      </w:r>
      <w:r w:rsidR="00273B32">
        <w:t xml:space="preserve"> was supported by the META-REP Priority Program of the German Research Foundation (#464488178).</w:t>
      </w:r>
    </w:p>
    <w:p w14:paraId="50285D09" w14:textId="644F8D0E" w:rsidR="00273B32" w:rsidRDefault="00273B32" w:rsidP="00273B32">
      <w:pPr>
        <w:pStyle w:val="Heading2"/>
      </w:pPr>
      <w:r>
        <w:t>Availability of data</w:t>
      </w:r>
      <w:r>
        <w:t>, code</w:t>
      </w:r>
      <w:r>
        <w:t xml:space="preserve"> and materials </w:t>
      </w:r>
    </w:p>
    <w:p w14:paraId="2B9183FE" w14:textId="19BF24A4" w:rsidR="00273B32" w:rsidRDefault="00273B32" w:rsidP="00273B32">
      <w:r>
        <w:t>All data</w:t>
      </w:r>
      <w:r w:rsidR="00FE35A9">
        <w:t>, code</w:t>
      </w:r>
      <w:r>
        <w:t xml:space="preserve"> and materials</w:t>
      </w:r>
      <w:r w:rsidR="00FE35A9">
        <w:t xml:space="preserve"> </w:t>
      </w:r>
      <w:r>
        <w:t>are available</w:t>
      </w:r>
      <w:r w:rsidR="00FE35A9">
        <w:t xml:space="preserve"> at </w:t>
      </w:r>
      <w:hyperlink r:id="rId12" w:history="1">
        <w:r w:rsidRPr="001A733A">
          <w:rPr>
            <w:rStyle w:val="Hyperlink"/>
          </w:rPr>
          <w:t>osf.io/3bp84</w:t>
        </w:r>
      </w:hyperlink>
      <w:r w:rsidRPr="001A733A">
        <w:t>.</w:t>
      </w:r>
    </w:p>
    <w:p w14:paraId="74944360" w14:textId="77777777" w:rsidR="00287120" w:rsidRDefault="00287120">
      <w:pPr>
        <w:spacing w:line="240" w:lineRule="auto"/>
        <w:ind w:firstLine="0"/>
        <w:jc w:val="left"/>
        <w:rPr>
          <w:rFonts w:eastAsiaTheme="majorEastAsia" w:cstheme="majorBidi"/>
          <w:b/>
          <w:bCs/>
        </w:rPr>
      </w:pPr>
      <w:r>
        <w:br w:type="page"/>
      </w:r>
    </w:p>
    <w:p w14:paraId="52E3079E" w14:textId="39B1C9B7" w:rsidR="00AD1F7D" w:rsidRPr="001A733A" w:rsidRDefault="00AD1F7D" w:rsidP="00DE698B">
      <w:pPr>
        <w:pStyle w:val="Heading1"/>
      </w:pPr>
      <w:r w:rsidRPr="001A733A">
        <w:lastRenderedPageBreak/>
        <w:t>References</w:t>
      </w:r>
    </w:p>
    <w:p w14:paraId="474265B5" w14:textId="77777777" w:rsidR="0002241A" w:rsidRPr="001A733A" w:rsidRDefault="00BB2EA8" w:rsidP="00127559">
      <w:pPr>
        <w:pStyle w:val="Bibliography"/>
      </w:pPr>
      <w:r w:rsidRPr="001A733A">
        <w:fldChar w:fldCharType="begin"/>
      </w:r>
      <w:r w:rsidR="0002241A" w:rsidRPr="001A733A">
        <w:instrText xml:space="preserve"> ADDIN ZOTERO_BIBL {"uncited":[],"omitted":[],"custom":[]} CSL_BIBLIOGRAPHY </w:instrText>
      </w:r>
      <w:r w:rsidRPr="001A733A">
        <w:fldChar w:fldCharType="separate"/>
      </w:r>
      <w:r w:rsidR="0002241A" w:rsidRPr="001A733A">
        <w:t xml:space="preserve">Barnes-Holmes, D., Barnes-Holmes, Y., Power, P., Hayden, E., Milne, R., &amp; Stewart, I. (2006). Do you really know what you believe? Developing the Implicit Relational Assessment Procedure (IRAP) as a direct measure of implicit beliefs. </w:t>
      </w:r>
      <w:r w:rsidR="0002241A" w:rsidRPr="001A733A">
        <w:rPr>
          <w:i/>
          <w:iCs/>
        </w:rPr>
        <w:t>The Irish Psychologist</w:t>
      </w:r>
      <w:r w:rsidR="0002241A" w:rsidRPr="001A733A">
        <w:t xml:space="preserve">, </w:t>
      </w:r>
      <w:r w:rsidR="0002241A" w:rsidRPr="001A733A">
        <w:rPr>
          <w:i/>
          <w:iCs/>
        </w:rPr>
        <w:t>32</w:t>
      </w:r>
      <w:r w:rsidR="0002241A" w:rsidRPr="001A733A">
        <w:t>(7), 169–177.</w:t>
      </w:r>
    </w:p>
    <w:p w14:paraId="5944B934" w14:textId="77777777" w:rsidR="0002241A" w:rsidRPr="001A733A" w:rsidRDefault="0002241A" w:rsidP="00127559">
      <w:pPr>
        <w:pStyle w:val="Bibliography"/>
      </w:pPr>
      <w:r w:rsidRPr="001A733A">
        <w:t xml:space="preserve">Barnes-Holmes, D., &amp; Harte, C. (2022). The IRAP as a Measure of Implicit Cognition: A Case of Frankenstein’s Monster. </w:t>
      </w:r>
      <w:r w:rsidRPr="001A733A">
        <w:rPr>
          <w:i/>
          <w:iCs/>
        </w:rPr>
        <w:t>Perspectives on Behavior Science</w:t>
      </w:r>
      <w:r w:rsidRPr="001A733A">
        <w:t>. https://doi.org/10.1007/s40614-022-00352-z</w:t>
      </w:r>
    </w:p>
    <w:p w14:paraId="3C81E1AC" w14:textId="77777777" w:rsidR="0002241A" w:rsidRPr="001A733A" w:rsidRDefault="0002241A" w:rsidP="00127559">
      <w:pPr>
        <w:pStyle w:val="Bibliography"/>
      </w:pPr>
      <w:r w:rsidRPr="001A733A">
        <w:t xml:space="preserve">Barnes-Holmes, D., Hayden, E., Barnes-Holmes, Y., &amp; Stewart, I. (2008). The Implicit Relational Assessment Procedure (IRAP) as a response-time and event-related-potentials methodology for testing natural verbal relations: A preliminary study. </w:t>
      </w:r>
      <w:r w:rsidRPr="001A733A">
        <w:rPr>
          <w:i/>
          <w:iCs/>
        </w:rPr>
        <w:t>The Psychological Record</w:t>
      </w:r>
      <w:r w:rsidRPr="001A733A">
        <w:t xml:space="preserve">, </w:t>
      </w:r>
      <w:r w:rsidRPr="001A733A">
        <w:rPr>
          <w:i/>
          <w:iCs/>
        </w:rPr>
        <w:t>58</w:t>
      </w:r>
      <w:r w:rsidRPr="001A733A">
        <w:t>(4), 497–516.</w:t>
      </w:r>
    </w:p>
    <w:p w14:paraId="5DBB5EE5" w14:textId="77777777" w:rsidR="0002241A" w:rsidRPr="001A733A" w:rsidRDefault="0002241A" w:rsidP="00127559">
      <w:pPr>
        <w:pStyle w:val="Bibliography"/>
      </w:pPr>
      <w:r w:rsidRPr="001A733A">
        <w:t xml:space="preserve">Barnes-Holmes, D., &amp; Hussey, I. (2016). The functional-cognitive meta-theoretical framework: Reflections, possible clarifications and how to move forward. </w:t>
      </w:r>
      <w:r w:rsidRPr="001A733A">
        <w:rPr>
          <w:i/>
          <w:iCs/>
        </w:rPr>
        <w:t>International Journal of Psychology</w:t>
      </w:r>
      <w:r w:rsidRPr="001A733A">
        <w:t xml:space="preserve">, </w:t>
      </w:r>
      <w:r w:rsidRPr="001A733A">
        <w:rPr>
          <w:i/>
          <w:iCs/>
        </w:rPr>
        <w:t>51</w:t>
      </w:r>
      <w:r w:rsidRPr="001A733A">
        <w:t>(1), 50–57. https://doi.org/10.1002/ijop.12166</w:t>
      </w:r>
    </w:p>
    <w:p w14:paraId="7834681B" w14:textId="77777777" w:rsidR="0002241A" w:rsidRPr="001A733A" w:rsidRDefault="0002241A" w:rsidP="00127559">
      <w:pPr>
        <w:pStyle w:val="Bibliography"/>
      </w:pPr>
      <w:r w:rsidRPr="001A733A">
        <w:t xml:space="preserve">Barnes-Holmes, D., Murphy, A., Barnes-Holmes, Y., &amp; Stewart, I. (2010). The Implicit Relational Assessment Procedure: Exploring the impact of private versus public contexts and the response latency criterion on pro-white and anti-black stereotyping among white Irish individuals. </w:t>
      </w:r>
      <w:r w:rsidRPr="001A733A">
        <w:rPr>
          <w:i/>
          <w:iCs/>
        </w:rPr>
        <w:t>The Psychological Record</w:t>
      </w:r>
      <w:r w:rsidRPr="001A733A">
        <w:t xml:space="preserve">, </w:t>
      </w:r>
      <w:r w:rsidRPr="001A733A">
        <w:rPr>
          <w:i/>
          <w:iCs/>
        </w:rPr>
        <w:t>60</w:t>
      </w:r>
      <w:r w:rsidRPr="001A733A">
        <w:t>, 57–66.</w:t>
      </w:r>
    </w:p>
    <w:p w14:paraId="0D8AC9C0" w14:textId="77777777" w:rsidR="0002241A" w:rsidRPr="001A733A" w:rsidRDefault="0002241A" w:rsidP="00127559">
      <w:pPr>
        <w:pStyle w:val="Bibliography"/>
      </w:pPr>
      <w:r w:rsidRPr="001A733A">
        <w:t xml:space="preserve">Barnes-Holmes, D., Waldron, D., Barnes-Holmes, Y., &amp; Stewart, I. (2009). Testing the validity of the Implicit Relational Assessment Procedure and the Implicit Association Test: Measuring attitudes toward Dublin and country life in Ireland. </w:t>
      </w:r>
      <w:r w:rsidRPr="001A733A">
        <w:rPr>
          <w:i/>
          <w:iCs/>
        </w:rPr>
        <w:t>The Psychological Record</w:t>
      </w:r>
      <w:r w:rsidRPr="001A733A">
        <w:t xml:space="preserve">, </w:t>
      </w:r>
      <w:r w:rsidRPr="001A733A">
        <w:rPr>
          <w:i/>
          <w:iCs/>
        </w:rPr>
        <w:t>59</w:t>
      </w:r>
      <w:r w:rsidRPr="001A733A">
        <w:t>(3), 389–406.</w:t>
      </w:r>
    </w:p>
    <w:p w14:paraId="206A7AA2" w14:textId="77777777" w:rsidR="0002241A" w:rsidRPr="001A733A" w:rsidRDefault="0002241A" w:rsidP="00127559">
      <w:pPr>
        <w:pStyle w:val="Bibliography"/>
      </w:pPr>
      <w:r w:rsidRPr="001A733A">
        <w:lastRenderedPageBreak/>
        <w:t xml:space="preserve">Campbell, C., Barnes-Holmes, D., Barnes-Holmes, Y., &amp; Stewart, I. (2011). Exploring Screen Presentations in the Implicit Relational Assessment Procedure (IRAP). </w:t>
      </w:r>
      <w:r w:rsidRPr="001A733A">
        <w:rPr>
          <w:i/>
          <w:iCs/>
        </w:rPr>
        <w:t>International Journal of Psychology &amp; Psychological Therapy</w:t>
      </w:r>
      <w:r w:rsidRPr="001A733A">
        <w:t xml:space="preserve">, </w:t>
      </w:r>
      <w:r w:rsidRPr="001A733A">
        <w:rPr>
          <w:i/>
          <w:iCs/>
        </w:rPr>
        <w:t>11</w:t>
      </w:r>
      <w:r w:rsidRPr="001A733A">
        <w:t>(3), 377–388.</w:t>
      </w:r>
    </w:p>
    <w:p w14:paraId="2FEF4EF3" w14:textId="77777777" w:rsidR="0002241A" w:rsidRPr="001A733A" w:rsidRDefault="0002241A" w:rsidP="00127559">
      <w:pPr>
        <w:pStyle w:val="Bibliography"/>
      </w:pPr>
      <w:r w:rsidRPr="001A733A">
        <w:t xml:space="preserve">Chan, G., Barnes-Holmes, D., Barnes-Holmes, Y., &amp; Stewart, I. (2009). Implicit attitudes to work and leisure among North American and Irish individuals: A preliminary study. </w:t>
      </w:r>
      <w:r w:rsidRPr="001A733A">
        <w:rPr>
          <w:i/>
          <w:iCs/>
        </w:rPr>
        <w:t>International Journal of Psychology &amp; Psychological Therapy</w:t>
      </w:r>
      <w:r w:rsidRPr="001A733A">
        <w:t xml:space="preserve">, </w:t>
      </w:r>
      <w:r w:rsidRPr="001A733A">
        <w:rPr>
          <w:i/>
          <w:iCs/>
        </w:rPr>
        <w:t>9</w:t>
      </w:r>
      <w:r w:rsidRPr="001A733A">
        <w:t>(3), 317–334.</w:t>
      </w:r>
    </w:p>
    <w:p w14:paraId="0AB49FAA" w14:textId="77777777" w:rsidR="0002241A" w:rsidRPr="001A733A" w:rsidRDefault="0002241A" w:rsidP="00127559">
      <w:pPr>
        <w:pStyle w:val="Bibliography"/>
      </w:pPr>
      <w:r w:rsidRPr="001A733A">
        <w:t xml:space="preserve">Cullen, C., &amp; Barnes-Holmes, D. (2008). Implicit pride and prejudice: A heterosexual phenomenon? In </w:t>
      </w:r>
      <w:r w:rsidRPr="001A733A">
        <w:rPr>
          <w:i/>
          <w:iCs/>
        </w:rPr>
        <w:t>The psychology of modern prejudice</w:t>
      </w:r>
      <w:r w:rsidRPr="001A733A">
        <w:t xml:space="preserve"> (pp. 195–223). Nova Science Publishers.</w:t>
      </w:r>
    </w:p>
    <w:p w14:paraId="4E5DF900" w14:textId="77777777" w:rsidR="0002241A" w:rsidRPr="001A733A" w:rsidRDefault="0002241A" w:rsidP="00127559">
      <w:pPr>
        <w:pStyle w:val="Bibliography"/>
      </w:pPr>
      <w:r w:rsidRPr="001A733A">
        <w:t xml:space="preserve">Cullen, C., Barnes-Holmes, D., Barnes-Holmes, Y., &amp; Stewart, I. (2009). The Implicit relational assessment procedure (IRAP) and the malleability of ageist attitudes. </w:t>
      </w:r>
      <w:r w:rsidRPr="001A733A">
        <w:rPr>
          <w:i/>
          <w:iCs/>
        </w:rPr>
        <w:t>The Psychological Record</w:t>
      </w:r>
      <w:r w:rsidRPr="001A733A">
        <w:t xml:space="preserve">, </w:t>
      </w:r>
      <w:r w:rsidRPr="001A733A">
        <w:rPr>
          <w:i/>
          <w:iCs/>
        </w:rPr>
        <w:t>59</w:t>
      </w:r>
      <w:r w:rsidRPr="001A733A">
        <w:t>(4), 591–620.</w:t>
      </w:r>
    </w:p>
    <w:p w14:paraId="06265057" w14:textId="77777777" w:rsidR="0002241A" w:rsidRPr="001A733A" w:rsidRDefault="0002241A" w:rsidP="00127559">
      <w:pPr>
        <w:pStyle w:val="Bibliography"/>
      </w:pPr>
      <w:r w:rsidRPr="001A733A">
        <w:t xml:space="preserve">Dawson, D. L., Barnes-Holmes, D., Gresswell, D. M., Hart, A. J., &amp; Gore, N. J. (2009). Assessing the implicit beliefs of sexual offenders using the implicit relational assessment procedure: A first study. </w:t>
      </w:r>
      <w:r w:rsidRPr="001A733A">
        <w:rPr>
          <w:i/>
          <w:iCs/>
        </w:rPr>
        <w:t>Sexual Abuse: Journal of Research and Treatment</w:t>
      </w:r>
      <w:r w:rsidRPr="001A733A">
        <w:t xml:space="preserve">, </w:t>
      </w:r>
      <w:r w:rsidRPr="001A733A">
        <w:rPr>
          <w:i/>
          <w:iCs/>
        </w:rPr>
        <w:t>21</w:t>
      </w:r>
      <w:r w:rsidRPr="001A733A">
        <w:t>(1), 57–75. https://doi.org/10.1177/1079063208326928</w:t>
      </w:r>
    </w:p>
    <w:p w14:paraId="06E4DD32" w14:textId="77777777" w:rsidR="0002241A" w:rsidRPr="001A733A" w:rsidRDefault="0002241A" w:rsidP="00127559">
      <w:pPr>
        <w:pStyle w:val="Bibliography"/>
      </w:pPr>
      <w:r w:rsidRPr="001A733A">
        <w:t xml:space="preserve">Greenwald, A. G., &amp; Lai, C. K. (2020). Implicit Social Cognition. </w:t>
      </w:r>
      <w:r w:rsidRPr="001A733A">
        <w:rPr>
          <w:i/>
          <w:iCs/>
        </w:rPr>
        <w:t>Annual Review of Psychology</w:t>
      </w:r>
      <w:r w:rsidRPr="001A733A">
        <w:t xml:space="preserve">, </w:t>
      </w:r>
      <w:r w:rsidRPr="001A733A">
        <w:rPr>
          <w:i/>
          <w:iCs/>
        </w:rPr>
        <w:t>71</w:t>
      </w:r>
      <w:r w:rsidRPr="001A733A">
        <w:t>(1), 419–445. https://doi.org/10.1146/annurev-psych-010419-050837</w:t>
      </w:r>
    </w:p>
    <w:p w14:paraId="15067480" w14:textId="77777777" w:rsidR="0002241A" w:rsidRPr="001A733A" w:rsidRDefault="0002241A" w:rsidP="00127559">
      <w:pPr>
        <w:pStyle w:val="Bibliography"/>
      </w:pPr>
      <w:r w:rsidRPr="001A733A">
        <w:t xml:space="preserve">Hussey, I., &amp; Barnes-Holmes, D. (2012). The implicit relational assessment procedure as a measure of implicit depression and the role of psychological flexibility. </w:t>
      </w:r>
      <w:r w:rsidRPr="001A733A">
        <w:rPr>
          <w:i/>
          <w:iCs/>
        </w:rPr>
        <w:t>Cognitive and Behavioral Practice</w:t>
      </w:r>
      <w:r w:rsidRPr="001A733A">
        <w:t xml:space="preserve">, </w:t>
      </w:r>
      <w:r w:rsidRPr="001A733A">
        <w:rPr>
          <w:i/>
          <w:iCs/>
        </w:rPr>
        <w:t>19</w:t>
      </w:r>
      <w:r w:rsidRPr="001A733A">
        <w:t>(4), 573–582. https://doi.org/10.1016/j.cbpra.2012.03.002</w:t>
      </w:r>
    </w:p>
    <w:p w14:paraId="33B001DB" w14:textId="77777777" w:rsidR="0002241A" w:rsidRPr="001A733A" w:rsidRDefault="0002241A" w:rsidP="00127559">
      <w:pPr>
        <w:pStyle w:val="Bibliography"/>
      </w:pPr>
      <w:r w:rsidRPr="001A733A">
        <w:t xml:space="preserve">Hussey, I., Barnes-Holmes, D., &amp; Booth, R. (2016). Individuals with current suicidal ideation demonstrate implicit “fearlessness of death.” </w:t>
      </w:r>
      <w:r w:rsidRPr="001A733A">
        <w:rPr>
          <w:i/>
          <w:iCs/>
        </w:rPr>
        <w:t>Journal of Behavior Therapy and Experimental Psychiatry</w:t>
      </w:r>
      <w:r w:rsidRPr="001A733A">
        <w:t xml:space="preserve">, </w:t>
      </w:r>
      <w:r w:rsidRPr="001A733A">
        <w:rPr>
          <w:i/>
          <w:iCs/>
        </w:rPr>
        <w:t>51</w:t>
      </w:r>
      <w:r w:rsidRPr="001A733A">
        <w:t>, 1–9. https://doi.org/10.1016/j.jbtep.2015.11.003</w:t>
      </w:r>
    </w:p>
    <w:p w14:paraId="0244009C" w14:textId="77777777" w:rsidR="0002241A" w:rsidRPr="001A733A" w:rsidRDefault="0002241A" w:rsidP="00127559">
      <w:pPr>
        <w:pStyle w:val="Bibliography"/>
      </w:pPr>
      <w:r w:rsidRPr="001A733A">
        <w:lastRenderedPageBreak/>
        <w:t xml:space="preserve">Hussey, I., &amp; Drake, C. E. (2020). The Implicit Relational Assessment Procedure demonstrates poor internal consistency and test-retest reliability: A meta-analysis. </w:t>
      </w:r>
      <w:r w:rsidRPr="001A733A">
        <w:rPr>
          <w:i/>
          <w:iCs/>
        </w:rPr>
        <w:t>Preprint</w:t>
      </w:r>
      <w:r w:rsidRPr="001A733A">
        <w:t>. https://doi.org/10.31234/osf.io/ge3k7</w:t>
      </w:r>
    </w:p>
    <w:p w14:paraId="05D8102E" w14:textId="77777777" w:rsidR="0002241A" w:rsidRPr="001A733A" w:rsidRDefault="0002241A" w:rsidP="00127559">
      <w:pPr>
        <w:pStyle w:val="Bibliography"/>
      </w:pPr>
      <w:r w:rsidRPr="001A733A">
        <w:t xml:space="preserve">Kelly, A., &amp; Barnes-Holmes, D. (2013). Implicit attitudes towards children with autism versus normally developing children as predictors of professional burnout and psychopathology. </w:t>
      </w:r>
      <w:r w:rsidRPr="001A733A">
        <w:rPr>
          <w:i/>
          <w:iCs/>
        </w:rPr>
        <w:t>Research in Developmental Disabilities</w:t>
      </w:r>
      <w:r w:rsidRPr="001A733A">
        <w:t xml:space="preserve">, </w:t>
      </w:r>
      <w:r w:rsidRPr="001A733A">
        <w:rPr>
          <w:i/>
          <w:iCs/>
        </w:rPr>
        <w:t>34</w:t>
      </w:r>
      <w:r w:rsidRPr="001A733A">
        <w:t>(1), 17–28.</w:t>
      </w:r>
    </w:p>
    <w:p w14:paraId="4CF16E55" w14:textId="77777777" w:rsidR="0002241A" w:rsidRPr="001A733A" w:rsidRDefault="0002241A" w:rsidP="00127559">
      <w:pPr>
        <w:pStyle w:val="Bibliography"/>
      </w:pPr>
      <w:r w:rsidRPr="001A733A">
        <w:t xml:space="preserve">McKenna, I. M., Barnes-Holmes, D., Barnes-Holmes, Y., &amp; Stewart, I. (2007). Testing the fake-ability of the Implicit Relational Assessment Procedure (IRAP): The first study. </w:t>
      </w:r>
      <w:r w:rsidRPr="001A733A">
        <w:rPr>
          <w:i/>
          <w:iCs/>
        </w:rPr>
        <w:t>International Journal of Psychology and Psychological Therapy</w:t>
      </w:r>
      <w:r w:rsidRPr="001A733A">
        <w:t xml:space="preserve">, </w:t>
      </w:r>
      <w:r w:rsidRPr="001A733A">
        <w:rPr>
          <w:i/>
          <w:iCs/>
        </w:rPr>
        <w:t>7</w:t>
      </w:r>
      <w:r w:rsidRPr="001A733A">
        <w:t>(2), 253–268.</w:t>
      </w:r>
    </w:p>
    <w:p w14:paraId="6522977F" w14:textId="77777777" w:rsidR="0002241A" w:rsidRPr="001A733A" w:rsidRDefault="0002241A" w:rsidP="00127559">
      <w:pPr>
        <w:pStyle w:val="Bibliography"/>
      </w:pPr>
      <w:r w:rsidRPr="001A733A">
        <w:t xml:space="preserve">Moher, D., Liberati, A., Tetzlaff, J., &amp; Altman, D. G. (2009). Preferred reporting items for systematic reviews and meta-analyses: The PRISMA statement. </w:t>
      </w:r>
      <w:r w:rsidRPr="001A733A">
        <w:rPr>
          <w:i/>
          <w:iCs/>
        </w:rPr>
        <w:t>BMJ</w:t>
      </w:r>
      <w:r w:rsidRPr="001A733A">
        <w:t xml:space="preserve">, </w:t>
      </w:r>
      <w:r w:rsidRPr="001A733A">
        <w:rPr>
          <w:i/>
          <w:iCs/>
        </w:rPr>
        <w:t>339</w:t>
      </w:r>
      <w:r w:rsidRPr="001A733A">
        <w:t>, b2535. https://doi.org/10.1136/bmj.b2535</w:t>
      </w:r>
    </w:p>
    <w:p w14:paraId="7B1AD1E1" w14:textId="77777777" w:rsidR="0002241A" w:rsidRPr="001A733A" w:rsidRDefault="0002241A" w:rsidP="00127559">
      <w:pPr>
        <w:pStyle w:val="Bibliography"/>
      </w:pPr>
      <w:r w:rsidRPr="001A733A">
        <w:t xml:space="preserve">Nicholson, E., Dempsey, K., &amp; Barnes-Holmes, D. (2014). The role of responsibility and threat appraisals in contamination fear and obsessive-compulsive tendencies at the implicit level. </w:t>
      </w:r>
      <w:r w:rsidRPr="001A733A">
        <w:rPr>
          <w:i/>
          <w:iCs/>
        </w:rPr>
        <w:t>Journal of Contextual Behavioral Science</w:t>
      </w:r>
      <w:r w:rsidRPr="001A733A">
        <w:t xml:space="preserve">, </w:t>
      </w:r>
      <w:r w:rsidRPr="001A733A">
        <w:rPr>
          <w:i/>
          <w:iCs/>
        </w:rPr>
        <w:t>3</w:t>
      </w:r>
      <w:r w:rsidRPr="001A733A">
        <w:t>(1), 31–37. https://doi.org/10.1016/j.jcbs.2013.11.001</w:t>
      </w:r>
    </w:p>
    <w:p w14:paraId="4EF29069" w14:textId="77777777" w:rsidR="0002241A" w:rsidRPr="001A733A" w:rsidRDefault="0002241A" w:rsidP="00127559">
      <w:pPr>
        <w:pStyle w:val="Bibliography"/>
      </w:pPr>
      <w:r w:rsidRPr="001A733A">
        <w:t xml:space="preserve">Perez, W. F., de Almeida, J. H., de Rose, J. C., Dorigon, A. H., de Vasconcellos, E. L., da Silva, M. A., Lima, N. D. P., de Almeida, R. B. M., Montan, R. N. M., &amp; Barnes-Holmes, D. (2019). Implicit and Explicit Measures of Transformation of Function from Facial Expressions of Fear and of Happiness via Equivalence Relations. </w:t>
      </w:r>
      <w:r w:rsidRPr="001A733A">
        <w:rPr>
          <w:i/>
          <w:iCs/>
        </w:rPr>
        <w:t>The Psychological Record</w:t>
      </w:r>
      <w:r w:rsidRPr="001A733A">
        <w:t xml:space="preserve">, </w:t>
      </w:r>
      <w:r w:rsidRPr="001A733A">
        <w:rPr>
          <w:i/>
          <w:iCs/>
        </w:rPr>
        <w:t>69</w:t>
      </w:r>
      <w:r w:rsidRPr="001A733A">
        <w:t>(1), 13–24. https://doi.org/10.1007/s40732-018-0304-1</w:t>
      </w:r>
    </w:p>
    <w:p w14:paraId="4A9AE6BC" w14:textId="77777777" w:rsidR="0002241A" w:rsidRPr="001A733A" w:rsidRDefault="0002241A" w:rsidP="00127559">
      <w:pPr>
        <w:pStyle w:val="Bibliography"/>
      </w:pPr>
      <w:r w:rsidRPr="001A733A">
        <w:t xml:space="preserve">Power, P., Barnes-Holmes, D., Barnes-Holmes, Y., &amp; Stewart, I. (2009). The Implicit Relational Assessment Procedure (IRAP) as a measure of implicit relative preferences: A first study. </w:t>
      </w:r>
      <w:r w:rsidRPr="001A733A">
        <w:rPr>
          <w:i/>
          <w:iCs/>
        </w:rPr>
        <w:t>The Psychological Record</w:t>
      </w:r>
      <w:r w:rsidRPr="001A733A">
        <w:t xml:space="preserve">, </w:t>
      </w:r>
      <w:r w:rsidRPr="001A733A">
        <w:rPr>
          <w:i/>
          <w:iCs/>
        </w:rPr>
        <w:t>59</w:t>
      </w:r>
      <w:r w:rsidRPr="001A733A">
        <w:t>(4), 621–640.</w:t>
      </w:r>
    </w:p>
    <w:p w14:paraId="339284ED" w14:textId="77777777" w:rsidR="0002241A" w:rsidRPr="001A733A" w:rsidRDefault="0002241A" w:rsidP="00127559">
      <w:pPr>
        <w:pStyle w:val="Bibliography"/>
      </w:pPr>
      <w:r w:rsidRPr="00127559">
        <w:lastRenderedPageBreak/>
        <w:t>Stewart</w:t>
      </w:r>
      <w:r w:rsidRPr="001A733A">
        <w:t xml:space="preserve">, C., Rogers, F., Pilch, M., Stewart, I., Barnes-Holmes, Y., &amp; Westermann, S. (2017). The effect of social exclusion on state paranoia and explicit and implicit self-esteem in a non-clinical sample. </w:t>
      </w:r>
      <w:r w:rsidRPr="001A733A">
        <w:rPr>
          <w:i/>
          <w:iCs/>
        </w:rPr>
        <w:t>Journal of Behavior Therapy and Experimental Psychiatry</w:t>
      </w:r>
      <w:r w:rsidRPr="001A733A">
        <w:t xml:space="preserve">, </w:t>
      </w:r>
      <w:r w:rsidRPr="001A733A">
        <w:rPr>
          <w:i/>
          <w:iCs/>
        </w:rPr>
        <w:t>57</w:t>
      </w:r>
      <w:r w:rsidRPr="001A733A">
        <w:t>, 62–69. https://doi.org/10.1016/j.jbtep.2017.04.001</w:t>
      </w:r>
    </w:p>
    <w:p w14:paraId="17024EA5" w14:textId="77777777" w:rsidR="0002241A" w:rsidRPr="001A733A" w:rsidRDefault="0002241A" w:rsidP="00127559">
      <w:pPr>
        <w:pStyle w:val="Bibliography"/>
      </w:pPr>
      <w:r w:rsidRPr="001A733A">
        <w:t xml:space="preserve">Vahey, N. A., Barnes-Holmes, D., Barnes-Holmes, Y., &amp; Stewart, I. (2009). A first test of the Implicit Relational Assessment Procedure as a measure of self-esteem: Irish prisoner groups and university students. </w:t>
      </w:r>
      <w:r w:rsidRPr="001A733A">
        <w:rPr>
          <w:i/>
          <w:iCs/>
        </w:rPr>
        <w:t>The Psychological Record</w:t>
      </w:r>
      <w:r w:rsidRPr="001A733A">
        <w:t xml:space="preserve">, </w:t>
      </w:r>
      <w:r w:rsidRPr="001A733A">
        <w:rPr>
          <w:i/>
          <w:iCs/>
        </w:rPr>
        <w:t>59</w:t>
      </w:r>
      <w:r w:rsidRPr="001A733A">
        <w:t>(3), 371–388.</w:t>
      </w:r>
    </w:p>
    <w:p w14:paraId="4E8FBB8D" w14:textId="77777777" w:rsidR="0002241A" w:rsidRPr="001A733A" w:rsidRDefault="0002241A" w:rsidP="00127559">
      <w:pPr>
        <w:pStyle w:val="Bibliography"/>
      </w:pPr>
      <w:r w:rsidRPr="001A733A">
        <w:t xml:space="preserve">Vahey, N. A., Nicholson, E., &amp; Barnes-Holmes, D. (2015). A meta-analysis of criterion effects for the Implicit Relational Assessment Procedure (IRAP) in the clinical domain. </w:t>
      </w:r>
      <w:r w:rsidRPr="001A733A">
        <w:rPr>
          <w:i/>
          <w:iCs/>
        </w:rPr>
        <w:t>Journal of Behavior Therapy and Experimental Psychiatry</w:t>
      </w:r>
      <w:r w:rsidRPr="001A733A">
        <w:t xml:space="preserve">, </w:t>
      </w:r>
      <w:r w:rsidRPr="001A733A">
        <w:rPr>
          <w:i/>
          <w:iCs/>
        </w:rPr>
        <w:t>48</w:t>
      </w:r>
      <w:r w:rsidRPr="001A733A">
        <w:t>, 59–65. https://doi.org/10.1016/j.jbtep.2015.01.004</w:t>
      </w:r>
    </w:p>
    <w:p w14:paraId="3FCA1503" w14:textId="75B83D79" w:rsidR="00EE78FA" w:rsidRPr="001A733A" w:rsidRDefault="00BB2EA8" w:rsidP="00127559">
      <w:pPr>
        <w:ind w:left="720" w:hanging="720"/>
      </w:pPr>
      <w:r w:rsidRPr="001A733A">
        <w:fldChar w:fldCharType="end"/>
      </w:r>
    </w:p>
    <w:sectPr w:rsidR="00EE78FA" w:rsidRPr="001A733A" w:rsidSect="001A733A">
      <w:type w:val="continuous"/>
      <w:pgSz w:w="11900" w:h="16840"/>
      <w:pgMar w:top="1440" w:right="1440" w:bottom="1440" w:left="1440" w:header="708" w:footer="708" w:gutter="0"/>
      <w:cols w:space="2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DFD07" w14:textId="77777777" w:rsidR="00BF36D6" w:rsidRDefault="00BF36D6" w:rsidP="00DE698B">
      <w:r>
        <w:separator/>
      </w:r>
    </w:p>
  </w:endnote>
  <w:endnote w:type="continuationSeparator" w:id="0">
    <w:p w14:paraId="13C8F89E" w14:textId="77777777" w:rsidR="00BF36D6" w:rsidRDefault="00BF36D6" w:rsidP="00DE6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MU Serif Roman">
    <w:altName w:val="CMU SERIF ROMAN"/>
    <w:panose1 w:val="020B0604020202020204"/>
    <w:charset w:val="00"/>
    <w:family w:val="auto"/>
    <w:pitch w:val="variable"/>
    <w:sig w:usb0="E10002FF" w:usb1="5201E9EB" w:usb2="02020004"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6924049"/>
      <w:docPartObj>
        <w:docPartGallery w:val="Page Numbers (Bottom of Page)"/>
        <w:docPartUnique/>
      </w:docPartObj>
    </w:sdtPr>
    <w:sdtContent>
      <w:p w14:paraId="12D328D7" w14:textId="6386E30A" w:rsidR="0089030B" w:rsidRDefault="0089030B" w:rsidP="00DE698B">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sidR="00B63635">
          <w:rPr>
            <w:rStyle w:val="PageNumber"/>
            <w:noProof/>
          </w:rPr>
          <w:t>3</w:t>
        </w:r>
        <w:r>
          <w:rPr>
            <w:rStyle w:val="PageNumber"/>
          </w:rPr>
          <w:fldChar w:fldCharType="end"/>
        </w:r>
      </w:p>
    </w:sdtContent>
  </w:sdt>
  <w:p w14:paraId="5F23D2DC" w14:textId="6D7836D2" w:rsidR="003158CF" w:rsidRDefault="003158CF" w:rsidP="00DE698B">
    <w:pPr>
      <w:pStyle w:val="Footer"/>
      <w:rPr>
        <w:rStyle w:val="PageNumber"/>
      </w:rPr>
    </w:pPr>
  </w:p>
  <w:p w14:paraId="7C5D354F" w14:textId="77777777" w:rsidR="003158CF" w:rsidRDefault="003158CF" w:rsidP="00DE69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461EB" w14:textId="77777777" w:rsidR="00BF36D6" w:rsidRDefault="00BF36D6" w:rsidP="00DE698B">
      <w:r>
        <w:separator/>
      </w:r>
    </w:p>
  </w:footnote>
  <w:footnote w:type="continuationSeparator" w:id="0">
    <w:p w14:paraId="0C60563E" w14:textId="77777777" w:rsidR="00BF36D6" w:rsidRDefault="00BF36D6" w:rsidP="00DE6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6426466"/>
      <w:docPartObj>
        <w:docPartGallery w:val="Page Numbers (Top of Page)"/>
        <w:docPartUnique/>
      </w:docPartObj>
    </w:sdtPr>
    <w:sdtContent>
      <w:p w14:paraId="7E19FB39" w14:textId="17A76EAD" w:rsidR="00E17B78" w:rsidRDefault="00E17B78" w:rsidP="007A6A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E18F32" w14:textId="74947968" w:rsidR="0098704B" w:rsidRDefault="0098704B" w:rsidP="00E17B78">
    <w:pPr>
      <w:pStyle w:val="Header"/>
      <w:ind w:right="360"/>
      <w:rPr>
        <w:rStyle w:val="PageNumber"/>
      </w:rPr>
    </w:pPr>
  </w:p>
  <w:p w14:paraId="3C64FB0E" w14:textId="6A5CC3EA" w:rsidR="00C26953" w:rsidRDefault="00C26953" w:rsidP="00DE698B">
    <w:pPr>
      <w:pStyle w:val="Header"/>
      <w:rPr>
        <w:rStyle w:val="PageNumber"/>
      </w:rPr>
    </w:pPr>
  </w:p>
  <w:sdt>
    <w:sdtPr>
      <w:rPr>
        <w:rStyle w:val="PageNumber"/>
      </w:rPr>
      <w:id w:val="-2136706892"/>
      <w:docPartObj>
        <w:docPartGallery w:val="Page Numbers (Top of Page)"/>
        <w:docPartUnique/>
      </w:docPartObj>
    </w:sdtPr>
    <w:sdtContent>
      <w:p w14:paraId="137B737D" w14:textId="5D772EFD" w:rsidR="00BD2C7C" w:rsidRDefault="00BD2C7C" w:rsidP="00DE698B">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94D0FC" w14:textId="77777777" w:rsidR="00BD2C7C" w:rsidRDefault="00BD2C7C" w:rsidP="00DE69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9035614"/>
      <w:docPartObj>
        <w:docPartGallery w:val="Page Numbers (Top of Page)"/>
        <w:docPartUnique/>
      </w:docPartObj>
    </w:sdtPr>
    <w:sdtContent>
      <w:p w14:paraId="46752A28" w14:textId="4AAEC040" w:rsidR="00E17B78" w:rsidRDefault="00E17B78" w:rsidP="007A6A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427646" w14:textId="61D0D0FF" w:rsidR="00E17B78" w:rsidRDefault="00E17B78" w:rsidP="00E17B78">
    <w:pPr>
      <w:pStyle w:val="Header"/>
      <w:tabs>
        <w:tab w:val="left" w:pos="1564"/>
      </w:tabs>
      <w:ind w:right="36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845824822">
    <w:abstractNumId w:val="9"/>
  </w:num>
  <w:num w:numId="2" w16cid:durableId="1787116821">
    <w:abstractNumId w:val="7"/>
  </w:num>
  <w:num w:numId="3" w16cid:durableId="779102515">
    <w:abstractNumId w:val="6"/>
  </w:num>
  <w:num w:numId="4" w16cid:durableId="1593049408">
    <w:abstractNumId w:val="5"/>
  </w:num>
  <w:num w:numId="5" w16cid:durableId="281765150">
    <w:abstractNumId w:val="4"/>
  </w:num>
  <w:num w:numId="6" w16cid:durableId="563949829">
    <w:abstractNumId w:val="8"/>
  </w:num>
  <w:num w:numId="7" w16cid:durableId="1232036666">
    <w:abstractNumId w:val="3"/>
  </w:num>
  <w:num w:numId="8" w16cid:durableId="1563102499">
    <w:abstractNumId w:val="2"/>
  </w:num>
  <w:num w:numId="9" w16cid:durableId="1943226129">
    <w:abstractNumId w:val="1"/>
  </w:num>
  <w:num w:numId="10" w16cid:durableId="255554674">
    <w:abstractNumId w:val="0"/>
  </w:num>
  <w:num w:numId="11" w16cid:durableId="1654144625">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00240"/>
    <w:rsid w:val="00003076"/>
    <w:rsid w:val="000072C4"/>
    <w:rsid w:val="00010ED8"/>
    <w:rsid w:val="00011BDE"/>
    <w:rsid w:val="00011F4F"/>
    <w:rsid w:val="000139E1"/>
    <w:rsid w:val="00016146"/>
    <w:rsid w:val="00016CDD"/>
    <w:rsid w:val="00020DCF"/>
    <w:rsid w:val="0002241A"/>
    <w:rsid w:val="00022AE3"/>
    <w:rsid w:val="00026827"/>
    <w:rsid w:val="000272C1"/>
    <w:rsid w:val="00044ED3"/>
    <w:rsid w:val="0005189F"/>
    <w:rsid w:val="00053E14"/>
    <w:rsid w:val="00054899"/>
    <w:rsid w:val="000569D5"/>
    <w:rsid w:val="00057705"/>
    <w:rsid w:val="00065285"/>
    <w:rsid w:val="000666DD"/>
    <w:rsid w:val="0007155D"/>
    <w:rsid w:val="00071F74"/>
    <w:rsid w:val="000720C7"/>
    <w:rsid w:val="00083611"/>
    <w:rsid w:val="000845D1"/>
    <w:rsid w:val="00084CBE"/>
    <w:rsid w:val="00086603"/>
    <w:rsid w:val="000937F0"/>
    <w:rsid w:val="000A2B33"/>
    <w:rsid w:val="000A3BF0"/>
    <w:rsid w:val="000A5CFF"/>
    <w:rsid w:val="000A665F"/>
    <w:rsid w:val="000A673D"/>
    <w:rsid w:val="000A7CF4"/>
    <w:rsid w:val="000B1025"/>
    <w:rsid w:val="000B1362"/>
    <w:rsid w:val="000B4124"/>
    <w:rsid w:val="000C1B07"/>
    <w:rsid w:val="000C1E42"/>
    <w:rsid w:val="000C25EC"/>
    <w:rsid w:val="000C5505"/>
    <w:rsid w:val="000C6B74"/>
    <w:rsid w:val="000D307E"/>
    <w:rsid w:val="000E0783"/>
    <w:rsid w:val="000E2C5B"/>
    <w:rsid w:val="000E3B4A"/>
    <w:rsid w:val="000E499B"/>
    <w:rsid w:val="000F1E7C"/>
    <w:rsid w:val="000F3B5B"/>
    <w:rsid w:val="000F5EE7"/>
    <w:rsid w:val="000F702E"/>
    <w:rsid w:val="000F7CCD"/>
    <w:rsid w:val="00102F54"/>
    <w:rsid w:val="00104399"/>
    <w:rsid w:val="00110DD8"/>
    <w:rsid w:val="00113D92"/>
    <w:rsid w:val="00121A68"/>
    <w:rsid w:val="001261C9"/>
    <w:rsid w:val="00127434"/>
    <w:rsid w:val="00127559"/>
    <w:rsid w:val="00127D22"/>
    <w:rsid w:val="00132633"/>
    <w:rsid w:val="00135D58"/>
    <w:rsid w:val="00140DDA"/>
    <w:rsid w:val="0015545E"/>
    <w:rsid w:val="001571A8"/>
    <w:rsid w:val="00161E1F"/>
    <w:rsid w:val="00180281"/>
    <w:rsid w:val="00182942"/>
    <w:rsid w:val="00183D0A"/>
    <w:rsid w:val="0018606F"/>
    <w:rsid w:val="00192F5F"/>
    <w:rsid w:val="00194256"/>
    <w:rsid w:val="00197708"/>
    <w:rsid w:val="001A0E61"/>
    <w:rsid w:val="001A1B82"/>
    <w:rsid w:val="001A41C8"/>
    <w:rsid w:val="001A733A"/>
    <w:rsid w:val="001B028C"/>
    <w:rsid w:val="001B0C3D"/>
    <w:rsid w:val="001B0EAC"/>
    <w:rsid w:val="001B2D17"/>
    <w:rsid w:val="001B469C"/>
    <w:rsid w:val="001B7A2A"/>
    <w:rsid w:val="001D2EA1"/>
    <w:rsid w:val="001D5D94"/>
    <w:rsid w:val="001D73A1"/>
    <w:rsid w:val="001E06C2"/>
    <w:rsid w:val="001E0E75"/>
    <w:rsid w:val="001E1976"/>
    <w:rsid w:val="001E2BCA"/>
    <w:rsid w:val="001E683C"/>
    <w:rsid w:val="001F0EED"/>
    <w:rsid w:val="001F1627"/>
    <w:rsid w:val="001F2131"/>
    <w:rsid w:val="001F359B"/>
    <w:rsid w:val="001F3B56"/>
    <w:rsid w:val="001F54FA"/>
    <w:rsid w:val="001F6A9B"/>
    <w:rsid w:val="002016A3"/>
    <w:rsid w:val="002051BB"/>
    <w:rsid w:val="0020735C"/>
    <w:rsid w:val="002117CC"/>
    <w:rsid w:val="00220E6D"/>
    <w:rsid w:val="00222865"/>
    <w:rsid w:val="00222A0E"/>
    <w:rsid w:val="00222A88"/>
    <w:rsid w:val="002252FD"/>
    <w:rsid w:val="00230107"/>
    <w:rsid w:val="00230B60"/>
    <w:rsid w:val="00232FB2"/>
    <w:rsid w:val="00233C8A"/>
    <w:rsid w:val="00235924"/>
    <w:rsid w:val="0024203B"/>
    <w:rsid w:val="00244AE6"/>
    <w:rsid w:val="0024580C"/>
    <w:rsid w:val="00245F45"/>
    <w:rsid w:val="00245F7A"/>
    <w:rsid w:val="00247DF4"/>
    <w:rsid w:val="002526BA"/>
    <w:rsid w:val="002540D8"/>
    <w:rsid w:val="00255097"/>
    <w:rsid w:val="00255D85"/>
    <w:rsid w:val="00260350"/>
    <w:rsid w:val="00264FE8"/>
    <w:rsid w:val="00273B32"/>
    <w:rsid w:val="0027476C"/>
    <w:rsid w:val="00276DC4"/>
    <w:rsid w:val="00277730"/>
    <w:rsid w:val="00277B84"/>
    <w:rsid w:val="00283F7A"/>
    <w:rsid w:val="00287120"/>
    <w:rsid w:val="00290D4E"/>
    <w:rsid w:val="00291589"/>
    <w:rsid w:val="0029533B"/>
    <w:rsid w:val="00296ECE"/>
    <w:rsid w:val="002A0A97"/>
    <w:rsid w:val="002A24F5"/>
    <w:rsid w:val="002A389C"/>
    <w:rsid w:val="002A4290"/>
    <w:rsid w:val="002B1D09"/>
    <w:rsid w:val="002C2502"/>
    <w:rsid w:val="002C2E48"/>
    <w:rsid w:val="002C5E63"/>
    <w:rsid w:val="002D5C7E"/>
    <w:rsid w:val="002E276D"/>
    <w:rsid w:val="002E2D36"/>
    <w:rsid w:val="002F0CB5"/>
    <w:rsid w:val="002F1D24"/>
    <w:rsid w:val="002F41DE"/>
    <w:rsid w:val="002F47DF"/>
    <w:rsid w:val="00300B3F"/>
    <w:rsid w:val="00306F7D"/>
    <w:rsid w:val="003158CF"/>
    <w:rsid w:val="00317EDF"/>
    <w:rsid w:val="00320692"/>
    <w:rsid w:val="003222FD"/>
    <w:rsid w:val="0032644B"/>
    <w:rsid w:val="00330C00"/>
    <w:rsid w:val="003311E0"/>
    <w:rsid w:val="00334440"/>
    <w:rsid w:val="00336CB6"/>
    <w:rsid w:val="003376B1"/>
    <w:rsid w:val="00341B36"/>
    <w:rsid w:val="00342F8D"/>
    <w:rsid w:val="0034445E"/>
    <w:rsid w:val="00346871"/>
    <w:rsid w:val="00346FD4"/>
    <w:rsid w:val="00356CC1"/>
    <w:rsid w:val="00362712"/>
    <w:rsid w:val="003648E8"/>
    <w:rsid w:val="00374310"/>
    <w:rsid w:val="00376181"/>
    <w:rsid w:val="003767A9"/>
    <w:rsid w:val="00377326"/>
    <w:rsid w:val="00380D7D"/>
    <w:rsid w:val="0038475D"/>
    <w:rsid w:val="003A0BBF"/>
    <w:rsid w:val="003A1883"/>
    <w:rsid w:val="003A67F3"/>
    <w:rsid w:val="003B1605"/>
    <w:rsid w:val="003B4E79"/>
    <w:rsid w:val="003B726F"/>
    <w:rsid w:val="003B7595"/>
    <w:rsid w:val="003C0D82"/>
    <w:rsid w:val="003C2E30"/>
    <w:rsid w:val="003C33F9"/>
    <w:rsid w:val="003C7B30"/>
    <w:rsid w:val="003D11C3"/>
    <w:rsid w:val="003D257E"/>
    <w:rsid w:val="003D37CA"/>
    <w:rsid w:val="003D47A1"/>
    <w:rsid w:val="003D5FD0"/>
    <w:rsid w:val="003E313B"/>
    <w:rsid w:val="003F039D"/>
    <w:rsid w:val="003F265C"/>
    <w:rsid w:val="003F3FED"/>
    <w:rsid w:val="003F426C"/>
    <w:rsid w:val="003F4AB7"/>
    <w:rsid w:val="003F51B8"/>
    <w:rsid w:val="003F5746"/>
    <w:rsid w:val="003F75C4"/>
    <w:rsid w:val="00401239"/>
    <w:rsid w:val="00411861"/>
    <w:rsid w:val="00414C0A"/>
    <w:rsid w:val="00420F09"/>
    <w:rsid w:val="0042369B"/>
    <w:rsid w:val="004268C5"/>
    <w:rsid w:val="00434862"/>
    <w:rsid w:val="004358E2"/>
    <w:rsid w:val="00436EAB"/>
    <w:rsid w:val="00441595"/>
    <w:rsid w:val="00451BBB"/>
    <w:rsid w:val="00453169"/>
    <w:rsid w:val="00455F83"/>
    <w:rsid w:val="00456858"/>
    <w:rsid w:val="00456DB0"/>
    <w:rsid w:val="00457F7C"/>
    <w:rsid w:val="00464981"/>
    <w:rsid w:val="004652CA"/>
    <w:rsid w:val="00465A1B"/>
    <w:rsid w:val="00466628"/>
    <w:rsid w:val="004725D9"/>
    <w:rsid w:val="00477341"/>
    <w:rsid w:val="00483C92"/>
    <w:rsid w:val="00483C98"/>
    <w:rsid w:val="004862D6"/>
    <w:rsid w:val="00495A43"/>
    <w:rsid w:val="004A3471"/>
    <w:rsid w:val="004A697D"/>
    <w:rsid w:val="004A6CC9"/>
    <w:rsid w:val="004A78A5"/>
    <w:rsid w:val="004B3262"/>
    <w:rsid w:val="004B46B4"/>
    <w:rsid w:val="004B5A7D"/>
    <w:rsid w:val="004B7FA7"/>
    <w:rsid w:val="004C092C"/>
    <w:rsid w:val="004C5329"/>
    <w:rsid w:val="004C6EB2"/>
    <w:rsid w:val="004C75B2"/>
    <w:rsid w:val="004D174C"/>
    <w:rsid w:val="004D17FF"/>
    <w:rsid w:val="004D2E30"/>
    <w:rsid w:val="004D394D"/>
    <w:rsid w:val="004D536C"/>
    <w:rsid w:val="004D5A5C"/>
    <w:rsid w:val="004F0BC1"/>
    <w:rsid w:val="004F23F5"/>
    <w:rsid w:val="004F293F"/>
    <w:rsid w:val="004F2CCF"/>
    <w:rsid w:val="004F528E"/>
    <w:rsid w:val="004F6EC8"/>
    <w:rsid w:val="00504196"/>
    <w:rsid w:val="0050428F"/>
    <w:rsid w:val="005077D0"/>
    <w:rsid w:val="00511F40"/>
    <w:rsid w:val="0051635D"/>
    <w:rsid w:val="00520BDA"/>
    <w:rsid w:val="00523D44"/>
    <w:rsid w:val="00524B96"/>
    <w:rsid w:val="00524D29"/>
    <w:rsid w:val="005310C3"/>
    <w:rsid w:val="00531112"/>
    <w:rsid w:val="005341B5"/>
    <w:rsid w:val="005364CC"/>
    <w:rsid w:val="00540196"/>
    <w:rsid w:val="00541647"/>
    <w:rsid w:val="00543078"/>
    <w:rsid w:val="00547CAE"/>
    <w:rsid w:val="00552222"/>
    <w:rsid w:val="00553347"/>
    <w:rsid w:val="00561853"/>
    <w:rsid w:val="00562581"/>
    <w:rsid w:val="005629C1"/>
    <w:rsid w:val="00564D72"/>
    <w:rsid w:val="00572554"/>
    <w:rsid w:val="005822A4"/>
    <w:rsid w:val="00583678"/>
    <w:rsid w:val="00590D6E"/>
    <w:rsid w:val="005A4DDB"/>
    <w:rsid w:val="005A5932"/>
    <w:rsid w:val="005B0362"/>
    <w:rsid w:val="005B5E05"/>
    <w:rsid w:val="005C2CDE"/>
    <w:rsid w:val="005C35BF"/>
    <w:rsid w:val="005C36B7"/>
    <w:rsid w:val="005C54BC"/>
    <w:rsid w:val="005D15EA"/>
    <w:rsid w:val="005D1886"/>
    <w:rsid w:val="005E0395"/>
    <w:rsid w:val="005E0FFB"/>
    <w:rsid w:val="005E21B6"/>
    <w:rsid w:val="005E29DB"/>
    <w:rsid w:val="005E5F99"/>
    <w:rsid w:val="00600C17"/>
    <w:rsid w:val="006012D5"/>
    <w:rsid w:val="006029D8"/>
    <w:rsid w:val="0060353C"/>
    <w:rsid w:val="00607E33"/>
    <w:rsid w:val="006113E7"/>
    <w:rsid w:val="00613F4B"/>
    <w:rsid w:val="006160E6"/>
    <w:rsid w:val="00616CAA"/>
    <w:rsid w:val="00621922"/>
    <w:rsid w:val="00624641"/>
    <w:rsid w:val="006273A3"/>
    <w:rsid w:val="00627EE4"/>
    <w:rsid w:val="0063082D"/>
    <w:rsid w:val="00630DDD"/>
    <w:rsid w:val="006323BD"/>
    <w:rsid w:val="00633005"/>
    <w:rsid w:val="006331E7"/>
    <w:rsid w:val="00635A0B"/>
    <w:rsid w:val="006433FF"/>
    <w:rsid w:val="006437F6"/>
    <w:rsid w:val="00643FC4"/>
    <w:rsid w:val="00644282"/>
    <w:rsid w:val="00646B65"/>
    <w:rsid w:val="006513D8"/>
    <w:rsid w:val="00653677"/>
    <w:rsid w:val="00656C10"/>
    <w:rsid w:val="00657E27"/>
    <w:rsid w:val="00662050"/>
    <w:rsid w:val="00663032"/>
    <w:rsid w:val="00665339"/>
    <w:rsid w:val="006665AE"/>
    <w:rsid w:val="00666D93"/>
    <w:rsid w:val="00670156"/>
    <w:rsid w:val="00676C7F"/>
    <w:rsid w:val="00677E3B"/>
    <w:rsid w:val="0068222C"/>
    <w:rsid w:val="00684594"/>
    <w:rsid w:val="00686887"/>
    <w:rsid w:val="00692B75"/>
    <w:rsid w:val="006940E9"/>
    <w:rsid w:val="00697E65"/>
    <w:rsid w:val="006A254E"/>
    <w:rsid w:val="006A6277"/>
    <w:rsid w:val="006A7CE7"/>
    <w:rsid w:val="006B1C6B"/>
    <w:rsid w:val="006B3DF9"/>
    <w:rsid w:val="006B4E43"/>
    <w:rsid w:val="006B5124"/>
    <w:rsid w:val="006B5975"/>
    <w:rsid w:val="006B5DE5"/>
    <w:rsid w:val="006B681D"/>
    <w:rsid w:val="006C06BA"/>
    <w:rsid w:val="006C0A1A"/>
    <w:rsid w:val="006C72E3"/>
    <w:rsid w:val="006D1CB6"/>
    <w:rsid w:val="006D7830"/>
    <w:rsid w:val="006E0600"/>
    <w:rsid w:val="006E11DD"/>
    <w:rsid w:val="006E133E"/>
    <w:rsid w:val="006E4F2D"/>
    <w:rsid w:val="006F43B2"/>
    <w:rsid w:val="0070296B"/>
    <w:rsid w:val="00710C62"/>
    <w:rsid w:val="0071101A"/>
    <w:rsid w:val="00712295"/>
    <w:rsid w:val="00716592"/>
    <w:rsid w:val="00716DBE"/>
    <w:rsid w:val="00717044"/>
    <w:rsid w:val="00721BE3"/>
    <w:rsid w:val="00725346"/>
    <w:rsid w:val="00725785"/>
    <w:rsid w:val="0073110F"/>
    <w:rsid w:val="00731B8A"/>
    <w:rsid w:val="00737484"/>
    <w:rsid w:val="00742143"/>
    <w:rsid w:val="00744AD0"/>
    <w:rsid w:val="00750E82"/>
    <w:rsid w:val="00751479"/>
    <w:rsid w:val="00751CF7"/>
    <w:rsid w:val="00755F41"/>
    <w:rsid w:val="00757BB3"/>
    <w:rsid w:val="00760327"/>
    <w:rsid w:val="0076065F"/>
    <w:rsid w:val="007623D7"/>
    <w:rsid w:val="00762BA9"/>
    <w:rsid w:val="00770D8F"/>
    <w:rsid w:val="00771A24"/>
    <w:rsid w:val="00773915"/>
    <w:rsid w:val="00774A7D"/>
    <w:rsid w:val="007804BD"/>
    <w:rsid w:val="00780DBC"/>
    <w:rsid w:val="00782F88"/>
    <w:rsid w:val="00782FBE"/>
    <w:rsid w:val="007852B1"/>
    <w:rsid w:val="007906FB"/>
    <w:rsid w:val="00792A28"/>
    <w:rsid w:val="00794EF6"/>
    <w:rsid w:val="00795CBE"/>
    <w:rsid w:val="007A0978"/>
    <w:rsid w:val="007A2B53"/>
    <w:rsid w:val="007A3B18"/>
    <w:rsid w:val="007A71C9"/>
    <w:rsid w:val="007B1AC0"/>
    <w:rsid w:val="007B5438"/>
    <w:rsid w:val="007C18F7"/>
    <w:rsid w:val="007C2242"/>
    <w:rsid w:val="007C7C55"/>
    <w:rsid w:val="007D12EC"/>
    <w:rsid w:val="007D2FEF"/>
    <w:rsid w:val="007D386B"/>
    <w:rsid w:val="007D3D78"/>
    <w:rsid w:val="007D5328"/>
    <w:rsid w:val="007D7B55"/>
    <w:rsid w:val="007D7E06"/>
    <w:rsid w:val="007E45CF"/>
    <w:rsid w:val="007E5C84"/>
    <w:rsid w:val="007E6C7F"/>
    <w:rsid w:val="007F0312"/>
    <w:rsid w:val="007F282E"/>
    <w:rsid w:val="008018A7"/>
    <w:rsid w:val="00803C40"/>
    <w:rsid w:val="00803F62"/>
    <w:rsid w:val="00805D5C"/>
    <w:rsid w:val="008070BD"/>
    <w:rsid w:val="00807FDB"/>
    <w:rsid w:val="00810D51"/>
    <w:rsid w:val="00811A0E"/>
    <w:rsid w:val="00813E7A"/>
    <w:rsid w:val="00813F7C"/>
    <w:rsid w:val="00821CCF"/>
    <w:rsid w:val="00822F4D"/>
    <w:rsid w:val="00824C2F"/>
    <w:rsid w:val="00827885"/>
    <w:rsid w:val="00833A8A"/>
    <w:rsid w:val="008374CF"/>
    <w:rsid w:val="00845E48"/>
    <w:rsid w:val="0085480B"/>
    <w:rsid w:val="00854AFC"/>
    <w:rsid w:val="00854C6D"/>
    <w:rsid w:val="00860300"/>
    <w:rsid w:val="00863FE8"/>
    <w:rsid w:val="008666DE"/>
    <w:rsid w:val="0087008A"/>
    <w:rsid w:val="00870ABC"/>
    <w:rsid w:val="00877918"/>
    <w:rsid w:val="00877C09"/>
    <w:rsid w:val="00884CB9"/>
    <w:rsid w:val="00887777"/>
    <w:rsid w:val="0089030B"/>
    <w:rsid w:val="00890AD5"/>
    <w:rsid w:val="00890DD1"/>
    <w:rsid w:val="0089116E"/>
    <w:rsid w:val="00893734"/>
    <w:rsid w:val="008A7F54"/>
    <w:rsid w:val="008B1E73"/>
    <w:rsid w:val="008B215F"/>
    <w:rsid w:val="008B3519"/>
    <w:rsid w:val="008B54AC"/>
    <w:rsid w:val="008C0397"/>
    <w:rsid w:val="008C13E4"/>
    <w:rsid w:val="008C6694"/>
    <w:rsid w:val="008D5A45"/>
    <w:rsid w:val="008D6EA2"/>
    <w:rsid w:val="008D74ED"/>
    <w:rsid w:val="008E1BC5"/>
    <w:rsid w:val="008E6702"/>
    <w:rsid w:val="008F0272"/>
    <w:rsid w:val="008F0890"/>
    <w:rsid w:val="008F216E"/>
    <w:rsid w:val="008F383D"/>
    <w:rsid w:val="008F3D36"/>
    <w:rsid w:val="0090342E"/>
    <w:rsid w:val="00903C62"/>
    <w:rsid w:val="00905785"/>
    <w:rsid w:val="00905C04"/>
    <w:rsid w:val="00906F33"/>
    <w:rsid w:val="00914D9D"/>
    <w:rsid w:val="00921C86"/>
    <w:rsid w:val="00925E0F"/>
    <w:rsid w:val="00935344"/>
    <w:rsid w:val="00936B70"/>
    <w:rsid w:val="00937C28"/>
    <w:rsid w:val="00940675"/>
    <w:rsid w:val="00945663"/>
    <w:rsid w:val="00947CE8"/>
    <w:rsid w:val="00953CE4"/>
    <w:rsid w:val="009563BA"/>
    <w:rsid w:val="009652E3"/>
    <w:rsid w:val="0096621A"/>
    <w:rsid w:val="00967D28"/>
    <w:rsid w:val="009739D4"/>
    <w:rsid w:val="00975D1F"/>
    <w:rsid w:val="00976DE8"/>
    <w:rsid w:val="00981B8D"/>
    <w:rsid w:val="009839F8"/>
    <w:rsid w:val="009842A6"/>
    <w:rsid w:val="0098647C"/>
    <w:rsid w:val="0098704B"/>
    <w:rsid w:val="00990A68"/>
    <w:rsid w:val="00992317"/>
    <w:rsid w:val="00992694"/>
    <w:rsid w:val="00994A11"/>
    <w:rsid w:val="00996613"/>
    <w:rsid w:val="009A3343"/>
    <w:rsid w:val="009A5831"/>
    <w:rsid w:val="009A61BB"/>
    <w:rsid w:val="009B13F9"/>
    <w:rsid w:val="009B302B"/>
    <w:rsid w:val="009C6948"/>
    <w:rsid w:val="009D4A5D"/>
    <w:rsid w:val="009D6594"/>
    <w:rsid w:val="009D7801"/>
    <w:rsid w:val="009E0BFD"/>
    <w:rsid w:val="009E0C15"/>
    <w:rsid w:val="009E30FF"/>
    <w:rsid w:val="009E478D"/>
    <w:rsid w:val="009E6E87"/>
    <w:rsid w:val="009E728F"/>
    <w:rsid w:val="009F6857"/>
    <w:rsid w:val="00A01860"/>
    <w:rsid w:val="00A01A33"/>
    <w:rsid w:val="00A03FFB"/>
    <w:rsid w:val="00A13613"/>
    <w:rsid w:val="00A1364D"/>
    <w:rsid w:val="00A1530C"/>
    <w:rsid w:val="00A153C1"/>
    <w:rsid w:val="00A253BA"/>
    <w:rsid w:val="00A379D2"/>
    <w:rsid w:val="00A41A5D"/>
    <w:rsid w:val="00A42E17"/>
    <w:rsid w:val="00A43FCD"/>
    <w:rsid w:val="00A47461"/>
    <w:rsid w:val="00A50662"/>
    <w:rsid w:val="00A51300"/>
    <w:rsid w:val="00A53C05"/>
    <w:rsid w:val="00A54572"/>
    <w:rsid w:val="00A55192"/>
    <w:rsid w:val="00A645AD"/>
    <w:rsid w:val="00A669DD"/>
    <w:rsid w:val="00A7010C"/>
    <w:rsid w:val="00A70C5B"/>
    <w:rsid w:val="00A7333B"/>
    <w:rsid w:val="00A77D5C"/>
    <w:rsid w:val="00A86D6A"/>
    <w:rsid w:val="00A90A29"/>
    <w:rsid w:val="00A9532C"/>
    <w:rsid w:val="00A97EC6"/>
    <w:rsid w:val="00AB3226"/>
    <w:rsid w:val="00AB35AE"/>
    <w:rsid w:val="00AC3034"/>
    <w:rsid w:val="00AC5517"/>
    <w:rsid w:val="00AD0221"/>
    <w:rsid w:val="00AD04DF"/>
    <w:rsid w:val="00AD1F7D"/>
    <w:rsid w:val="00AD6B63"/>
    <w:rsid w:val="00AE5A1A"/>
    <w:rsid w:val="00AE601D"/>
    <w:rsid w:val="00AF1F8E"/>
    <w:rsid w:val="00AF2D06"/>
    <w:rsid w:val="00AF585A"/>
    <w:rsid w:val="00AF619A"/>
    <w:rsid w:val="00B0111C"/>
    <w:rsid w:val="00B05990"/>
    <w:rsid w:val="00B06FCA"/>
    <w:rsid w:val="00B11B2B"/>
    <w:rsid w:val="00B12A48"/>
    <w:rsid w:val="00B13B55"/>
    <w:rsid w:val="00B27D45"/>
    <w:rsid w:val="00B32ABC"/>
    <w:rsid w:val="00B34A9C"/>
    <w:rsid w:val="00B43CDF"/>
    <w:rsid w:val="00B44E27"/>
    <w:rsid w:val="00B55EB9"/>
    <w:rsid w:val="00B61118"/>
    <w:rsid w:val="00B63635"/>
    <w:rsid w:val="00B6435E"/>
    <w:rsid w:val="00B65690"/>
    <w:rsid w:val="00B65AE2"/>
    <w:rsid w:val="00B67803"/>
    <w:rsid w:val="00B7207F"/>
    <w:rsid w:val="00B7391C"/>
    <w:rsid w:val="00B74283"/>
    <w:rsid w:val="00B74DA9"/>
    <w:rsid w:val="00B77C48"/>
    <w:rsid w:val="00B8395B"/>
    <w:rsid w:val="00B85D8A"/>
    <w:rsid w:val="00B87258"/>
    <w:rsid w:val="00B913CB"/>
    <w:rsid w:val="00B91BB8"/>
    <w:rsid w:val="00B93255"/>
    <w:rsid w:val="00BA4520"/>
    <w:rsid w:val="00BA5CDE"/>
    <w:rsid w:val="00BB12DC"/>
    <w:rsid w:val="00BB2EA8"/>
    <w:rsid w:val="00BB5EAD"/>
    <w:rsid w:val="00BC5474"/>
    <w:rsid w:val="00BC64AA"/>
    <w:rsid w:val="00BD0F47"/>
    <w:rsid w:val="00BD2C7C"/>
    <w:rsid w:val="00BD4E0E"/>
    <w:rsid w:val="00BD6BDD"/>
    <w:rsid w:val="00BE078C"/>
    <w:rsid w:val="00BE2C3F"/>
    <w:rsid w:val="00BE3EB8"/>
    <w:rsid w:val="00BE5BA5"/>
    <w:rsid w:val="00BE6FEC"/>
    <w:rsid w:val="00BF1DF0"/>
    <w:rsid w:val="00BF2102"/>
    <w:rsid w:val="00BF3317"/>
    <w:rsid w:val="00BF36D6"/>
    <w:rsid w:val="00BF3BCA"/>
    <w:rsid w:val="00BF576E"/>
    <w:rsid w:val="00BF5C7D"/>
    <w:rsid w:val="00C009EF"/>
    <w:rsid w:val="00C0201E"/>
    <w:rsid w:val="00C04E69"/>
    <w:rsid w:val="00C109E5"/>
    <w:rsid w:val="00C154C7"/>
    <w:rsid w:val="00C1766D"/>
    <w:rsid w:val="00C24CF7"/>
    <w:rsid w:val="00C26727"/>
    <w:rsid w:val="00C26953"/>
    <w:rsid w:val="00C30197"/>
    <w:rsid w:val="00C32344"/>
    <w:rsid w:val="00C362EC"/>
    <w:rsid w:val="00C36EC4"/>
    <w:rsid w:val="00C3738D"/>
    <w:rsid w:val="00C41249"/>
    <w:rsid w:val="00C431C0"/>
    <w:rsid w:val="00C46614"/>
    <w:rsid w:val="00C524B7"/>
    <w:rsid w:val="00C53DC6"/>
    <w:rsid w:val="00C5516C"/>
    <w:rsid w:val="00C55371"/>
    <w:rsid w:val="00C55F16"/>
    <w:rsid w:val="00C618CA"/>
    <w:rsid w:val="00C6684E"/>
    <w:rsid w:val="00C748C7"/>
    <w:rsid w:val="00C868AC"/>
    <w:rsid w:val="00C92F9C"/>
    <w:rsid w:val="00C93A29"/>
    <w:rsid w:val="00C941BB"/>
    <w:rsid w:val="00C953D6"/>
    <w:rsid w:val="00CA0887"/>
    <w:rsid w:val="00CA0EED"/>
    <w:rsid w:val="00CA2618"/>
    <w:rsid w:val="00CA3F53"/>
    <w:rsid w:val="00CB46AF"/>
    <w:rsid w:val="00CB731B"/>
    <w:rsid w:val="00CC20B0"/>
    <w:rsid w:val="00CC2385"/>
    <w:rsid w:val="00CC2799"/>
    <w:rsid w:val="00CC4B66"/>
    <w:rsid w:val="00CC7A42"/>
    <w:rsid w:val="00CD0213"/>
    <w:rsid w:val="00CD141C"/>
    <w:rsid w:val="00CD4BEF"/>
    <w:rsid w:val="00CE137A"/>
    <w:rsid w:val="00CE2416"/>
    <w:rsid w:val="00CE2DC2"/>
    <w:rsid w:val="00CE695E"/>
    <w:rsid w:val="00CE7CEE"/>
    <w:rsid w:val="00CF361B"/>
    <w:rsid w:val="00CF5192"/>
    <w:rsid w:val="00CF589F"/>
    <w:rsid w:val="00CF62CF"/>
    <w:rsid w:val="00CF6740"/>
    <w:rsid w:val="00CF685D"/>
    <w:rsid w:val="00D176C5"/>
    <w:rsid w:val="00D212CD"/>
    <w:rsid w:val="00D22B2C"/>
    <w:rsid w:val="00D23B3E"/>
    <w:rsid w:val="00D24F02"/>
    <w:rsid w:val="00D3027E"/>
    <w:rsid w:val="00D32D55"/>
    <w:rsid w:val="00D451B8"/>
    <w:rsid w:val="00D4728D"/>
    <w:rsid w:val="00D56342"/>
    <w:rsid w:val="00D60F37"/>
    <w:rsid w:val="00D63F55"/>
    <w:rsid w:val="00D64D49"/>
    <w:rsid w:val="00D72946"/>
    <w:rsid w:val="00D74171"/>
    <w:rsid w:val="00D7573C"/>
    <w:rsid w:val="00D77EC0"/>
    <w:rsid w:val="00D853B4"/>
    <w:rsid w:val="00D87C56"/>
    <w:rsid w:val="00D93C79"/>
    <w:rsid w:val="00D9727E"/>
    <w:rsid w:val="00DA0BFF"/>
    <w:rsid w:val="00DA562F"/>
    <w:rsid w:val="00DA6FBA"/>
    <w:rsid w:val="00DB5700"/>
    <w:rsid w:val="00DC1856"/>
    <w:rsid w:val="00DC4D79"/>
    <w:rsid w:val="00DD1DDD"/>
    <w:rsid w:val="00DD506A"/>
    <w:rsid w:val="00DD59A3"/>
    <w:rsid w:val="00DE3D41"/>
    <w:rsid w:val="00DE698B"/>
    <w:rsid w:val="00DF0DF9"/>
    <w:rsid w:val="00DF7964"/>
    <w:rsid w:val="00DF7DFC"/>
    <w:rsid w:val="00E01432"/>
    <w:rsid w:val="00E03089"/>
    <w:rsid w:val="00E040A8"/>
    <w:rsid w:val="00E110FD"/>
    <w:rsid w:val="00E111DA"/>
    <w:rsid w:val="00E132C6"/>
    <w:rsid w:val="00E15DE1"/>
    <w:rsid w:val="00E17B78"/>
    <w:rsid w:val="00E2360E"/>
    <w:rsid w:val="00E4102B"/>
    <w:rsid w:val="00E45F78"/>
    <w:rsid w:val="00E52215"/>
    <w:rsid w:val="00E54E09"/>
    <w:rsid w:val="00E6160D"/>
    <w:rsid w:val="00E6460E"/>
    <w:rsid w:val="00E659A7"/>
    <w:rsid w:val="00E7683A"/>
    <w:rsid w:val="00E90ADD"/>
    <w:rsid w:val="00E93A06"/>
    <w:rsid w:val="00E9425F"/>
    <w:rsid w:val="00E951C9"/>
    <w:rsid w:val="00E961B1"/>
    <w:rsid w:val="00E97851"/>
    <w:rsid w:val="00EA1EC8"/>
    <w:rsid w:val="00EA205A"/>
    <w:rsid w:val="00EA7911"/>
    <w:rsid w:val="00EC0DDE"/>
    <w:rsid w:val="00EC627A"/>
    <w:rsid w:val="00ED030A"/>
    <w:rsid w:val="00ED12AD"/>
    <w:rsid w:val="00ED42D1"/>
    <w:rsid w:val="00ED4CEC"/>
    <w:rsid w:val="00ED776B"/>
    <w:rsid w:val="00EE57AF"/>
    <w:rsid w:val="00EE68E4"/>
    <w:rsid w:val="00EE78FA"/>
    <w:rsid w:val="00EF1A55"/>
    <w:rsid w:val="00EF2252"/>
    <w:rsid w:val="00EF6B30"/>
    <w:rsid w:val="00F0021F"/>
    <w:rsid w:val="00F0273A"/>
    <w:rsid w:val="00F04AEC"/>
    <w:rsid w:val="00F12F76"/>
    <w:rsid w:val="00F14422"/>
    <w:rsid w:val="00F2029C"/>
    <w:rsid w:val="00F21BD2"/>
    <w:rsid w:val="00F24854"/>
    <w:rsid w:val="00F26B86"/>
    <w:rsid w:val="00F30B8C"/>
    <w:rsid w:val="00F378EE"/>
    <w:rsid w:val="00F41548"/>
    <w:rsid w:val="00F447C8"/>
    <w:rsid w:val="00F46F82"/>
    <w:rsid w:val="00F477C0"/>
    <w:rsid w:val="00F478E1"/>
    <w:rsid w:val="00F53C8E"/>
    <w:rsid w:val="00F54533"/>
    <w:rsid w:val="00F61F25"/>
    <w:rsid w:val="00F63E8F"/>
    <w:rsid w:val="00F64E54"/>
    <w:rsid w:val="00F7285C"/>
    <w:rsid w:val="00F775AC"/>
    <w:rsid w:val="00F7773F"/>
    <w:rsid w:val="00F813B4"/>
    <w:rsid w:val="00F879F4"/>
    <w:rsid w:val="00F91DAC"/>
    <w:rsid w:val="00F91F05"/>
    <w:rsid w:val="00F94E95"/>
    <w:rsid w:val="00F96207"/>
    <w:rsid w:val="00F96756"/>
    <w:rsid w:val="00F97615"/>
    <w:rsid w:val="00FA4F60"/>
    <w:rsid w:val="00FA7AF0"/>
    <w:rsid w:val="00FB11D7"/>
    <w:rsid w:val="00FB7658"/>
    <w:rsid w:val="00FC37BD"/>
    <w:rsid w:val="00FC3D42"/>
    <w:rsid w:val="00FD0D53"/>
    <w:rsid w:val="00FD62B4"/>
    <w:rsid w:val="00FD73F2"/>
    <w:rsid w:val="00FE35A9"/>
    <w:rsid w:val="00FE55A5"/>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98B"/>
    <w:pPr>
      <w:spacing w:line="480" w:lineRule="auto"/>
      <w:ind w:firstLine="720"/>
      <w:jc w:val="both"/>
    </w:pPr>
    <w:rPr>
      <w:rFonts w:ascii="Times New Roman" w:eastAsiaTheme="minorEastAsia" w:hAnsi="Times New Roman" w:cs="Times New Roman"/>
      <w:kern w:val="24"/>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C362EC"/>
    <w:rPr>
      <w:b w:val="0"/>
    </w:rPr>
  </w:style>
  <w:style w:type="character" w:customStyle="1" w:styleId="TitleChar">
    <w:name w:val="Title Char"/>
    <w:basedOn w:val="DefaultParagraphFont"/>
    <w:link w:val="Title"/>
    <w:uiPriority w:val="10"/>
    <w:rsid w:val="00C362EC"/>
    <w:rPr>
      <w:rFonts w:ascii="Times New Roman" w:eastAsiaTheme="majorEastAsia" w:hAnsi="Times New Roman" w:cstheme="majorBidi"/>
      <w:bCs/>
      <w:kern w:val="24"/>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127559"/>
    <w:pPr>
      <w:ind w:left="720" w:hanging="72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unhideWhenUsed/>
    <w:rsid w:val="00AD1F7D"/>
    <w:pPr>
      <w:ind w:firstLine="0"/>
    </w:p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110DD8"/>
    <w:pPr>
      <w:ind w:left="720" w:right="740" w:firstLine="0"/>
    </w:pPr>
  </w:style>
  <w:style w:type="paragraph" w:customStyle="1" w:styleId="authors">
    <w:name w:val="authors"/>
    <w:basedOn w:val="Heading1"/>
    <w:qFormat/>
    <w:rsid w:val="00E01432"/>
    <w:rPr>
      <w:b w:val="0"/>
    </w:rPr>
  </w:style>
  <w:style w:type="paragraph" w:customStyle="1" w:styleId="Title1">
    <w:name w:val="Title1"/>
    <w:basedOn w:val="Heading1"/>
    <w:qFormat/>
    <w:rsid w:val="00BB2EA8"/>
    <w:rPr>
      <w:b w:val="0"/>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 w:type="character" w:customStyle="1" w:styleId="highlight">
    <w:name w:val="highlight"/>
    <w:basedOn w:val="DefaultParagraphFont"/>
    <w:rsid w:val="00EF1A55"/>
  </w:style>
  <w:style w:type="character" w:customStyle="1" w:styleId="citation">
    <w:name w:val="citation"/>
    <w:basedOn w:val="DefaultParagraphFont"/>
    <w:rsid w:val="00EF1A55"/>
  </w:style>
  <w:style w:type="character" w:customStyle="1" w:styleId="citation-item">
    <w:name w:val="citation-item"/>
    <w:basedOn w:val="DefaultParagraphFont"/>
    <w:rsid w:val="00EF1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15159">
      <w:bodyDiv w:val="1"/>
      <w:marLeft w:val="0"/>
      <w:marRight w:val="0"/>
      <w:marTop w:val="0"/>
      <w:marBottom w:val="0"/>
      <w:divBdr>
        <w:top w:val="none" w:sz="0" w:space="0" w:color="auto"/>
        <w:left w:val="none" w:sz="0" w:space="0" w:color="auto"/>
        <w:bottom w:val="none" w:sz="0" w:space="0" w:color="auto"/>
        <w:right w:val="none" w:sz="0" w:space="0" w:color="auto"/>
      </w:divBdr>
      <w:divsChild>
        <w:div w:id="1362978650">
          <w:marLeft w:val="0"/>
          <w:marRight w:val="0"/>
          <w:marTop w:val="0"/>
          <w:marBottom w:val="0"/>
          <w:divBdr>
            <w:top w:val="none" w:sz="0" w:space="0" w:color="auto"/>
            <w:left w:val="none" w:sz="0" w:space="0" w:color="auto"/>
            <w:bottom w:val="none" w:sz="0" w:space="0" w:color="auto"/>
            <w:right w:val="none" w:sz="0" w:space="0" w:color="auto"/>
          </w:divBdr>
          <w:divsChild>
            <w:div w:id="18097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2950">
      <w:bodyDiv w:val="1"/>
      <w:marLeft w:val="0"/>
      <w:marRight w:val="0"/>
      <w:marTop w:val="0"/>
      <w:marBottom w:val="0"/>
      <w:divBdr>
        <w:top w:val="none" w:sz="0" w:space="0" w:color="auto"/>
        <w:left w:val="none" w:sz="0" w:space="0" w:color="auto"/>
        <w:bottom w:val="none" w:sz="0" w:space="0" w:color="auto"/>
        <w:right w:val="none" w:sz="0" w:space="0" w:color="auto"/>
      </w:divBdr>
      <w:divsChild>
        <w:div w:id="654604009">
          <w:marLeft w:val="0"/>
          <w:marRight w:val="0"/>
          <w:marTop w:val="0"/>
          <w:marBottom w:val="0"/>
          <w:divBdr>
            <w:top w:val="none" w:sz="0" w:space="0" w:color="auto"/>
            <w:left w:val="none" w:sz="0" w:space="0" w:color="auto"/>
            <w:bottom w:val="none" w:sz="0" w:space="0" w:color="auto"/>
            <w:right w:val="none" w:sz="0" w:space="0" w:color="auto"/>
          </w:divBdr>
          <w:divsChild>
            <w:div w:id="12893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6524">
      <w:bodyDiv w:val="1"/>
      <w:marLeft w:val="0"/>
      <w:marRight w:val="0"/>
      <w:marTop w:val="0"/>
      <w:marBottom w:val="0"/>
      <w:divBdr>
        <w:top w:val="none" w:sz="0" w:space="0" w:color="auto"/>
        <w:left w:val="none" w:sz="0" w:space="0" w:color="auto"/>
        <w:bottom w:val="none" w:sz="0" w:space="0" w:color="auto"/>
        <w:right w:val="none" w:sz="0" w:space="0" w:color="auto"/>
      </w:divBdr>
      <w:divsChild>
        <w:div w:id="514197481">
          <w:marLeft w:val="0"/>
          <w:marRight w:val="0"/>
          <w:marTop w:val="0"/>
          <w:marBottom w:val="0"/>
          <w:divBdr>
            <w:top w:val="none" w:sz="0" w:space="0" w:color="auto"/>
            <w:left w:val="none" w:sz="0" w:space="0" w:color="auto"/>
            <w:bottom w:val="none" w:sz="0" w:space="0" w:color="auto"/>
            <w:right w:val="none" w:sz="0" w:space="0" w:color="auto"/>
          </w:divBdr>
          <w:divsChild>
            <w:div w:id="5351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3019">
      <w:bodyDiv w:val="1"/>
      <w:marLeft w:val="0"/>
      <w:marRight w:val="0"/>
      <w:marTop w:val="0"/>
      <w:marBottom w:val="0"/>
      <w:divBdr>
        <w:top w:val="none" w:sz="0" w:space="0" w:color="auto"/>
        <w:left w:val="none" w:sz="0" w:space="0" w:color="auto"/>
        <w:bottom w:val="none" w:sz="0" w:space="0" w:color="auto"/>
        <w:right w:val="none" w:sz="0" w:space="0" w:color="auto"/>
      </w:divBdr>
    </w:div>
    <w:div w:id="458501195">
      <w:bodyDiv w:val="1"/>
      <w:marLeft w:val="0"/>
      <w:marRight w:val="0"/>
      <w:marTop w:val="0"/>
      <w:marBottom w:val="0"/>
      <w:divBdr>
        <w:top w:val="none" w:sz="0" w:space="0" w:color="auto"/>
        <w:left w:val="none" w:sz="0" w:space="0" w:color="auto"/>
        <w:bottom w:val="none" w:sz="0" w:space="0" w:color="auto"/>
        <w:right w:val="none" w:sz="0" w:space="0" w:color="auto"/>
      </w:divBdr>
    </w:div>
    <w:div w:id="576670776">
      <w:bodyDiv w:val="1"/>
      <w:marLeft w:val="0"/>
      <w:marRight w:val="0"/>
      <w:marTop w:val="0"/>
      <w:marBottom w:val="0"/>
      <w:divBdr>
        <w:top w:val="none" w:sz="0" w:space="0" w:color="auto"/>
        <w:left w:val="none" w:sz="0" w:space="0" w:color="auto"/>
        <w:bottom w:val="none" w:sz="0" w:space="0" w:color="auto"/>
        <w:right w:val="none" w:sz="0" w:space="0" w:color="auto"/>
      </w:divBdr>
      <w:divsChild>
        <w:div w:id="565144524">
          <w:marLeft w:val="0"/>
          <w:marRight w:val="0"/>
          <w:marTop w:val="0"/>
          <w:marBottom w:val="0"/>
          <w:divBdr>
            <w:top w:val="none" w:sz="0" w:space="0" w:color="auto"/>
            <w:left w:val="none" w:sz="0" w:space="0" w:color="auto"/>
            <w:bottom w:val="none" w:sz="0" w:space="0" w:color="auto"/>
            <w:right w:val="none" w:sz="0" w:space="0" w:color="auto"/>
          </w:divBdr>
          <w:divsChild>
            <w:div w:id="4988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78026">
      <w:bodyDiv w:val="1"/>
      <w:marLeft w:val="0"/>
      <w:marRight w:val="0"/>
      <w:marTop w:val="0"/>
      <w:marBottom w:val="0"/>
      <w:divBdr>
        <w:top w:val="none" w:sz="0" w:space="0" w:color="auto"/>
        <w:left w:val="none" w:sz="0" w:space="0" w:color="auto"/>
        <w:bottom w:val="none" w:sz="0" w:space="0" w:color="auto"/>
        <w:right w:val="none" w:sz="0" w:space="0" w:color="auto"/>
      </w:divBdr>
      <w:divsChild>
        <w:div w:id="1670984799">
          <w:marLeft w:val="0"/>
          <w:marRight w:val="0"/>
          <w:marTop w:val="0"/>
          <w:marBottom w:val="0"/>
          <w:divBdr>
            <w:top w:val="none" w:sz="0" w:space="0" w:color="auto"/>
            <w:left w:val="none" w:sz="0" w:space="0" w:color="auto"/>
            <w:bottom w:val="none" w:sz="0" w:space="0" w:color="auto"/>
            <w:right w:val="none" w:sz="0" w:space="0" w:color="auto"/>
          </w:divBdr>
          <w:divsChild>
            <w:div w:id="161621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0677">
      <w:bodyDiv w:val="1"/>
      <w:marLeft w:val="0"/>
      <w:marRight w:val="0"/>
      <w:marTop w:val="0"/>
      <w:marBottom w:val="0"/>
      <w:divBdr>
        <w:top w:val="none" w:sz="0" w:space="0" w:color="auto"/>
        <w:left w:val="none" w:sz="0" w:space="0" w:color="auto"/>
        <w:bottom w:val="none" w:sz="0" w:space="0" w:color="auto"/>
        <w:right w:val="none" w:sz="0" w:space="0" w:color="auto"/>
      </w:divBdr>
      <w:divsChild>
        <w:div w:id="98332394">
          <w:marLeft w:val="0"/>
          <w:marRight w:val="0"/>
          <w:marTop w:val="0"/>
          <w:marBottom w:val="0"/>
          <w:divBdr>
            <w:top w:val="none" w:sz="0" w:space="0" w:color="auto"/>
            <w:left w:val="none" w:sz="0" w:space="0" w:color="auto"/>
            <w:bottom w:val="none" w:sz="0" w:space="0" w:color="auto"/>
            <w:right w:val="none" w:sz="0" w:space="0" w:color="auto"/>
          </w:divBdr>
          <w:divsChild>
            <w:div w:id="17040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859">
      <w:bodyDiv w:val="1"/>
      <w:marLeft w:val="0"/>
      <w:marRight w:val="0"/>
      <w:marTop w:val="0"/>
      <w:marBottom w:val="0"/>
      <w:divBdr>
        <w:top w:val="none" w:sz="0" w:space="0" w:color="auto"/>
        <w:left w:val="none" w:sz="0" w:space="0" w:color="auto"/>
        <w:bottom w:val="none" w:sz="0" w:space="0" w:color="auto"/>
        <w:right w:val="none" w:sz="0" w:space="0" w:color="auto"/>
      </w:divBdr>
    </w:div>
    <w:div w:id="900948998">
      <w:bodyDiv w:val="1"/>
      <w:marLeft w:val="0"/>
      <w:marRight w:val="0"/>
      <w:marTop w:val="0"/>
      <w:marBottom w:val="0"/>
      <w:divBdr>
        <w:top w:val="none" w:sz="0" w:space="0" w:color="auto"/>
        <w:left w:val="none" w:sz="0" w:space="0" w:color="auto"/>
        <w:bottom w:val="none" w:sz="0" w:space="0" w:color="auto"/>
        <w:right w:val="none" w:sz="0" w:space="0" w:color="auto"/>
      </w:divBdr>
    </w:div>
    <w:div w:id="967973461">
      <w:bodyDiv w:val="1"/>
      <w:marLeft w:val="0"/>
      <w:marRight w:val="0"/>
      <w:marTop w:val="0"/>
      <w:marBottom w:val="0"/>
      <w:divBdr>
        <w:top w:val="none" w:sz="0" w:space="0" w:color="auto"/>
        <w:left w:val="none" w:sz="0" w:space="0" w:color="auto"/>
        <w:bottom w:val="none" w:sz="0" w:space="0" w:color="auto"/>
        <w:right w:val="none" w:sz="0" w:space="0" w:color="auto"/>
      </w:divBdr>
      <w:divsChild>
        <w:div w:id="1307050923">
          <w:marLeft w:val="0"/>
          <w:marRight w:val="0"/>
          <w:marTop w:val="0"/>
          <w:marBottom w:val="0"/>
          <w:divBdr>
            <w:top w:val="none" w:sz="0" w:space="0" w:color="auto"/>
            <w:left w:val="none" w:sz="0" w:space="0" w:color="auto"/>
            <w:bottom w:val="none" w:sz="0" w:space="0" w:color="auto"/>
            <w:right w:val="none" w:sz="0" w:space="0" w:color="auto"/>
          </w:divBdr>
          <w:divsChild>
            <w:div w:id="138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0843">
      <w:bodyDiv w:val="1"/>
      <w:marLeft w:val="0"/>
      <w:marRight w:val="0"/>
      <w:marTop w:val="0"/>
      <w:marBottom w:val="0"/>
      <w:divBdr>
        <w:top w:val="none" w:sz="0" w:space="0" w:color="auto"/>
        <w:left w:val="none" w:sz="0" w:space="0" w:color="auto"/>
        <w:bottom w:val="none" w:sz="0" w:space="0" w:color="auto"/>
        <w:right w:val="none" w:sz="0" w:space="0" w:color="auto"/>
      </w:divBdr>
      <w:divsChild>
        <w:div w:id="739258357">
          <w:marLeft w:val="0"/>
          <w:marRight w:val="0"/>
          <w:marTop w:val="0"/>
          <w:marBottom w:val="0"/>
          <w:divBdr>
            <w:top w:val="none" w:sz="0" w:space="0" w:color="auto"/>
            <w:left w:val="none" w:sz="0" w:space="0" w:color="auto"/>
            <w:bottom w:val="none" w:sz="0" w:space="0" w:color="auto"/>
            <w:right w:val="none" w:sz="0" w:space="0" w:color="auto"/>
          </w:divBdr>
        </w:div>
        <w:div w:id="1406956347">
          <w:marLeft w:val="0"/>
          <w:marRight w:val="0"/>
          <w:marTop w:val="0"/>
          <w:marBottom w:val="0"/>
          <w:divBdr>
            <w:top w:val="none" w:sz="0" w:space="0" w:color="auto"/>
            <w:left w:val="none" w:sz="0" w:space="0" w:color="auto"/>
            <w:bottom w:val="none" w:sz="0" w:space="0" w:color="auto"/>
            <w:right w:val="none" w:sz="0" w:space="0" w:color="auto"/>
          </w:divBdr>
        </w:div>
      </w:divsChild>
    </w:div>
    <w:div w:id="1067145051">
      <w:bodyDiv w:val="1"/>
      <w:marLeft w:val="0"/>
      <w:marRight w:val="0"/>
      <w:marTop w:val="0"/>
      <w:marBottom w:val="0"/>
      <w:divBdr>
        <w:top w:val="none" w:sz="0" w:space="0" w:color="auto"/>
        <w:left w:val="none" w:sz="0" w:space="0" w:color="auto"/>
        <w:bottom w:val="none" w:sz="0" w:space="0" w:color="auto"/>
        <w:right w:val="none" w:sz="0" w:space="0" w:color="auto"/>
      </w:divBdr>
      <w:divsChild>
        <w:div w:id="1179320371">
          <w:marLeft w:val="0"/>
          <w:marRight w:val="0"/>
          <w:marTop w:val="0"/>
          <w:marBottom w:val="0"/>
          <w:divBdr>
            <w:top w:val="none" w:sz="0" w:space="0" w:color="auto"/>
            <w:left w:val="none" w:sz="0" w:space="0" w:color="auto"/>
            <w:bottom w:val="none" w:sz="0" w:space="0" w:color="auto"/>
            <w:right w:val="none" w:sz="0" w:space="0" w:color="auto"/>
          </w:divBdr>
          <w:divsChild>
            <w:div w:id="210641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1398">
      <w:bodyDiv w:val="1"/>
      <w:marLeft w:val="0"/>
      <w:marRight w:val="0"/>
      <w:marTop w:val="0"/>
      <w:marBottom w:val="0"/>
      <w:divBdr>
        <w:top w:val="none" w:sz="0" w:space="0" w:color="auto"/>
        <w:left w:val="none" w:sz="0" w:space="0" w:color="auto"/>
        <w:bottom w:val="none" w:sz="0" w:space="0" w:color="auto"/>
        <w:right w:val="none" w:sz="0" w:space="0" w:color="auto"/>
      </w:divBdr>
      <w:divsChild>
        <w:div w:id="437524087">
          <w:marLeft w:val="0"/>
          <w:marRight w:val="0"/>
          <w:marTop w:val="0"/>
          <w:marBottom w:val="0"/>
          <w:divBdr>
            <w:top w:val="none" w:sz="0" w:space="0" w:color="auto"/>
            <w:left w:val="none" w:sz="0" w:space="0" w:color="auto"/>
            <w:bottom w:val="none" w:sz="0" w:space="0" w:color="auto"/>
            <w:right w:val="none" w:sz="0" w:space="0" w:color="auto"/>
          </w:divBdr>
          <w:divsChild>
            <w:div w:id="141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55650">
      <w:bodyDiv w:val="1"/>
      <w:marLeft w:val="0"/>
      <w:marRight w:val="0"/>
      <w:marTop w:val="0"/>
      <w:marBottom w:val="0"/>
      <w:divBdr>
        <w:top w:val="none" w:sz="0" w:space="0" w:color="auto"/>
        <w:left w:val="none" w:sz="0" w:space="0" w:color="auto"/>
        <w:bottom w:val="none" w:sz="0" w:space="0" w:color="auto"/>
        <w:right w:val="none" w:sz="0" w:space="0" w:color="auto"/>
      </w:divBdr>
      <w:divsChild>
        <w:div w:id="845752942">
          <w:marLeft w:val="0"/>
          <w:marRight w:val="0"/>
          <w:marTop w:val="0"/>
          <w:marBottom w:val="0"/>
          <w:divBdr>
            <w:top w:val="none" w:sz="0" w:space="0" w:color="auto"/>
            <w:left w:val="none" w:sz="0" w:space="0" w:color="auto"/>
            <w:bottom w:val="none" w:sz="0" w:space="0" w:color="auto"/>
            <w:right w:val="none" w:sz="0" w:space="0" w:color="auto"/>
          </w:divBdr>
          <w:divsChild>
            <w:div w:id="40534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75060">
      <w:bodyDiv w:val="1"/>
      <w:marLeft w:val="0"/>
      <w:marRight w:val="0"/>
      <w:marTop w:val="0"/>
      <w:marBottom w:val="0"/>
      <w:divBdr>
        <w:top w:val="none" w:sz="0" w:space="0" w:color="auto"/>
        <w:left w:val="none" w:sz="0" w:space="0" w:color="auto"/>
        <w:bottom w:val="none" w:sz="0" w:space="0" w:color="auto"/>
        <w:right w:val="none" w:sz="0" w:space="0" w:color="auto"/>
      </w:divBdr>
      <w:divsChild>
        <w:div w:id="131558253">
          <w:marLeft w:val="0"/>
          <w:marRight w:val="0"/>
          <w:marTop w:val="0"/>
          <w:marBottom w:val="0"/>
          <w:divBdr>
            <w:top w:val="none" w:sz="0" w:space="0" w:color="auto"/>
            <w:left w:val="none" w:sz="0" w:space="0" w:color="auto"/>
            <w:bottom w:val="none" w:sz="0" w:space="0" w:color="auto"/>
            <w:right w:val="none" w:sz="0" w:space="0" w:color="auto"/>
          </w:divBdr>
          <w:divsChild>
            <w:div w:id="210510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403">
      <w:bodyDiv w:val="1"/>
      <w:marLeft w:val="0"/>
      <w:marRight w:val="0"/>
      <w:marTop w:val="0"/>
      <w:marBottom w:val="0"/>
      <w:divBdr>
        <w:top w:val="none" w:sz="0" w:space="0" w:color="auto"/>
        <w:left w:val="none" w:sz="0" w:space="0" w:color="auto"/>
        <w:bottom w:val="none" w:sz="0" w:space="0" w:color="auto"/>
        <w:right w:val="none" w:sz="0" w:space="0" w:color="auto"/>
      </w:divBdr>
      <w:divsChild>
        <w:div w:id="409542330">
          <w:marLeft w:val="0"/>
          <w:marRight w:val="0"/>
          <w:marTop w:val="0"/>
          <w:marBottom w:val="0"/>
          <w:divBdr>
            <w:top w:val="none" w:sz="0" w:space="0" w:color="auto"/>
            <w:left w:val="none" w:sz="0" w:space="0" w:color="auto"/>
            <w:bottom w:val="none" w:sz="0" w:space="0" w:color="auto"/>
            <w:right w:val="none" w:sz="0" w:space="0" w:color="auto"/>
          </w:divBdr>
          <w:divsChild>
            <w:div w:id="19683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174833">
      <w:bodyDiv w:val="1"/>
      <w:marLeft w:val="0"/>
      <w:marRight w:val="0"/>
      <w:marTop w:val="0"/>
      <w:marBottom w:val="0"/>
      <w:divBdr>
        <w:top w:val="none" w:sz="0" w:space="0" w:color="auto"/>
        <w:left w:val="none" w:sz="0" w:space="0" w:color="auto"/>
        <w:bottom w:val="none" w:sz="0" w:space="0" w:color="auto"/>
        <w:right w:val="none" w:sz="0" w:space="0" w:color="auto"/>
      </w:divBdr>
      <w:divsChild>
        <w:div w:id="695811933">
          <w:marLeft w:val="0"/>
          <w:marRight w:val="0"/>
          <w:marTop w:val="0"/>
          <w:marBottom w:val="0"/>
          <w:divBdr>
            <w:top w:val="none" w:sz="0" w:space="0" w:color="auto"/>
            <w:left w:val="none" w:sz="0" w:space="0" w:color="auto"/>
            <w:bottom w:val="none" w:sz="0" w:space="0" w:color="auto"/>
            <w:right w:val="none" w:sz="0" w:space="0" w:color="auto"/>
          </w:divBdr>
          <w:divsChild>
            <w:div w:id="73624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588">
      <w:bodyDiv w:val="1"/>
      <w:marLeft w:val="0"/>
      <w:marRight w:val="0"/>
      <w:marTop w:val="0"/>
      <w:marBottom w:val="0"/>
      <w:divBdr>
        <w:top w:val="none" w:sz="0" w:space="0" w:color="auto"/>
        <w:left w:val="none" w:sz="0" w:space="0" w:color="auto"/>
        <w:bottom w:val="none" w:sz="0" w:space="0" w:color="auto"/>
        <w:right w:val="none" w:sz="0" w:space="0" w:color="auto"/>
      </w:divBdr>
    </w:div>
    <w:div w:id="1773351837">
      <w:bodyDiv w:val="1"/>
      <w:marLeft w:val="0"/>
      <w:marRight w:val="0"/>
      <w:marTop w:val="0"/>
      <w:marBottom w:val="0"/>
      <w:divBdr>
        <w:top w:val="none" w:sz="0" w:space="0" w:color="auto"/>
        <w:left w:val="none" w:sz="0" w:space="0" w:color="auto"/>
        <w:bottom w:val="none" w:sz="0" w:space="0" w:color="auto"/>
        <w:right w:val="none" w:sz="0" w:space="0" w:color="auto"/>
      </w:divBdr>
      <w:divsChild>
        <w:div w:id="325745472">
          <w:marLeft w:val="0"/>
          <w:marRight w:val="0"/>
          <w:marTop w:val="0"/>
          <w:marBottom w:val="0"/>
          <w:divBdr>
            <w:top w:val="none" w:sz="0" w:space="0" w:color="auto"/>
            <w:left w:val="none" w:sz="0" w:space="0" w:color="auto"/>
            <w:bottom w:val="none" w:sz="0" w:space="0" w:color="auto"/>
            <w:right w:val="none" w:sz="0" w:space="0" w:color="auto"/>
          </w:divBdr>
          <w:divsChild>
            <w:div w:id="16787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19136">
      <w:bodyDiv w:val="1"/>
      <w:marLeft w:val="0"/>
      <w:marRight w:val="0"/>
      <w:marTop w:val="0"/>
      <w:marBottom w:val="0"/>
      <w:divBdr>
        <w:top w:val="none" w:sz="0" w:space="0" w:color="auto"/>
        <w:left w:val="none" w:sz="0" w:space="0" w:color="auto"/>
        <w:bottom w:val="none" w:sz="0" w:space="0" w:color="auto"/>
        <w:right w:val="none" w:sz="0" w:space="0" w:color="auto"/>
      </w:divBdr>
      <w:divsChild>
        <w:div w:id="1201210454">
          <w:marLeft w:val="0"/>
          <w:marRight w:val="0"/>
          <w:marTop w:val="0"/>
          <w:marBottom w:val="0"/>
          <w:divBdr>
            <w:top w:val="none" w:sz="0" w:space="0" w:color="auto"/>
            <w:left w:val="none" w:sz="0" w:space="0" w:color="auto"/>
            <w:bottom w:val="none" w:sz="0" w:space="0" w:color="auto"/>
            <w:right w:val="none" w:sz="0" w:space="0" w:color="auto"/>
          </w:divBdr>
          <w:divsChild>
            <w:div w:id="145085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7710">
      <w:bodyDiv w:val="1"/>
      <w:marLeft w:val="0"/>
      <w:marRight w:val="0"/>
      <w:marTop w:val="0"/>
      <w:marBottom w:val="0"/>
      <w:divBdr>
        <w:top w:val="none" w:sz="0" w:space="0" w:color="auto"/>
        <w:left w:val="none" w:sz="0" w:space="0" w:color="auto"/>
        <w:bottom w:val="none" w:sz="0" w:space="0" w:color="auto"/>
        <w:right w:val="none" w:sz="0" w:space="0" w:color="auto"/>
      </w:divBdr>
      <w:divsChild>
        <w:div w:id="802188362">
          <w:marLeft w:val="0"/>
          <w:marRight w:val="0"/>
          <w:marTop w:val="0"/>
          <w:marBottom w:val="0"/>
          <w:divBdr>
            <w:top w:val="none" w:sz="0" w:space="0" w:color="auto"/>
            <w:left w:val="none" w:sz="0" w:space="0" w:color="auto"/>
            <w:bottom w:val="none" w:sz="0" w:space="0" w:color="auto"/>
            <w:right w:val="none" w:sz="0" w:space="0" w:color="auto"/>
          </w:divBdr>
          <w:divsChild>
            <w:div w:id="165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527366">
      <w:bodyDiv w:val="1"/>
      <w:marLeft w:val="0"/>
      <w:marRight w:val="0"/>
      <w:marTop w:val="0"/>
      <w:marBottom w:val="0"/>
      <w:divBdr>
        <w:top w:val="none" w:sz="0" w:space="0" w:color="auto"/>
        <w:left w:val="none" w:sz="0" w:space="0" w:color="auto"/>
        <w:bottom w:val="none" w:sz="0" w:space="0" w:color="auto"/>
        <w:right w:val="none" w:sz="0" w:space="0" w:color="auto"/>
      </w:divBdr>
      <w:divsChild>
        <w:div w:id="1794905229">
          <w:marLeft w:val="0"/>
          <w:marRight w:val="0"/>
          <w:marTop w:val="0"/>
          <w:marBottom w:val="0"/>
          <w:divBdr>
            <w:top w:val="none" w:sz="0" w:space="0" w:color="auto"/>
            <w:left w:val="none" w:sz="0" w:space="0" w:color="auto"/>
            <w:bottom w:val="none" w:sz="0" w:space="0" w:color="auto"/>
            <w:right w:val="none" w:sz="0" w:space="0" w:color="auto"/>
          </w:divBdr>
          <w:divsChild>
            <w:div w:id="117121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9216">
      <w:bodyDiv w:val="1"/>
      <w:marLeft w:val="0"/>
      <w:marRight w:val="0"/>
      <w:marTop w:val="0"/>
      <w:marBottom w:val="0"/>
      <w:divBdr>
        <w:top w:val="none" w:sz="0" w:space="0" w:color="auto"/>
        <w:left w:val="none" w:sz="0" w:space="0" w:color="auto"/>
        <w:bottom w:val="none" w:sz="0" w:space="0" w:color="auto"/>
        <w:right w:val="none" w:sz="0" w:space="0" w:color="auto"/>
      </w:divBdr>
      <w:divsChild>
        <w:div w:id="1939634778">
          <w:marLeft w:val="0"/>
          <w:marRight w:val="0"/>
          <w:marTop w:val="0"/>
          <w:marBottom w:val="0"/>
          <w:divBdr>
            <w:top w:val="none" w:sz="0" w:space="0" w:color="auto"/>
            <w:left w:val="none" w:sz="0" w:space="0" w:color="auto"/>
            <w:bottom w:val="none" w:sz="0" w:space="0" w:color="auto"/>
            <w:right w:val="none" w:sz="0" w:space="0" w:color="auto"/>
          </w:divBdr>
          <w:divsChild>
            <w:div w:id="56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09130">
      <w:bodyDiv w:val="1"/>
      <w:marLeft w:val="0"/>
      <w:marRight w:val="0"/>
      <w:marTop w:val="0"/>
      <w:marBottom w:val="0"/>
      <w:divBdr>
        <w:top w:val="none" w:sz="0" w:space="0" w:color="auto"/>
        <w:left w:val="none" w:sz="0" w:space="0" w:color="auto"/>
        <w:bottom w:val="none" w:sz="0" w:space="0" w:color="auto"/>
        <w:right w:val="none" w:sz="0" w:space="0" w:color="auto"/>
      </w:divBdr>
      <w:divsChild>
        <w:div w:id="64911585">
          <w:marLeft w:val="0"/>
          <w:marRight w:val="0"/>
          <w:marTop w:val="0"/>
          <w:marBottom w:val="0"/>
          <w:divBdr>
            <w:top w:val="none" w:sz="0" w:space="0" w:color="auto"/>
            <w:left w:val="none" w:sz="0" w:space="0" w:color="auto"/>
            <w:bottom w:val="none" w:sz="0" w:space="0" w:color="auto"/>
            <w:right w:val="none" w:sz="0" w:space="0" w:color="auto"/>
          </w:divBdr>
          <w:divsChild>
            <w:div w:id="1059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1836">
      <w:bodyDiv w:val="1"/>
      <w:marLeft w:val="0"/>
      <w:marRight w:val="0"/>
      <w:marTop w:val="0"/>
      <w:marBottom w:val="0"/>
      <w:divBdr>
        <w:top w:val="none" w:sz="0" w:space="0" w:color="auto"/>
        <w:left w:val="none" w:sz="0" w:space="0" w:color="auto"/>
        <w:bottom w:val="none" w:sz="0" w:space="0" w:color="auto"/>
        <w:right w:val="none" w:sz="0" w:space="0" w:color="auto"/>
      </w:divBdr>
      <w:divsChild>
        <w:div w:id="1346402149">
          <w:marLeft w:val="0"/>
          <w:marRight w:val="0"/>
          <w:marTop w:val="0"/>
          <w:marBottom w:val="0"/>
          <w:divBdr>
            <w:top w:val="none" w:sz="0" w:space="0" w:color="auto"/>
            <w:left w:val="none" w:sz="0" w:space="0" w:color="auto"/>
            <w:bottom w:val="none" w:sz="0" w:space="0" w:color="auto"/>
            <w:right w:val="none" w:sz="0" w:space="0" w:color="auto"/>
          </w:divBdr>
          <w:divsChild>
            <w:div w:id="100717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osf.io/3bp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osf.io/3bp8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11633</Words>
  <Characters>66312</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83</cp:revision>
  <cp:lastPrinted>2022-09-22T18:06:00Z</cp:lastPrinted>
  <dcterms:created xsi:type="dcterms:W3CDTF">2022-09-22T18:06:00Z</dcterms:created>
  <dcterms:modified xsi:type="dcterms:W3CDTF">2022-09-23T11:25:00Z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id="z9smmzwW"/&gt;&lt;style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