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29B92393" w:rsidR="00440666" w:rsidRPr="00B31447" w:rsidRDefault="00C12A52" w:rsidP="00F1010E">
      <w:pPr>
        <w:pStyle w:val="Title"/>
        <w:rPr>
          <w:sz w:val="28"/>
          <w:szCs w:val="28"/>
        </w:rPr>
      </w:pPr>
      <w:r>
        <w:rPr>
          <w:sz w:val="28"/>
          <w:szCs w:val="28"/>
        </w:rPr>
        <w:t>D</w:t>
      </w:r>
      <w:r w:rsidR="00440666" w:rsidRPr="00B31447">
        <w:rPr>
          <w:sz w:val="28"/>
          <w:szCs w:val="28"/>
        </w:rPr>
        <w:t xml:space="preserve">ata </w:t>
      </w:r>
      <w:r w:rsidR="009A53DB">
        <w:rPr>
          <w:sz w:val="28"/>
          <w:szCs w:val="28"/>
        </w:rPr>
        <w:t>is</w:t>
      </w:r>
      <w:r w:rsidR="00440666"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13F09B06"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xml:space="preserve">. This rose from 0% in 2018 to 100% in 2022. </w:t>
      </w:r>
      <w:r w:rsidR="00F3067A">
        <w:t>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3F3C81E5" w14:textId="04AF9A20" w:rsidR="004A33D3" w:rsidRDefault="00B402F1" w:rsidP="00B42A04">
      <w:pPr>
        <w:ind w:firstLine="0"/>
      </w:pPr>
      <w:r>
        <w:t xml:space="preserve">Verifiability is a cornerstone of the scientific method. </w:t>
      </w:r>
      <w:r w:rsidR="004A33D3" w:rsidRPr="004A33D3">
        <w:t xml:space="preserve">Sharing research data is crucial for the advancement of scientific knowledge </w:t>
      </w:r>
      <w:r w:rsidR="007D7D1B">
        <w:t>through verification</w:t>
      </w:r>
      <w:r w:rsidR="004A33D3"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D3E75">
        <w:instrText xml:space="preserve"> ADDIN ZOTERO_ITEM CSL_CITATION {"citationID":"DV45xpB4","properties":{"formattedCitation":"(Munaf\\uc0\\u242{}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D3E75" w:rsidRPr="007D3E75">
        <w:rPr>
          <w:lang w:val="en-GB"/>
        </w:rPr>
        <w:t>(Munafò et al., 2017)</w:t>
      </w:r>
      <w:r w:rsidR="007D3E75">
        <w:fldChar w:fldCharType="end"/>
      </w:r>
      <w:r w:rsidR="004A33D3" w:rsidRPr="004A33D3">
        <w:t xml:space="preserve">. One way </w:t>
      </w:r>
      <w:r w:rsidR="004A33D3">
        <w:t xml:space="preserve">in which journals have sought </w:t>
      </w:r>
      <w:r w:rsidR="004A33D3" w:rsidRPr="004A33D3">
        <w:t xml:space="preserve">to promote data sharing is through the use of Data Availability Statements, which provide information on the availability and accessibility of research data. In this article, </w:t>
      </w:r>
      <w:r w:rsidR="00D061BF">
        <w:t>I</w:t>
      </w:r>
      <w:r w:rsidR="004A33D3" w:rsidRPr="004A33D3">
        <w:t xml:space="preserve"> examine </w:t>
      </w:r>
      <w:r w:rsidR="004A33D3">
        <w:t xml:space="preserve">the prevalence of both </w:t>
      </w:r>
      <w:r w:rsidR="004A33D3" w:rsidRPr="004A33D3">
        <w:t>Data Availability Statements</w:t>
      </w:r>
      <w:r w:rsidR="004A33D3">
        <w:t xml:space="preserve"> and actual data sharing upon request and the relationship between them</w:t>
      </w:r>
      <w:r w:rsidR="004A33D3" w:rsidRPr="004A33D3">
        <w:t>.</w:t>
      </w:r>
    </w:p>
    <w:p w14:paraId="592CE71D" w14:textId="7FFFEB87"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D47526">
        <w:rPr>
          <w:rStyle w:val="FootnoteReference"/>
        </w:rPr>
        <w:footnoteReference w:id="1"/>
      </w:r>
      <w:r w:rsidRPr="00A1421A">
        <w:t xml:space="preserve"> available upon request. Naturally, policies also allow for situations where it is not possible to share the data for stated reasons. These policies therefore </w:t>
      </w:r>
      <w:r w:rsidRPr="00A1421A">
        <w:t xml:space="preserve">build on the same principle that many funding organisations have built their data sharing policies around, namely that data should be “as open as possible, and as closed as necessary” </w:t>
      </w:r>
      <w:r w:rsidR="000B5D8F">
        <w:fldChar w:fldCharType="begin"/>
      </w:r>
      <w:r w:rsidR="00612ABD">
        <w:instrText xml:space="preserve"> ADDIN ZOTERO_ITEM CSL_CITATION {"citationID":"bhBx4EKk","properties":{"formattedCitation":"(European Commission, 2023)","plainCitation":"(European Commission,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43C9E4CC"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xml:space="preserve">. Unfortunately, even with the increasing number of platforms that make it easy to share data, the rate at which data can be obtained upon request is still </w:t>
      </w:r>
      <w:r w:rsidR="00206225">
        <w:lastRenderedPageBreak/>
        <w:t>problematically low</w:t>
      </w:r>
      <w:r w:rsidR="00B01A52">
        <w:t xml:space="preserve"> </w:t>
      </w:r>
      <w:commentRangeStart w:id="0"/>
      <w:r w:rsidR="00B01A52">
        <w:fldChar w:fldCharType="begin"/>
      </w:r>
      <w:r w:rsidR="009F1716">
        <w:instrText xml:space="preserve"> ADDIN ZOTERO_ITEM CSL_CITATION {"citationID":"5VRES55s","properties":{"formattedCitation":"(Alsheikh-Ali et al., 2011; Krawczyk &amp; Reuben, 2012; Savage &amp; Vickers, 2009; Tedersoo et al., 2021)","plainCitation":"(Alsheikh-Ali et al., 2011; Krawczyk &amp; Reuben, 2012;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A."}],"issued":{"date-parts":[["2011",9,7]]}}},{"id":17634,"uris":["http://zotero.org/users/1687755/items/NBI3PTM3"],"itemData":{"id":17634,"type":"article-journal","abstract":"This article reports results of a field experiment in which two hundred e-mails were sent to authors of recent articles in economics that had promised to send the interested reader supplementary material, such as alternative econometric specifications, “upon request.” The e-mails were sent either by a researcher affiliated at Columbia University, New York or the University of Warsaw, Poland; furthermore, the authors' position (assistant professor) was specified in half the e-mails only. Overall, 64% of the approached authors responded to our message, of which two thirds (44% of the entire sample) delivered the requested materials. The frequency and speed of responding and delivering were very weakly affected by the position and affiliation of the sender. Gender or affiliation of the author, number of citations or journal impact factor or the type of object in question seemed to make no difference. However, authors of published articles were much more likely to share than authors of working papers.","container-title":"Accountability in Research","DOI":"10.1080/08989621.2012.678688","ISSN":"0898-9621","issue":"3","note":"publisher: Taylor &amp; Francis\n_eprint: https://doi.org/10.1080/08989621.2012.678688\nPMID: 22686633","page":"175-186","source":"Taylor and Francis+NEJM","title":"(Un)Available upon Request: Field Experiment on Researchers' Willingness to Share Supplementary Materials","title-short":"(Un)Available upon Request","volume":"19","author":[{"family":"Krawczyk","given":"Michal"},{"family":"Reuben","given":"Ernesto"}],"issued":{"date-parts":[["2012",5,1]]}}},{"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9F1716">
        <w:rPr>
          <w:noProof/>
        </w:rPr>
        <w:t>(Alsheikh-Ali et al., 2011; Krawczyk &amp; Reuben, 2012; Savage &amp; Vickers, 2009; Tedersoo et al., 2021)</w:t>
      </w:r>
      <w:r w:rsidR="00B01A52">
        <w:fldChar w:fldCharType="end"/>
      </w:r>
      <w:r w:rsidR="00206225">
        <w:t xml:space="preserve">. </w:t>
      </w:r>
      <w:commentRangeEnd w:id="0"/>
      <w:r w:rsidR="00C90140">
        <w:rPr>
          <w:rStyle w:val="CommentReference"/>
        </w:rPr>
        <w:commentReference w:id="0"/>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p>
    <w:p w14:paraId="49F02EB6" w14:textId="69E552FA" w:rsidR="00D060AF" w:rsidRPr="001A3D1A" w:rsidRDefault="00B93E9C" w:rsidP="00C10376">
      <w:r>
        <w:t>The motivation for this study</w:t>
      </w:r>
      <w:r w:rsidR="00B347FF">
        <w:t>, and the choice of the specific literature in which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49744F">
        <w:instrText xml:space="preserve"> ADDIN ZOTERO_ITEM CSL_CITATION {"citationID":"a2WlaP5z","properties":{"formattedCitation":"(IRAP;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 "}],"schema":"https://github.com/citation-style-language/schema/raw/master/csl-citation.json"} </w:instrText>
      </w:r>
      <w:r w:rsidR="0049744F">
        <w:fldChar w:fldCharType="separate"/>
      </w:r>
      <w:r w:rsidR="0049744F">
        <w:rPr>
          <w:noProof/>
        </w:rPr>
        <w:t>(IRAP; for reliability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r w:rsidR="00C4402F">
        <w:t xml:space="preserve">Examination of the literature showed that this anecdotal experience was the norm rather than the exception </w:t>
      </w:r>
      <w:r w:rsidR="00C4402F">
        <w:fldChar w:fldCharType="begin"/>
      </w:r>
      <w:r w:rsidR="00C4402F">
        <w:instrText xml:space="preserve"> ADDIN ZOTERO_ITEM CSL_CITATION {"citationID":"ZIyioKU0","properties":{"formattedCitation":"(Alsheikh-Ali et al., 2011; Gabelica et al., 2022; Savage &amp; Vickers, 2009; Tedersoo et al., 2021; Wicherts et al., 2006)","plainCitation":"(Alsheikh-Ali et al., 2011; Gabelica et al., 2022; Savage &amp; Vickers, 2009; Tedersoo et al., 2021; Wicherts et al., 2006)","noteIndex":0},"citationItems":[{"id":5237,"uris":["http://zotero.org/users/1687755/items/9U47URBE"],"itemData":{"id":5237,"type":"article-journal","abstract":"Background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M."},{"family":"Borsboom","given":"Denny"},{"family":"Kats","given":"Judith"},{"family":"Molenaar","given":"Dylan"}],"issued":{"date-parts":[["2006"]]}}}],"schema":"https://github.com/citation-style-language/schema/raw/master/csl-citation.json"} </w:instrText>
      </w:r>
      <w:r w:rsidR="00C4402F">
        <w:fldChar w:fldCharType="separate"/>
      </w:r>
      <w:r w:rsidR="00C4402F">
        <w:rPr>
          <w:noProof/>
        </w:rPr>
        <w:t>(Alsheikh-Ali et al., 2011; Gabelica et al., 2022; Savage &amp; Vickers, 2009; Tedersoo et al., 2021; Wicherts et al., 2006)</w:t>
      </w:r>
      <w:r w:rsidR="00C4402F">
        <w:fldChar w:fldCharType="end"/>
      </w:r>
      <w:r w:rsidR="00C4402F">
        <w:t xml:space="preserve">. </w:t>
      </w:r>
      <w:r w:rsidR="005E7B5D">
        <w:t xml:space="preserve">Only one study to date has examined the prevalence of Data Availability Statements within the behavioral research community, finding a very low prevalence </w:t>
      </w:r>
      <w:r w:rsidR="005E7B5D">
        <w:fldChar w:fldCharType="begin"/>
      </w:r>
      <w:r w:rsidR="0096438E">
        <w:instrText xml:space="preserve"> ADDIN ZOTERO_ITEM CSL_CITATION {"citationID":"rEaH03OL","properties":{"formattedCitation":"(6.2%: Lear et al., 2023)","plainCitation":"(6.2%: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rsidR="005E7B5D">
        <w:fldChar w:fldCharType="separate"/>
      </w:r>
      <w:r w:rsidR="0096438E">
        <w:rPr>
          <w:noProof/>
        </w:rPr>
        <w:t>(6.2%: Lear et al., 2023)</w:t>
      </w:r>
      <w:r w:rsidR="005E7B5D">
        <w:fldChar w:fldCharType="end"/>
      </w:r>
      <w:r w:rsidR="005E7B5D">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472BC9">
        <w:t>Additionally, whereas Lear et al. (2023) examined articles published in a single year, the current work examines a five</w:t>
      </w:r>
      <w:r w:rsidR="00287D49">
        <w:t>-</w:t>
      </w:r>
      <w:r w:rsidR="00472BC9">
        <w:t xml:space="preserve">year period to examine trends across them. </w:t>
      </w: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64C39524"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13" w:history="1">
        <w:r w:rsidRPr="008C6BE4">
          <w:rPr>
            <w:rStyle w:val="Hyperlink"/>
          </w:rPr>
          <w:t>osf.io/nugzb</w:t>
        </w:r>
      </w:hyperlink>
      <w:r>
        <w:t>.</w:t>
      </w:r>
      <w:r w:rsidR="00E73213">
        <w:t xml:space="preserve"> All IRAP datasets that could be publicly shared are also available at that link. </w:t>
      </w:r>
      <w:r w:rsidR="00094DD5">
        <w:t>Some d</w:t>
      </w:r>
      <w:r w:rsidR="00F951E9">
        <w:t>atasets that</w:t>
      </w:r>
      <w:r w:rsidR="00094DD5">
        <w:t xml:space="preserve">, </w:t>
      </w:r>
      <w:r w:rsidR="00F951E9">
        <w:t>due to the original author’s 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8F0C2D">
        <w:t xml:space="preserve"> </w:t>
      </w:r>
      <w:r w:rsidR="00C460E9">
        <w:t xml:space="preserve">at my personal email address, which should remain in use even if I </w:t>
      </w:r>
      <w:r w:rsidR="00FA41A3">
        <w:t>move between</w:t>
      </w:r>
      <w:r w:rsidR="00C460E9">
        <w:t xml:space="preserve"> </w:t>
      </w:r>
      <w:r w:rsidR="00FA41A3">
        <w:t>institutions</w:t>
      </w:r>
      <w:r w:rsidR="00C460E9">
        <w:t xml:space="preserve"> </w:t>
      </w:r>
      <w:r w:rsidR="008F0C2D">
        <w:t>(</w:t>
      </w:r>
      <w:hyperlink r:id="rId14" w:history="1">
        <w:r w:rsidR="008F0C2D" w:rsidRPr="00A7006D">
          <w:rPr>
            <w:rStyle w:val="Hyperlink"/>
          </w:rPr>
          <w:t>ian.hussey@icloud.com</w:t>
        </w:r>
      </w:hyperlink>
      <w:r w:rsidR="008F0C2D">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 These datasets may be available from the original authors upon request. The </w:t>
      </w:r>
      <w:r w:rsidR="00094DD5">
        <w:t>existence and availability of each dataset is documented in the supplementary materials</w:t>
      </w:r>
      <w:r w:rsidR="00D007BC">
        <w:t xml:space="preserve"> </w:t>
      </w:r>
      <w:r w:rsidR="00355CAE">
        <w:t xml:space="preserve">(see </w:t>
      </w:r>
      <w:r w:rsidR="00287D49">
        <w:t xml:space="preserve">the </w:t>
      </w:r>
      <w:r w:rsidR="00355CAE">
        <w:t>above URL)</w:t>
      </w:r>
      <w:r w:rsidR="00094DD5">
        <w:t>.</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18B09E4E" w:rsidR="00772B40"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C10376">
        <w:instrText xml:space="preserve"> ADDIN ZOTERO_ITEM CSL_CITATION {"citationID":"x7xGI2jG","properties":{"formattedCitation":"(i.e., they are included in Hussey &amp; Drake, 2020)","plainCitation":"(i.e., they are included in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5" w:history="1">
        <w:r w:rsidR="006B323F">
          <w:rPr>
            <w:rStyle w:val="Hyperlink"/>
          </w:rPr>
          <w:t>osf.io/87jvf</w:t>
        </w:r>
      </w:hyperlink>
      <w:r w:rsidR="00747F9E" w:rsidRPr="00747F9E">
        <w:t xml:space="preserve">). </w:t>
      </w:r>
      <w:r w:rsidR="00CE4808" w:rsidRPr="00B673F2">
        <w:t>The number of IRAP articles per journal can be found in Table 1.</w:t>
      </w:r>
    </w:p>
    <w:p w14:paraId="3001D779" w14:textId="77777777" w:rsidR="00C10376" w:rsidRDefault="00C10376" w:rsidP="00C10376">
      <w:pPr>
        <w:ind w:firstLine="0"/>
      </w:pPr>
    </w:p>
    <w:p w14:paraId="0EEEE8AB" w14:textId="77777777" w:rsidR="00C10376" w:rsidRPr="00B93464" w:rsidRDefault="00C10376"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C10376" w:rsidRPr="00C35BC5" w14:paraId="58F72CF9"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C35BC5" w:rsidRDefault="00C10376"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C35BC5" w:rsidRDefault="00C10376" w:rsidP="005C295B">
            <w:pPr>
              <w:pStyle w:val="table"/>
              <w:jc w:val="left"/>
            </w:pPr>
            <w:r w:rsidRPr="008017FA">
              <w:rPr>
                <w:i/>
                <w:iCs/>
              </w:rPr>
              <w:t>N</w:t>
            </w:r>
            <w:r w:rsidRPr="00C35BC5">
              <w:t xml:space="preserve"> articles</w:t>
            </w:r>
          </w:p>
        </w:tc>
      </w:tr>
      <w:tr w:rsidR="00C10376" w:rsidRPr="00C35BC5" w14:paraId="05FF1D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C35BC5" w:rsidRDefault="00C10376"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C35BC5" w:rsidRDefault="00C10376" w:rsidP="005C295B">
            <w:pPr>
              <w:pStyle w:val="table"/>
              <w:tabs>
                <w:tab w:val="decimal" w:pos="445"/>
              </w:tabs>
            </w:pPr>
            <w:r w:rsidRPr="00C35BC5">
              <w:t>24</w:t>
            </w:r>
          </w:p>
        </w:tc>
      </w:tr>
      <w:tr w:rsidR="00C10376" w:rsidRPr="00C35BC5" w14:paraId="0331756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C35BC5" w:rsidRDefault="00C10376"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C35BC5" w:rsidRDefault="00C10376" w:rsidP="005C295B">
            <w:pPr>
              <w:pStyle w:val="table"/>
              <w:tabs>
                <w:tab w:val="decimal" w:pos="445"/>
              </w:tabs>
            </w:pPr>
            <w:r w:rsidRPr="00C35BC5">
              <w:t>8</w:t>
            </w:r>
          </w:p>
        </w:tc>
      </w:tr>
      <w:tr w:rsidR="00C10376" w:rsidRPr="00C35BC5" w14:paraId="72DAA3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C35BC5" w:rsidRDefault="00C10376"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C35BC5" w:rsidRDefault="00C10376" w:rsidP="005C295B">
            <w:pPr>
              <w:pStyle w:val="table"/>
              <w:tabs>
                <w:tab w:val="decimal" w:pos="445"/>
              </w:tabs>
            </w:pPr>
            <w:r w:rsidRPr="00C35BC5">
              <w:t>5</w:t>
            </w:r>
          </w:p>
        </w:tc>
      </w:tr>
      <w:tr w:rsidR="00C10376" w:rsidRPr="00C35BC5" w14:paraId="68B0F0A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C35BC5" w:rsidRDefault="00C10376"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C35BC5" w:rsidRDefault="00C10376" w:rsidP="005C295B">
            <w:pPr>
              <w:pStyle w:val="table"/>
              <w:tabs>
                <w:tab w:val="decimal" w:pos="445"/>
              </w:tabs>
            </w:pPr>
            <w:r w:rsidRPr="00C35BC5">
              <w:t>4</w:t>
            </w:r>
          </w:p>
        </w:tc>
      </w:tr>
      <w:tr w:rsidR="00C10376" w:rsidRPr="00C35BC5" w14:paraId="145E1F65"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C35BC5" w:rsidRDefault="00C10376" w:rsidP="005C295B">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C35BC5" w:rsidRDefault="00C10376" w:rsidP="005C295B">
            <w:pPr>
              <w:pStyle w:val="table"/>
              <w:tabs>
                <w:tab w:val="decimal" w:pos="445"/>
              </w:tabs>
            </w:pPr>
            <w:r w:rsidRPr="00C35BC5">
              <w:t>2</w:t>
            </w:r>
          </w:p>
        </w:tc>
      </w:tr>
      <w:tr w:rsidR="00C10376" w:rsidRPr="00C35BC5" w14:paraId="45EB0D8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C35BC5" w:rsidRDefault="00C10376"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C35BC5" w:rsidRDefault="00C10376" w:rsidP="005C295B">
            <w:pPr>
              <w:pStyle w:val="table"/>
              <w:tabs>
                <w:tab w:val="decimal" w:pos="445"/>
              </w:tabs>
            </w:pPr>
            <w:r w:rsidRPr="00C35BC5">
              <w:t>2</w:t>
            </w:r>
          </w:p>
        </w:tc>
      </w:tr>
      <w:tr w:rsidR="00C10376" w:rsidRPr="00C35BC5" w14:paraId="2BE5BA4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C35BC5" w:rsidRDefault="00C10376"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C35BC5" w:rsidRDefault="00C10376" w:rsidP="005C295B">
            <w:pPr>
              <w:pStyle w:val="table"/>
              <w:tabs>
                <w:tab w:val="decimal" w:pos="445"/>
              </w:tabs>
            </w:pPr>
            <w:r w:rsidRPr="00C35BC5">
              <w:t>1</w:t>
            </w:r>
          </w:p>
        </w:tc>
      </w:tr>
      <w:tr w:rsidR="00C10376" w:rsidRPr="00C35BC5" w14:paraId="482BA8C2"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C35BC5" w:rsidRDefault="00C10376"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C35BC5" w:rsidRDefault="00C10376" w:rsidP="005C295B">
            <w:pPr>
              <w:pStyle w:val="table"/>
              <w:tabs>
                <w:tab w:val="decimal" w:pos="445"/>
              </w:tabs>
            </w:pPr>
            <w:r w:rsidRPr="00C35BC5">
              <w:t>1</w:t>
            </w:r>
          </w:p>
        </w:tc>
      </w:tr>
      <w:tr w:rsidR="00C10376" w:rsidRPr="00C35BC5" w14:paraId="0C4EA423"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C35BC5" w:rsidRDefault="00C10376"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C35BC5" w:rsidRDefault="00C10376" w:rsidP="005C295B">
            <w:pPr>
              <w:pStyle w:val="table"/>
              <w:tabs>
                <w:tab w:val="decimal" w:pos="445"/>
              </w:tabs>
            </w:pPr>
            <w:r w:rsidRPr="00C35BC5">
              <w:t>1</w:t>
            </w:r>
          </w:p>
        </w:tc>
      </w:tr>
      <w:tr w:rsidR="00C10376" w:rsidRPr="00C35BC5" w14:paraId="388AEC7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C35BC5" w:rsidRDefault="00C10376" w:rsidP="005C295B">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C35BC5" w:rsidRDefault="00C10376" w:rsidP="005C295B">
            <w:pPr>
              <w:pStyle w:val="table"/>
              <w:tabs>
                <w:tab w:val="decimal" w:pos="445"/>
              </w:tabs>
            </w:pPr>
            <w:r w:rsidRPr="00C35BC5">
              <w:t>1</w:t>
            </w:r>
          </w:p>
        </w:tc>
      </w:tr>
      <w:tr w:rsidR="00C10376" w:rsidRPr="00C35BC5" w14:paraId="1FB2899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C35BC5" w:rsidRDefault="00C10376"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C35BC5" w:rsidRDefault="00C10376" w:rsidP="005C295B">
            <w:pPr>
              <w:pStyle w:val="table"/>
              <w:tabs>
                <w:tab w:val="decimal" w:pos="445"/>
              </w:tabs>
            </w:pPr>
            <w:r w:rsidRPr="00C35BC5">
              <w:t>1</w:t>
            </w:r>
          </w:p>
        </w:tc>
      </w:tr>
      <w:tr w:rsidR="00C10376" w:rsidRPr="00C35BC5" w14:paraId="262A3C9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C35BC5" w:rsidRDefault="00C10376"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C35BC5" w:rsidRDefault="00C10376" w:rsidP="005C295B">
            <w:pPr>
              <w:pStyle w:val="table"/>
              <w:tabs>
                <w:tab w:val="decimal" w:pos="445"/>
              </w:tabs>
            </w:pPr>
            <w:r w:rsidRPr="00C35BC5">
              <w:t>1</w:t>
            </w:r>
          </w:p>
        </w:tc>
      </w:tr>
      <w:tr w:rsidR="00C10376" w:rsidRPr="00C35BC5" w14:paraId="350201A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C35BC5" w:rsidRDefault="00C10376"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C35BC5" w:rsidRDefault="00C10376" w:rsidP="005C295B">
            <w:pPr>
              <w:pStyle w:val="table"/>
              <w:tabs>
                <w:tab w:val="decimal" w:pos="445"/>
              </w:tabs>
            </w:pPr>
            <w:r w:rsidRPr="00C35BC5">
              <w:t>1</w:t>
            </w:r>
          </w:p>
        </w:tc>
      </w:tr>
    </w:tbl>
    <w:p w14:paraId="13787360" w14:textId="77777777" w:rsidR="00C10376" w:rsidRPr="00C00608" w:rsidRDefault="00C10376" w:rsidP="00C10376">
      <w:pPr>
        <w:ind w:firstLine="0"/>
      </w:pPr>
    </w:p>
    <w:p w14:paraId="460622AD" w14:textId="0C3EAB61" w:rsidR="00F66967" w:rsidRDefault="00F66967" w:rsidP="00F1010E">
      <w:pPr>
        <w:pStyle w:val="Heading2"/>
      </w:pPr>
      <w:r>
        <w:t>Journal policies</w:t>
      </w:r>
    </w:p>
    <w:p w14:paraId="6FA1B584" w14:textId="5B207641" w:rsidR="00772B40" w:rsidRDefault="003D77E9" w:rsidP="00990128">
      <w:r>
        <w:t xml:space="preserve">Interestingly, three of the top four journals have data 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submission: “A submission to the journal implies that materials described in the manuscript, including all relevant raw data, will be freely available to any researcher wishing to use them for non-commercial </w:t>
      </w:r>
      <w:r w:rsidRPr="003D77E9">
        <w:lastRenderedPageBreak/>
        <w:t xml:space="preserve">purposes, without breaching participant confidentiality… All original research must include a </w:t>
      </w:r>
      <w:r w:rsidR="00AA5103">
        <w:t>Data Availability Statement</w:t>
      </w:r>
      <w:r w:rsidRPr="003D77E9">
        <w: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EF21238" w14:textId="5B0CC595" w:rsidR="00AB2FFF" w:rsidRDefault="00AB2FFF" w:rsidP="00AB2FFF">
      <w:pPr>
        <w:pStyle w:val="Heading2"/>
      </w:pPr>
      <w:r>
        <w:t xml:space="preserve">Prevalence of </w:t>
      </w:r>
      <w:r w:rsidR="00AA5103">
        <w:t>D</w:t>
      </w:r>
      <w:r>
        <w:t xml:space="preserve">ata </w:t>
      </w:r>
      <w:r w:rsidR="00AA5103">
        <w:t>A</w:t>
      </w:r>
      <w:r>
        <w:t xml:space="preserve">vailability </w:t>
      </w:r>
      <w:r w:rsidR="00AA5103">
        <w:t>S</w:t>
      </w:r>
      <w:r>
        <w:t>tatements</w:t>
      </w:r>
    </w:p>
    <w:p w14:paraId="0C4B4711" w14:textId="1442BE4E" w:rsidR="00AB2FFF" w:rsidRDefault="00AB2FFF" w:rsidP="00AB2FFF">
      <w:r>
        <w:t>Of the 52 articles, 21 (4</w:t>
      </w:r>
      <w:r w:rsidR="00EC5183">
        <w:t>2.3</w:t>
      </w:r>
      <w:r>
        <w:t xml:space="preserve">%) contained a data sharing statement. Encouragingly, the proportion of articles increased from 0% in 2018 to 100% in 2022 (see Figure 1). It is worth noting that it is difficult to define a precise date when these policies came into effect. For example, from speaking </w:t>
      </w:r>
      <w:r w:rsidR="00A40519">
        <w:t xml:space="preserve">to </w:t>
      </w:r>
      <w:r>
        <w:t>the editor of JCBS, these policies were progressively rolled out through the different levels of the journal’s article</w:t>
      </w:r>
      <w:r w:rsidR="00A40519">
        <w:t>-</w:t>
      </w:r>
      <w:r>
        <w:t xml:space="preserve">handling processes over time. Regardless, results demonstrate that data sharing statements have moved from absent to ubiquitous </w:t>
      </w:r>
      <w:r w:rsidR="002143D1">
        <w:t>over</w:t>
      </w:r>
      <w:r>
        <w:t xml:space="preserve"> these years. </w:t>
      </w:r>
    </w:p>
    <w:p w14:paraId="20F71419" w14:textId="77777777" w:rsidR="009B63CF" w:rsidRDefault="009B63CF" w:rsidP="009B63CF">
      <w:pPr>
        <w:ind w:firstLine="0"/>
      </w:pPr>
    </w:p>
    <w:p w14:paraId="046DB993" w14:textId="77777777" w:rsidR="009B63CF" w:rsidRPr="00664F28" w:rsidRDefault="009B63CF"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074E0D2" w14:textId="77777777" w:rsidR="009B63CF" w:rsidRDefault="009B63CF" w:rsidP="009B63CF">
      <w:pPr>
        <w:ind w:firstLine="0"/>
      </w:pPr>
      <w:r>
        <w:rPr>
          <w:noProof/>
        </w:rPr>
        <w:drawing>
          <wp:inline distT="0" distB="0" distL="0" distR="0" wp14:anchorId="4F53DD83" wp14:editId="5F65C5BD">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1C22F716" w14:textId="77777777" w:rsidR="009B63CF" w:rsidRDefault="009B63CF" w:rsidP="009B63CF">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0322B5B0"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204C26">
        <w:t xml:space="preserve">the </w:t>
      </w:r>
      <w:r w:rsidR="00B43F88">
        <w:t xml:space="preserve">authors of every article </w:t>
      </w:r>
      <w:r w:rsidR="0051504C">
        <w:t>via email</w:t>
      </w:r>
      <w:r w:rsidR="00E91A6C">
        <w:t xml:space="preserve">. </w:t>
      </w:r>
      <w:r w:rsidR="00705A51">
        <w:t>A copy of the email can be found in the supplementary materials (</w:t>
      </w:r>
      <w:hyperlink r:id="rId17"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57545B25" w:rsidR="00705A51" w:rsidRDefault="00283F25" w:rsidP="00F1010E">
      <w:r>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69A622C8" w14:textId="55B407B4" w:rsidR="004A4C03" w:rsidRDefault="00147652" w:rsidP="004A4C03">
      <w:r>
        <w:t>In the first instance</w:t>
      </w:r>
      <w:r w:rsidR="001E08B6">
        <w:t>,</w:t>
      </w:r>
      <w:r>
        <w:t xml:space="preserv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iterative process of sending email request</w:t>
      </w:r>
      <w:r w:rsidR="00626903">
        <w:t>s</w:t>
      </w:r>
      <w:r>
        <w:t>. At least two co-authors of every article were contacted.</w:t>
      </w:r>
    </w:p>
    <w:p w14:paraId="5DF049A7" w14:textId="3FA50F0B" w:rsidR="00147652" w:rsidRDefault="00147652" w:rsidP="00F02454">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(50% within 15 days, c.85% within 30 days, c.97% within 60 days). </w:t>
      </w:r>
    </w:p>
    <w:p w14:paraId="3622845D" w14:textId="188AF7E8" w:rsidR="00A47396" w:rsidRDefault="00D81AFB" w:rsidP="00F1010E">
      <w:r>
        <w:t xml:space="preserve">Aggregating results across all co-authors of each article, I received a reply to my email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articles). Authors actually shared their data in </w:t>
      </w:r>
      <w:r w:rsidR="00EC5183">
        <w:t>2</w:t>
      </w:r>
      <w:r w:rsidR="00CE35E9">
        <w:t>6.9</w:t>
      </w:r>
      <w:r w:rsidR="00A47396">
        <w:t>%</w:t>
      </w:r>
      <w:r w:rsidR="003E7F14">
        <w:t xml:space="preserve"> of cases (</w:t>
      </w:r>
      <w:r w:rsidR="00EC5183">
        <w:t>1</w:t>
      </w:r>
      <w:r w:rsidR="00CE35E9">
        <w:t>4</w:t>
      </w:r>
      <w:r w:rsidR="003E7F14">
        <w:t xml:space="preserve"> articles). </w:t>
      </w:r>
    </w:p>
    <w:p w14:paraId="118A9312" w14:textId="77777777" w:rsidR="006B2ECC" w:rsidRDefault="006B2ECC" w:rsidP="006B2ECC">
      <w:pPr>
        <w:ind w:firstLine="0"/>
      </w:pPr>
    </w:p>
    <w:p w14:paraId="0C38D81C" w14:textId="77777777" w:rsidR="006B2ECC" w:rsidRPr="00664F28" w:rsidRDefault="006B2ECC"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7BC750FB" w14:textId="7203C74E" w:rsidR="006B2ECC" w:rsidRDefault="001A739A" w:rsidP="006B2ECC">
      <w:pPr>
        <w:ind w:firstLine="0"/>
      </w:pPr>
      <w:r>
        <w:rPr>
          <w:noProof/>
          <w14:ligatures w14:val="standardContextual"/>
        </w:rPr>
        <w:lastRenderedPageBreak/>
        <w:drawing>
          <wp:inline distT="0" distB="0" distL="0" distR="0" wp14:anchorId="1601E5D0" wp14:editId="4D4C8462">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0A9DC9C1" w14:textId="77777777" w:rsidR="006B2ECC" w:rsidRDefault="006B2ECC" w:rsidP="00B07406">
      <w:pPr>
        <w:pStyle w:val="Heading2"/>
      </w:pPr>
    </w:p>
    <w:p w14:paraId="2B3E30ED" w14:textId="3C376BEA" w:rsidR="006B2ECC" w:rsidRPr="006B2ECC" w:rsidRDefault="006B2ECC" w:rsidP="006B2ECC">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w:t>
      </w:r>
      <w:r w:rsidR="001A739A">
        <w:t>previous work has found that data availability decreases over time</w:t>
      </w:r>
      <w:r w:rsidR="0082674F">
        <w:t xml:space="preserve">, with a half-life of between 6 and 9 years </w:t>
      </w:r>
      <w:r w:rsidR="0082674F">
        <w:fldChar w:fldCharType="begin"/>
      </w:r>
      <w:r w:rsidR="0082674F">
        <w:instrText xml:space="preserve"> ADDIN ZOTERO_ITEM CSL_CITATION {"citationID":"V7MJTSwE","properties":{"formattedCitation":"(Minocher et al., 2021)","plainCitation":"(Minocher et al., 2021)","noteIndex":0},"citationItems":[{"id":17648,"uris":["http://zotero.org/groups/2510878/items/N9BNQH4G"],"itemData":{"id":17648,"type":"article-journal","abstract":"Reproducibility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rsidR="0082674F">
        <w:fldChar w:fldCharType="separate"/>
      </w:r>
      <w:r w:rsidR="0082674F">
        <w:rPr>
          <w:noProof/>
        </w:rPr>
        <w:t>(Minocher et al., 2021)</w:t>
      </w:r>
      <w:r w:rsidR="0082674F">
        <w:fldChar w:fldCharType="end"/>
      </w:r>
      <w:r>
        <w:t>.</w:t>
      </w:r>
    </w:p>
    <w:p w14:paraId="14C1E406" w14:textId="77777777" w:rsidR="00B02C5D" w:rsidRDefault="00B02C5D" w:rsidP="00B07406">
      <w:pPr>
        <w:pStyle w:val="Heading2"/>
      </w:pPr>
    </w:p>
    <w:p w14:paraId="020ECFB0" w14:textId="77777777" w:rsidR="00B02C5D" w:rsidRDefault="00B02C5D" w:rsidP="00B07406">
      <w:pPr>
        <w:pStyle w:val="Heading2"/>
      </w:pPr>
    </w:p>
    <w:p w14:paraId="01BAAC05" w14:textId="6D55724C" w:rsidR="00B07406" w:rsidRDefault="00B07406" w:rsidP="00B07406">
      <w:pPr>
        <w:pStyle w:val="Heading2"/>
      </w:pPr>
      <w:r>
        <w:t xml:space="preserve">Relationship between </w:t>
      </w:r>
      <w:r w:rsidR="00DF5CAA">
        <w:t xml:space="preserve">promissory </w:t>
      </w:r>
      <w:r>
        <w:t>Data Availability Statements and actual data sharing</w:t>
      </w:r>
    </w:p>
    <w:p w14:paraId="36C32398" w14:textId="799A9EC0" w:rsidR="004968FB" w:rsidRDefault="004968FB"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2FBC402F" w14:textId="6BAA72AB" w:rsidR="00D15724" w:rsidRDefault="00211C99" w:rsidP="00D15724">
      <w:r w:rsidRPr="00F1010E">
        <w:t>Three articles’ data sharing statements represented claims of actual data sharing</w:t>
      </w:r>
      <w:r>
        <w:t xml:space="preserve"> at </w:t>
      </w:r>
      <w:r w:rsidR="005C77CA">
        <w:t xml:space="preserve">the </w:t>
      </w:r>
      <w:r>
        <w:t>time of publication</w:t>
      </w:r>
      <w:r w:rsidRPr="00F1010E">
        <w:t>. Of those two actually provided the data (both via links to the Open Science Framework or ResearchGate).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w:t>
      </w:r>
      <w:r w:rsidR="00D15724">
        <w:t xml:space="preserve">66.7% of articles with data sharing statements implying actual data sharing at </w:t>
      </w:r>
      <w:r w:rsidR="005C77CA">
        <w:t xml:space="preserve">the </w:t>
      </w:r>
      <w:r w:rsidR="00D15724">
        <w:t>time of publication shared data without the need to contact the authors.</w:t>
      </w:r>
    </w:p>
    <w:p w14:paraId="7F65488A" w14:textId="0AAA0B7B" w:rsidR="0086488B" w:rsidRDefault="0086488B" w:rsidP="001B4526">
      <w:r>
        <w:t xml:space="preserve">Of the </w:t>
      </w:r>
      <w:r w:rsidRPr="00471F72">
        <w:t>3</w:t>
      </w:r>
      <w:r>
        <w:t>1 articles without a Data Availability Statement, 8 shared data upon request (</w:t>
      </w:r>
      <w:r w:rsidRPr="00471F72">
        <w:t>2</w:t>
      </w:r>
      <w:r>
        <w:t xml:space="preserve">5.8%). Of the 18 articles with a promissory Data Availability Statement, 3 shared data upon request (16.7%). 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46D83A33" w14:textId="2EF879C1" w:rsidR="00D4760B" w:rsidRDefault="002E11CA" w:rsidP="00F1010E">
      <w:pPr>
        <w:pStyle w:val="Heading2"/>
      </w:pPr>
      <w:r>
        <w:t>Impediments to data sharing</w:t>
      </w:r>
    </w:p>
    <w:p w14:paraId="3C3A890B" w14:textId="03FD2E62" w:rsidR="001A5E14" w:rsidRDefault="001A5E14"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p>
    <w:p w14:paraId="594CC379" w14:textId="2DD49B3A" w:rsidR="000117D5" w:rsidRDefault="001A5E14" w:rsidP="00F1010E">
      <w:r w:rsidRPr="00055FBA">
        <w:rPr>
          <w:b/>
          <w:bCs/>
        </w:rPr>
        <w:t>It is often not possible to correspond with corresponding authors.</w:t>
      </w:r>
      <w:r>
        <w:t xml:space="preserve"> </w:t>
      </w:r>
      <w:r w:rsidR="00A5380D">
        <w:t xml:space="preserve">Some first and corresponding authors were simply impossible to </w:t>
      </w:r>
      <w:r w:rsidR="00491B80">
        <w:t>find working contact details for</w:t>
      </w:r>
      <w:r w:rsidR="00A5380D">
        <w:t>: the email addresses listed in article did not work</w:t>
      </w:r>
      <w:r w:rsidR="00445BF5">
        <w:t xml:space="preserve">, and </w:t>
      </w:r>
      <w:r w:rsidR="00A5380D">
        <w:t>no up to 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59C35481" w:rsidR="00891592" w:rsidRDefault="000E7322" w:rsidP="00F1010E">
      <w:r>
        <w:t>In their replies to the data sharing request, m</w:t>
      </w:r>
      <w:r w:rsidR="00891592">
        <w:t xml:space="preserve">ultiple authors </w:t>
      </w:r>
      <w:r>
        <w:t xml:space="preserve">stated to </w:t>
      </w:r>
      <w:r w:rsidR="00891592">
        <w:t>that they were on maternity leav</w:t>
      </w:r>
      <w:r w:rsidR="00C03B33">
        <w:t>e</w:t>
      </w:r>
      <w:r>
        <w:t xml:space="preserve"> </w:t>
      </w:r>
      <w:r w:rsidR="00891592">
        <w:t xml:space="preserve">or were retired. Both are </w:t>
      </w:r>
      <w:r w:rsidR="00D966F1">
        <w:t>reasonable</w:t>
      </w:r>
      <w:r w:rsidR="00891592">
        <w:t xml:space="preserve"> circumstances, however</w:t>
      </w:r>
      <w:r w:rsidR="00E6754A">
        <w:t>,</w:t>
      </w:r>
      <w:r w:rsidR="00891592">
        <w:t xml:space="preserve"> both situations highlight ways in which promissory data sharing </w:t>
      </w:r>
      <w:r w:rsidR="00A47F36">
        <w:t xml:space="preserve">is ineffective due to </w:t>
      </w:r>
      <w:r w:rsidR="00B6529C">
        <w:t>extremely</w:t>
      </w:r>
      <w:r w:rsidR="00A47F36">
        <w:t xml:space="preserve"> </w:t>
      </w:r>
      <w:r w:rsidR="00F954C4">
        <w:t>foreseeable</w:t>
      </w:r>
      <w:r w:rsidR="00891592">
        <w:t xml:space="preserve"> circumstances</w:t>
      </w:r>
      <w:r w:rsidR="00A47F36">
        <w:t xml:space="preserve">. </w:t>
      </w:r>
      <w:r w:rsidR="00E14CDF">
        <w:t xml:space="preserve">For example, whereas academics put plans in place to cover their research and teaching duties while on leave, it seems that less attention is given to handing over responsibility for data availability. </w:t>
      </w:r>
      <w:r w:rsidR="007C71B3">
        <w:t>S</w:t>
      </w:r>
      <w:r w:rsidR="00891592">
        <w:t xml:space="preserve">imilar </w:t>
      </w:r>
      <w:r w:rsidR="00C11FE2">
        <w:t>foreseeable</w:t>
      </w:r>
      <w:r w:rsidR="00891592">
        <w:t xml:space="preserve"> circumstance</w:t>
      </w:r>
      <w:r w:rsidR="007C71B3">
        <w:t>s</w:t>
      </w:r>
      <w:r w:rsidR="00891592">
        <w:t xml:space="preserve"> </w:t>
      </w:r>
      <w:r w:rsidR="007C71B3">
        <w:t xml:space="preserve">involve researchers </w:t>
      </w:r>
      <w:r w:rsidR="00F91AAA">
        <w:t xml:space="preserve">moving between institutions, </w:t>
      </w:r>
      <w:r w:rsidR="00891592">
        <w:t xml:space="preserve">leaving </w:t>
      </w:r>
      <w:r w:rsidR="00C11FE2">
        <w:t>academia</w:t>
      </w:r>
      <w:r w:rsidR="00F91AAA">
        <w:t xml:space="preserve"> for other careers</w:t>
      </w:r>
      <w:r w:rsidR="007C71B3">
        <w:t>, or retiring</w:t>
      </w:r>
      <w:r w:rsidR="00891592">
        <w:t xml:space="preserve">. </w:t>
      </w:r>
    </w:p>
    <w:p w14:paraId="663AF2ED" w14:textId="4CDB15E6" w:rsidR="00055FBA" w:rsidRDefault="00055FBA" w:rsidP="00F1010E">
      <w:r>
        <w:t xml:space="preserve">Some authors were initially responsive to my email and stated that I should </w:t>
      </w:r>
      <w:r w:rsidR="00711C3B">
        <w:t xml:space="preserve">instead </w:t>
      </w:r>
      <w:r>
        <w:t>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w:t>
      </w:r>
      <w:r w:rsidR="001B68A7">
        <w:t>’</w:t>
      </w:r>
      <w:r>
        <w:t xml:space="preserve"> </w:t>
      </w:r>
      <w:r w:rsidRPr="00E216A0">
        <w:t xml:space="preserve">contact details that I could not find elsewhere online. Given that these co-authors were clearly known to the author (i.e., </w:t>
      </w:r>
      <w:r w:rsidR="00BD1716">
        <w:t>their</w:t>
      </w:r>
      <w:r w:rsidRPr="00E216A0">
        <w:t xml:space="preserve"> spouse and </w:t>
      </w:r>
      <w:r w:rsidR="00F17FD3">
        <w:t xml:space="preserve">their </w:t>
      </w:r>
      <w:r w:rsidRPr="00E216A0">
        <w:t xml:space="preserve">spouses’ business partner), it seems implausible that the author did not have these details. </w:t>
      </w:r>
      <w:r w:rsidR="00684355">
        <w:t xml:space="preserve">While there are many structural impediments to data sharing and we should assume goodwill, there </w:t>
      </w:r>
      <w:r w:rsidR="005D69D7">
        <w:t>were</w:t>
      </w:r>
      <w:r w:rsidR="00684355">
        <w:t xml:space="preserve"> nonetheless situations </w:t>
      </w:r>
      <w:r w:rsidR="005D69D7">
        <w:t xml:space="preserve">where individuals’ behavior was </w:t>
      </w:r>
      <w:r w:rsidR="00684355">
        <w:t>difficult to distinguish from stonewalling.</w:t>
      </w:r>
      <w:r w:rsidR="00DF06D0">
        <w:t xml:space="preserve"> </w:t>
      </w:r>
      <w:r w:rsidRPr="00E216A0">
        <w:t>Data</w:t>
      </w:r>
      <w:r>
        <w:t xml:space="preserve"> ‘available upon request’ leaves </w:t>
      </w:r>
      <w:r w:rsidR="00552738">
        <w:t>us</w:t>
      </w:r>
      <w:r>
        <w:t xml:space="preserve"> entirely at the whim of authors’ willingness </w:t>
      </w:r>
      <w:r w:rsidR="001B68A7">
        <w:t xml:space="preserve">not only </w:t>
      </w:r>
      <w:r>
        <w:t xml:space="preserve">to share the data, but even </w:t>
      </w:r>
      <w:r w:rsidR="001B68A7">
        <w:t xml:space="preserve">to share </w:t>
      </w:r>
      <w:r>
        <w:t xml:space="preserve">the contact details for those who </w:t>
      </w:r>
      <w:r w:rsidR="002D74B1">
        <w:t xml:space="preserve">might </w:t>
      </w:r>
      <w:r>
        <w:t>have the data.</w:t>
      </w:r>
      <w:r w:rsidRPr="00055FBA">
        <w:t xml:space="preserve"> </w:t>
      </w:r>
    </w:p>
    <w:p w14:paraId="4CC463DF" w14:textId="47CFBF63" w:rsidR="00055FBA" w:rsidRDefault="00055FBA"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4923086B" w14:textId="48E26440" w:rsidR="00FD144A" w:rsidRDefault="002A70B7"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lastRenderedPageBreak/>
        <w:t xml:space="preserve">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w:t>
      </w:r>
      <w:r w:rsidR="00B02448">
        <w:t xml:space="preserve">these initial </w:t>
      </w:r>
      <w:r w:rsidR="00FD144A">
        <w:t>ethical considerations were made redundant as authors then replied that data from projects was in fact lost</w:t>
      </w:r>
      <w:r w:rsidR="00B02448">
        <w:t>, or the authors stopped replying</w:t>
      </w:r>
      <w:r w:rsidR="00FD144A">
        <w:t xml:space="preserve">. This may represent a selective deployment of caution: much caution placed on the ethical requirement not to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63070E3" w14:textId="5B4263E6"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other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124956D8" w14:textId="1F496C0D" w:rsidR="00DC15B4" w:rsidRDefault="00EA6A38" w:rsidP="00DC15B4">
      <w:r>
        <w:rPr>
          <w:b/>
          <w:bCs/>
        </w:rPr>
        <w:t xml:space="preserve">Violations of </w:t>
      </w:r>
      <w:r w:rsidR="009C6C8E">
        <w:rPr>
          <w:b/>
          <w:bCs/>
        </w:rPr>
        <w:t>D</w:t>
      </w:r>
      <w:r>
        <w:rPr>
          <w:b/>
          <w:bCs/>
        </w:rPr>
        <w:t xml:space="preserve">ata </w:t>
      </w:r>
      <w:r w:rsidR="009C6C8E">
        <w:rPr>
          <w:b/>
          <w:bCs/>
        </w:rPr>
        <w:t>A</w:t>
      </w:r>
      <w:r>
        <w:rPr>
          <w:b/>
          <w:bCs/>
        </w:rPr>
        <w:t xml:space="preserve">vailability </w:t>
      </w:r>
      <w:r w:rsidR="009C6C8E">
        <w:rPr>
          <w:b/>
          <w:bCs/>
        </w:rPr>
        <w:t>S</w:t>
      </w:r>
      <w:r>
        <w:rPr>
          <w:b/>
          <w:bCs/>
        </w:rPr>
        <w:t>tatements, i</w:t>
      </w:r>
      <w:r w:rsidR="00F50BDE" w:rsidRPr="00F50BDE">
        <w:rPr>
          <w:b/>
          <w:bCs/>
        </w:rPr>
        <w:t>nstitutional data policies</w:t>
      </w:r>
      <w:r>
        <w:rPr>
          <w:b/>
          <w:bCs/>
        </w:rPr>
        <w:t>,</w:t>
      </w:r>
      <w:r w:rsidR="00F50BDE" w:rsidRPr="00F50BDE">
        <w:rPr>
          <w:b/>
          <w:bCs/>
        </w:rPr>
        <w:t xml:space="preserve"> and public statements </w:t>
      </w:r>
      <w:r w:rsidR="00F50BDE">
        <w:rPr>
          <w:b/>
          <w:bCs/>
        </w:rPr>
        <w:t>about data sharing</w:t>
      </w:r>
      <w:r>
        <w:rPr>
          <w:b/>
          <w:bCs/>
        </w:rPr>
        <w:t xml:space="preserve"> were observed</w:t>
      </w:r>
      <w:r w:rsidR="00F50BDE" w:rsidRPr="00F50BDE">
        <w:rPr>
          <w:b/>
          <w:bCs/>
        </w:rPr>
        <w:t>.</w:t>
      </w:r>
      <w:r w:rsidR="00F50BDE">
        <w:t xml:space="preserve"> </w:t>
      </w:r>
      <w:r w:rsidR="002A53D3">
        <w:t xml:space="preserve">In addition to journals’ data sharing policies, </w:t>
      </w:r>
      <w:r w:rsidR="005144DE">
        <w:t>institutions</w:t>
      </w:r>
      <w:r w:rsidR="008D6CD3">
        <w:t>,</w:t>
      </w:r>
      <w:r w:rsidR="002A53D3">
        <w:t xml:space="preserve"> and funding bodies increasingly also assert their own Research Data Management policies regarding the retention, storage, and access to data by those seeking to verify results. </w:t>
      </w:r>
      <w:r w:rsidR="004D7DA1">
        <w:t>In addition to non-adherence to journal Data Availability Statements, r</w:t>
      </w:r>
      <w:r w:rsidR="00A84E85" w:rsidRPr="00055FBA">
        <w:t xml:space="preserve">esearchers </w:t>
      </w:r>
      <w:r w:rsidR="00F50BDE">
        <w:t xml:space="preserve">were observed </w:t>
      </w:r>
      <w:r w:rsidR="00A84E85" w:rsidRPr="00055FBA">
        <w:t>violat</w:t>
      </w:r>
      <w:r w:rsidR="00E501F8">
        <w:t>ing</w:t>
      </w:r>
      <w:r w:rsidR="00A84E85" w:rsidRPr="00055FBA">
        <w:t xml:space="preserve"> their institutions’ research data management policies</w:t>
      </w:r>
      <w:r w:rsidR="009A2556">
        <w:t xml:space="preserve"> (e.g., RDM policies at Ghent University and Radboud University)</w:t>
      </w:r>
      <w:r w:rsidR="00501911">
        <w:t xml:space="preserve">. Some authors also </w:t>
      </w:r>
      <w:r w:rsidR="005B6ACF" w:rsidRPr="00055FBA">
        <w:t>contra</w:t>
      </w:r>
      <w:r w:rsidR="00DA4798">
        <w:t>dic</w:t>
      </w:r>
      <w:r w:rsidR="00501911">
        <w:t xml:space="preserve">ted </w:t>
      </w:r>
      <w:r w:rsidR="005B6ACF" w:rsidRPr="00055FBA">
        <w:t xml:space="preserve">their </w:t>
      </w:r>
      <w:r w:rsidR="00A84E85" w:rsidRPr="00055FBA">
        <w:t xml:space="preserve">own </w:t>
      </w:r>
      <w:r w:rsidR="00BE44D1">
        <w:t xml:space="preserve">recent </w:t>
      </w:r>
      <w:r w:rsidR="00A84E85" w:rsidRPr="00055FBA">
        <w:t>public statements about the importance of data sharing</w:t>
      </w:r>
      <w:r w:rsidR="00501911">
        <w:t xml:space="preserve">. For example, one author of IRAP papers </w:t>
      </w:r>
      <w:r w:rsidR="008D0485">
        <w:t xml:space="preserve">who declined to sharing any data </w:t>
      </w:r>
      <w:r w:rsidR="00501911">
        <w:t xml:space="preserve">was also a co-author of the Association for Contextual Behavioral Science’s </w:t>
      </w:r>
      <w:r w:rsidR="006F151D">
        <w:t xml:space="preserve">recent </w:t>
      </w:r>
      <w:r w:rsidR="00501911">
        <w:t>Open Science recommendations report, which states “</w:t>
      </w:r>
      <w:r w:rsidR="00501911">
        <w:rPr>
          <w:lang w:val="en-US"/>
        </w:rPr>
        <w:t>w</w:t>
      </w:r>
      <w:r w:rsidR="00501911" w:rsidRPr="00971B28">
        <w:rPr>
          <w:lang w:val="en-US"/>
        </w:rPr>
        <w:t>e recommend open data and transparency whenever possible.</w:t>
      </w:r>
      <w:r w:rsidR="00501911">
        <w:rPr>
          <w:lang w:val="en-US"/>
        </w:rPr>
        <w:t>”</w:t>
      </w:r>
      <w:r w:rsidR="00501911">
        <w:t xml:space="preserve"> </w:t>
      </w:r>
      <w:r w:rsidR="00501911">
        <w:fldChar w:fldCharType="begin"/>
      </w:r>
      <w:r w:rsidR="00501911">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501911">
        <w:fldChar w:fldCharType="separate"/>
      </w:r>
      <w:r w:rsidR="00501911">
        <w:rPr>
          <w:noProof/>
        </w:rPr>
        <w:t>(Task Force on the Strategies and Tactics of Contextual Behavioral Science Research, 2021)</w:t>
      </w:r>
      <w:r w:rsidR="00501911">
        <w:fldChar w:fldCharType="end"/>
      </w:r>
      <w:r w:rsidR="00501911">
        <w:t xml:space="preserve">. </w:t>
      </w:r>
    </w:p>
    <w:p w14:paraId="2700E13F" w14:textId="1F7D8268" w:rsidR="00DC15B4" w:rsidRPr="00680DB7" w:rsidRDefault="00DC15B4" w:rsidP="00DC15B4">
      <w:r>
        <w:t xml:space="preserve">Finally, there were instances of apparent inclusion of tokenistic </w:t>
      </w:r>
      <w:r w:rsidR="00A775D1">
        <w:t xml:space="preserve">or misleading </w:t>
      </w:r>
      <w:r>
        <w:t xml:space="preserve">Data Availability Statements. Some authors listed as the contact person in the Data Availability Statement, when contacted, stated not only did they not currently have access to the data but that they had never been in possession of it. </w:t>
      </w:r>
    </w:p>
    <w:p w14:paraId="7DA01455" w14:textId="7F8B1725" w:rsidR="00224B98" w:rsidRDefault="00224B98" w:rsidP="00DE1366">
      <w:pPr>
        <w:pStyle w:val="Heading1"/>
        <w:jc w:val="both"/>
      </w:pPr>
      <w:r>
        <w:t>Discussion</w:t>
      </w:r>
    </w:p>
    <w:p w14:paraId="6A0676CC" w14:textId="147A6C5D" w:rsidR="00F76155" w:rsidRDefault="00FF151E" w:rsidP="00F1010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p>
    <w:p w14:paraId="48CB7FAA" w14:textId="5715C438" w:rsidR="00FF4547" w:rsidRDefault="00F76155" w:rsidP="00F1010E">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 xml:space="preserve">%, </w:t>
      </w:r>
      <w:r w:rsidR="001C33D6">
        <w:t>13</w:t>
      </w:r>
      <w:r w:rsidR="00FF151E" w:rsidRPr="002706BB">
        <w:t xml:space="preserve"> of 52 articles).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there was therefore no evidence that </w:t>
      </w:r>
      <w:r w:rsidR="009C6C8E">
        <w:t xml:space="preserve">Data Availability Statements </w:t>
      </w:r>
      <w:r w:rsidR="0053063A">
        <w:t xml:space="preserve">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591CDA67"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522922">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2DED367A" w:rsidR="00A03519" w:rsidRDefault="0063042C"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many institutions</w:t>
      </w:r>
      <w:r w:rsidR="001714FF">
        <w:t>’</w:t>
      </w:r>
      <w:r w:rsidR="003F3310">
        <w:t xml:space="preserve">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w:t>
      </w:r>
      <w:r w:rsidR="0048487D">
        <w:lastRenderedPageBreak/>
        <w:t xml:space="preserve">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5AB023FC"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 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636C19">
        <w:instrText xml:space="preserve"> ADDIN ZOTERO_ITEM CSL_CITATION {"citationID":"LYPIQ0Es","properties":{"formattedCitation":"(e.g., Lear et al., 2023)","plainCitation":"(e.g.,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6B23D4E1" w14:textId="17C985D0" w:rsidR="00FF439C" w:rsidRDefault="00FF439C" w:rsidP="00FF439C">
      <w:pPr>
        <w:pStyle w:val="Heading1"/>
      </w:pPr>
      <w:r>
        <w:t>Author notes</w:t>
      </w:r>
    </w:p>
    <w:p w14:paraId="291F4180" w14:textId="1D040471" w:rsidR="00FF439C" w:rsidRPr="00FF439C" w:rsidRDefault="00FF439C" w:rsidP="00FF439C">
      <w:pPr>
        <w:ind w:firstLine="0"/>
      </w:pPr>
      <w:r>
        <w:t>Ian Hussey, Ruhr University Bochum, Germany (</w:t>
      </w:r>
      <w:hyperlink r:id="rId19" w:history="1">
        <w:r w:rsidRPr="00981A85">
          <w:rPr>
            <w:rStyle w:val="Hyperlink"/>
          </w:rPr>
          <w:t>ian.hussey@icloud.com</w:t>
        </w:r>
      </w:hyperlink>
      <w:r>
        <w:t xml:space="preserve">). </w:t>
      </w:r>
      <w:r w:rsidR="0021546F">
        <w:t xml:space="preserve">ORCID </w:t>
      </w:r>
      <w:hyperlink r:id="rId20" w:history="1">
        <w:r w:rsidR="0021546F" w:rsidRPr="0021546F">
          <w:rPr>
            <w:rStyle w:val="Hyperlink"/>
          </w:rPr>
          <w:t>0000-0001-8906-7559</w:t>
        </w:r>
      </w:hyperlink>
      <w:r w:rsidR="0021546F">
        <w:t xml:space="preserve">. This research was supported by the META-REP </w:t>
      </w:r>
      <w:r w:rsidR="0021546F">
        <w:t xml:space="preserve">Priority Program of the German Research Foundation (#464488178). </w:t>
      </w:r>
    </w:p>
    <w:p w14:paraId="46F48CEB" w14:textId="62877408" w:rsidR="00D30FF3" w:rsidRDefault="00107F64" w:rsidP="00F1010E">
      <w:pPr>
        <w:pStyle w:val="Heading1"/>
      </w:pPr>
      <w:r>
        <w:t>References</w:t>
      </w:r>
    </w:p>
    <w:p w14:paraId="775415D9" w14:textId="77777777" w:rsidR="009F1716" w:rsidRPr="009F1716" w:rsidRDefault="00D72CB3" w:rsidP="009F1716">
      <w:pPr>
        <w:pStyle w:val="Bibliography"/>
      </w:pPr>
      <w:r>
        <w:fldChar w:fldCharType="begin"/>
      </w:r>
      <w:r w:rsidR="00612ABD">
        <w:instrText xml:space="preserve"> ADDIN ZOTERO_BIBL {"uncited":[],"omitted":[],"custom":[]} CSL_BIBLIOGRAPHY </w:instrText>
      </w:r>
      <w:r>
        <w:fldChar w:fldCharType="separate"/>
      </w:r>
      <w:r w:rsidR="009F1716" w:rsidRPr="009F1716">
        <w:t xml:space="preserve">Alsheikh-Ali, A. A., Qureshi, W., Al-Mallah, M. H., &amp; Ioannidis, J. P. A. (2011). Public Availability of Published Research Data in High-Impact Journals. </w:t>
      </w:r>
      <w:r w:rsidR="009F1716" w:rsidRPr="009F1716">
        <w:rPr>
          <w:i/>
          <w:iCs/>
        </w:rPr>
        <w:t>PLOS ONE</w:t>
      </w:r>
      <w:r w:rsidR="009F1716" w:rsidRPr="009F1716">
        <w:t xml:space="preserve">, </w:t>
      </w:r>
      <w:r w:rsidR="009F1716" w:rsidRPr="009F1716">
        <w:rPr>
          <w:i/>
          <w:iCs/>
        </w:rPr>
        <w:t>6</w:t>
      </w:r>
      <w:r w:rsidR="009F1716" w:rsidRPr="009F1716">
        <w:t>(9), e24357. https://doi.org/10.1371/journal.pone.0024357</w:t>
      </w:r>
    </w:p>
    <w:p w14:paraId="6FD72150" w14:textId="77777777" w:rsidR="009F1716" w:rsidRPr="009F1716" w:rsidRDefault="009F1716" w:rsidP="009F1716">
      <w:pPr>
        <w:pStyle w:val="Bibliography"/>
      </w:pPr>
      <w:r w:rsidRPr="009F1716">
        <w:t xml:space="preserve">European Commission. (2023). </w:t>
      </w:r>
      <w:r w:rsidRPr="009F1716">
        <w:rPr>
          <w:i/>
          <w:iCs/>
        </w:rPr>
        <w:t>The EU’s open science policy</w:t>
      </w:r>
      <w:r w:rsidRPr="009F1716">
        <w:t>. https://research-and-innovation.ec.europa.eu/strategy/strategy-2020-2024/our-digital-future/open-science_en</w:t>
      </w:r>
    </w:p>
    <w:p w14:paraId="2B25E117" w14:textId="77777777" w:rsidR="009F1716" w:rsidRPr="009F1716" w:rsidRDefault="009F1716" w:rsidP="009F1716">
      <w:pPr>
        <w:pStyle w:val="Bibliography"/>
      </w:pPr>
      <w:r w:rsidRPr="009F1716">
        <w:t xml:space="preserve">Evans, T. R. (2022). </w:t>
      </w:r>
      <w:r w:rsidRPr="009F1716">
        <w:rPr>
          <w:i/>
          <w:iCs/>
        </w:rPr>
        <w:t>Developments in Open Data Norms</w:t>
      </w:r>
      <w:r w:rsidRPr="009F1716">
        <w:t xml:space="preserve"> (No. 1). </w:t>
      </w:r>
      <w:r w:rsidRPr="009F1716">
        <w:rPr>
          <w:i/>
          <w:iCs/>
        </w:rPr>
        <w:t>10</w:t>
      </w:r>
      <w:r w:rsidRPr="009F1716">
        <w:t>(1), Article 1. https://doi.org/10.5334/jopd.60</w:t>
      </w:r>
    </w:p>
    <w:p w14:paraId="6738FFE7" w14:textId="77777777" w:rsidR="009F1716" w:rsidRPr="009F1716" w:rsidRDefault="009F1716" w:rsidP="009F1716">
      <w:pPr>
        <w:pStyle w:val="Bibliography"/>
      </w:pPr>
      <w:r w:rsidRPr="009F1716">
        <w:t xml:space="preserve">Frontiers. (2023). </w:t>
      </w:r>
      <w:r w:rsidRPr="009F1716">
        <w:rPr>
          <w:i/>
          <w:iCs/>
        </w:rPr>
        <w:t>Policies and publication ethics</w:t>
      </w:r>
      <w:r w:rsidRPr="009F1716">
        <w:t>. https://www.frontiersin.org/guidelines/policies-and-publication-ethics</w:t>
      </w:r>
    </w:p>
    <w:p w14:paraId="10BE24E0" w14:textId="77777777" w:rsidR="009F1716" w:rsidRPr="009F1716" w:rsidRDefault="009F1716" w:rsidP="009F1716">
      <w:pPr>
        <w:pStyle w:val="Bibliography"/>
      </w:pPr>
      <w:r w:rsidRPr="009F1716">
        <w:t xml:space="preserve">Gabelica, M., Bojčić, R., &amp; Puljak, L. (2022). Many researchers were not compliant with their published data sharing statement: Mixed-methods study. </w:t>
      </w:r>
      <w:r w:rsidRPr="009F1716">
        <w:rPr>
          <w:i/>
          <w:iCs/>
        </w:rPr>
        <w:t>Journal of Clinical Epidemiology</w:t>
      </w:r>
      <w:r w:rsidRPr="009F1716">
        <w:t xml:space="preserve">, </w:t>
      </w:r>
      <w:r w:rsidRPr="009F1716">
        <w:rPr>
          <w:i/>
          <w:iCs/>
        </w:rPr>
        <w:t>0</w:t>
      </w:r>
      <w:r w:rsidRPr="009F1716">
        <w:t>(0). https://doi.org/10.1016/j.jclinepi.2022.05.019</w:t>
      </w:r>
    </w:p>
    <w:p w14:paraId="699964B0" w14:textId="77777777" w:rsidR="009F1716" w:rsidRPr="009F1716" w:rsidRDefault="009F1716" w:rsidP="009F1716">
      <w:pPr>
        <w:pStyle w:val="Bibliography"/>
      </w:pPr>
      <w:r w:rsidRPr="009F1716">
        <w:t xml:space="preserve">Gilmore, R. O., Kennedy, J. L., &amp; Adolph, K. E. (2018). Practical Solutions for Sharing Data and Materials From Psychological Research. </w:t>
      </w:r>
      <w:r w:rsidRPr="009F1716">
        <w:rPr>
          <w:i/>
          <w:iCs/>
        </w:rPr>
        <w:t>Advances in Methods and Practices in Psychological Science</w:t>
      </w:r>
      <w:r w:rsidRPr="009F1716">
        <w:t xml:space="preserve">, </w:t>
      </w:r>
      <w:r w:rsidRPr="009F1716">
        <w:rPr>
          <w:i/>
          <w:iCs/>
        </w:rPr>
        <w:t>1</w:t>
      </w:r>
      <w:r w:rsidRPr="009F1716">
        <w:t>(1), 121–130. https://doi.org/10.1177/2515245917746500</w:t>
      </w:r>
    </w:p>
    <w:p w14:paraId="3CB8A06F" w14:textId="77777777" w:rsidR="009F1716" w:rsidRPr="009F1716" w:rsidRDefault="009F1716" w:rsidP="009F1716">
      <w:pPr>
        <w:pStyle w:val="Bibliography"/>
      </w:pPr>
      <w:r w:rsidRPr="009F1716">
        <w:t xml:space="preserve">Google Trends. (2023). </w:t>
      </w:r>
      <w:r w:rsidRPr="009F1716">
        <w:rPr>
          <w:i/>
          <w:iCs/>
        </w:rPr>
        <w:t>Comparison of the relative frequency of usage of “data is” vs. “data are.”</w:t>
      </w:r>
      <w:r w:rsidRPr="009F1716">
        <w:t xml:space="preserve"> https://trends.google.com/trends/explore?date=today%205-y&amp;q=data%20is,data%20are&amp;hl=en-GB</w:t>
      </w:r>
    </w:p>
    <w:p w14:paraId="11EF9CC4" w14:textId="77777777" w:rsidR="009F1716" w:rsidRPr="009F1716" w:rsidRDefault="009F1716" w:rsidP="009F1716">
      <w:pPr>
        <w:pStyle w:val="Bibliography"/>
      </w:pPr>
      <w:r w:rsidRPr="009F1716">
        <w:t xml:space="preserve">Hallinan, D., Boehm, F., Külpmann, A., &amp; Elson, M. (2023). Information Provision for Informed Consent Procedures in Psychological Research Under the General Data Protection Regulation: A Practical Guide. </w:t>
      </w:r>
      <w:r w:rsidRPr="009F1716">
        <w:rPr>
          <w:i/>
          <w:iCs/>
        </w:rPr>
        <w:t>Advances in Methods and Practices in Psychological Science</w:t>
      </w:r>
      <w:r w:rsidRPr="009F1716">
        <w:t xml:space="preserve">, </w:t>
      </w:r>
      <w:r w:rsidRPr="009F1716">
        <w:rPr>
          <w:i/>
          <w:iCs/>
        </w:rPr>
        <w:t>6</w:t>
      </w:r>
      <w:r w:rsidRPr="009F1716">
        <w:t>(1), 25152459231151944. https://doi.org/10.1177/25152459231151944</w:t>
      </w:r>
    </w:p>
    <w:p w14:paraId="305DC7E5" w14:textId="77777777" w:rsidR="009F1716" w:rsidRPr="009F1716" w:rsidRDefault="009F1716" w:rsidP="009F1716">
      <w:pPr>
        <w:pStyle w:val="Bibliography"/>
      </w:pPr>
      <w:r w:rsidRPr="009F1716">
        <w:t xml:space="preserve">Horstmann, K. T., Arslan, R. C., &amp; Greiff, S. (2020). Generating Codebooks to Ensure the Independent Use of Research Data. </w:t>
      </w:r>
      <w:r w:rsidRPr="009F1716">
        <w:rPr>
          <w:i/>
          <w:iCs/>
        </w:rPr>
        <w:t>European Journal of Psychological Assessment</w:t>
      </w:r>
      <w:r w:rsidRPr="009F1716">
        <w:t xml:space="preserve">, </w:t>
      </w:r>
      <w:r w:rsidRPr="009F1716">
        <w:rPr>
          <w:i/>
          <w:iCs/>
        </w:rPr>
        <w:t>36</w:t>
      </w:r>
      <w:r w:rsidRPr="009F1716">
        <w:t>(5), 721–729. https://doi.org/10/ghmt9r</w:t>
      </w:r>
    </w:p>
    <w:p w14:paraId="18CA7AFA" w14:textId="77777777" w:rsidR="009F1716" w:rsidRPr="009F1716" w:rsidRDefault="009F1716" w:rsidP="009F1716">
      <w:pPr>
        <w:pStyle w:val="Bibliography"/>
      </w:pPr>
      <w:r w:rsidRPr="009F1716">
        <w:t xml:space="preserve">Hussey, I. (2022). </w:t>
      </w:r>
      <w:r w:rsidRPr="009F1716">
        <w:rPr>
          <w:i/>
          <w:iCs/>
        </w:rPr>
        <w:t>Reply to Barnes-Holmes &amp; Harte (2022) “The IRAP as a Measure of Implicit Cognition: A Case of Frankenstein’s Monster.”</w:t>
      </w:r>
      <w:r w:rsidRPr="009F1716">
        <w:t xml:space="preserve"> PsyArXiv. https://doi.org/10.31234/osf.io/qmg6s</w:t>
      </w:r>
    </w:p>
    <w:p w14:paraId="2ADC9A0B" w14:textId="77777777" w:rsidR="009F1716" w:rsidRPr="009F1716" w:rsidRDefault="009F1716" w:rsidP="009F1716">
      <w:pPr>
        <w:pStyle w:val="Bibliography"/>
      </w:pPr>
      <w:r w:rsidRPr="009F1716">
        <w:t xml:space="preserve">Hussey, I. (2023). </w:t>
      </w:r>
      <w:r w:rsidRPr="009F1716">
        <w:rPr>
          <w:i/>
          <w:iCs/>
        </w:rPr>
        <w:t>A systematic review of Null Hypothesis Significance Testing, sample sizes and statistical power in research using the Implicit Relational Assessment Procedure</w:t>
      </w:r>
      <w:r w:rsidRPr="009F1716">
        <w:t>. PsyArXiv. https://doi.org/10.31234/osf.io/g2x9p</w:t>
      </w:r>
    </w:p>
    <w:p w14:paraId="6C0E6DF0" w14:textId="77777777" w:rsidR="009F1716" w:rsidRPr="009F1716" w:rsidRDefault="009F1716" w:rsidP="009F1716">
      <w:pPr>
        <w:pStyle w:val="Bibliography"/>
      </w:pPr>
      <w:r w:rsidRPr="009F1716">
        <w:lastRenderedPageBreak/>
        <w:t xml:space="preserve">Hussey, I., &amp; Drake, C. E. (2020). The Implicit Relational Assessment Procedure demonstrates poor internal consistency and test-retest reliability: A meta-analysis. </w:t>
      </w:r>
      <w:r w:rsidRPr="009F1716">
        <w:rPr>
          <w:i/>
          <w:iCs/>
        </w:rPr>
        <w:t>Preprint</w:t>
      </w:r>
      <w:r w:rsidRPr="009F1716">
        <w:t>. https://doi.org/10.31234/osf.io/ge3k7</w:t>
      </w:r>
    </w:p>
    <w:p w14:paraId="009C7725" w14:textId="77777777" w:rsidR="009F1716" w:rsidRPr="009F1716" w:rsidRDefault="009F1716" w:rsidP="009F1716">
      <w:pPr>
        <w:pStyle w:val="Bibliography"/>
      </w:pPr>
      <w:r w:rsidRPr="009F1716">
        <w:t xml:space="preserve">International Journal of Psychology and Psychological Therapy. (2023). </w:t>
      </w:r>
      <w:r w:rsidRPr="009F1716">
        <w:rPr>
          <w:i/>
          <w:iCs/>
        </w:rPr>
        <w:t>Authors Guidelines</w:t>
      </w:r>
      <w:r w:rsidRPr="009F1716">
        <w:t>. https://www.ijpsy.com/normas.html</w:t>
      </w:r>
    </w:p>
    <w:p w14:paraId="0D9369BC" w14:textId="77777777" w:rsidR="009F1716" w:rsidRPr="009F1716" w:rsidRDefault="009F1716" w:rsidP="009F1716">
      <w:pPr>
        <w:pStyle w:val="Bibliography"/>
      </w:pPr>
      <w:r w:rsidRPr="009F1716">
        <w:t xml:space="preserve">Journal of Contextual Behavioral Science. (2023). </w:t>
      </w:r>
      <w:r w:rsidRPr="009F1716">
        <w:rPr>
          <w:i/>
          <w:iCs/>
        </w:rPr>
        <w:t>Guide for Authors</w:t>
      </w:r>
      <w:r w:rsidRPr="009F1716">
        <w:t>. https://www.ijpsy.com/normas.html</w:t>
      </w:r>
    </w:p>
    <w:p w14:paraId="6B4C19FA" w14:textId="77777777" w:rsidR="009F1716" w:rsidRPr="009F1716" w:rsidRDefault="009F1716" w:rsidP="009F1716">
      <w:pPr>
        <w:pStyle w:val="Bibliography"/>
      </w:pPr>
      <w:r w:rsidRPr="009F1716">
        <w:t xml:space="preserve">Krawczyk, M., &amp; Reuben, E. (2012). (Un)Available upon Request: Field Experiment on Researchers’ Willingness to Share Supplementary Materials. </w:t>
      </w:r>
      <w:r w:rsidRPr="009F1716">
        <w:rPr>
          <w:i/>
          <w:iCs/>
        </w:rPr>
        <w:t>Accountability in Research</w:t>
      </w:r>
      <w:r w:rsidRPr="009F1716">
        <w:t xml:space="preserve">, </w:t>
      </w:r>
      <w:r w:rsidRPr="009F1716">
        <w:rPr>
          <w:i/>
          <w:iCs/>
        </w:rPr>
        <w:t>19</w:t>
      </w:r>
      <w:r w:rsidRPr="009F1716">
        <w:t>(3), 175–186. https://doi.org/10.1080/08989621.2012.678688</w:t>
      </w:r>
    </w:p>
    <w:p w14:paraId="618D7881" w14:textId="77777777" w:rsidR="009F1716" w:rsidRPr="009F1716" w:rsidRDefault="009F1716" w:rsidP="009F1716">
      <w:pPr>
        <w:pStyle w:val="Bibliography"/>
      </w:pPr>
      <w:r w:rsidRPr="009F1716">
        <w:t xml:space="preserve">Lear, M. K., Spata, A., Tittler, M., Fishbein, J. N., Arch, J. J., &amp; Luoma, J. B. (2023). Transparency and reproducibility in the journal of contextual behavioral science: An audit study. </w:t>
      </w:r>
      <w:r w:rsidRPr="009F1716">
        <w:rPr>
          <w:i/>
          <w:iCs/>
        </w:rPr>
        <w:t>Journal of Contextual Behavioral Science</w:t>
      </w:r>
      <w:r w:rsidRPr="009F1716">
        <w:t xml:space="preserve">, </w:t>
      </w:r>
      <w:r w:rsidRPr="009F1716">
        <w:rPr>
          <w:i/>
          <w:iCs/>
        </w:rPr>
        <w:t>28</w:t>
      </w:r>
      <w:r w:rsidRPr="009F1716">
        <w:t>, 207–214. https://doi.org/10.1016/j.jcbs.2023.03.017</w:t>
      </w:r>
    </w:p>
    <w:p w14:paraId="0B54C5A8" w14:textId="77777777" w:rsidR="009F1716" w:rsidRPr="009F1716" w:rsidRDefault="009F1716" w:rsidP="009F1716">
      <w:pPr>
        <w:pStyle w:val="Bibliography"/>
      </w:pPr>
      <w:r w:rsidRPr="009F1716">
        <w:t xml:space="preserve">Meyer, M. N. (2018). Practical Tips for Ethical Data Sharing. </w:t>
      </w:r>
      <w:r w:rsidRPr="009F1716">
        <w:rPr>
          <w:i/>
          <w:iCs/>
        </w:rPr>
        <w:t>Advances in Methods and Practices in Psychological Science</w:t>
      </w:r>
      <w:r w:rsidRPr="009F1716">
        <w:t xml:space="preserve">, </w:t>
      </w:r>
      <w:r w:rsidRPr="009F1716">
        <w:rPr>
          <w:i/>
          <w:iCs/>
        </w:rPr>
        <w:t>1</w:t>
      </w:r>
      <w:r w:rsidRPr="009F1716">
        <w:t>(1), 131–144. https://doi.org/10.1177/2515245917747656</w:t>
      </w:r>
    </w:p>
    <w:p w14:paraId="4E2F7ADF" w14:textId="77777777" w:rsidR="009F1716" w:rsidRPr="009F1716" w:rsidRDefault="009F1716" w:rsidP="009F1716">
      <w:pPr>
        <w:pStyle w:val="Bibliography"/>
      </w:pPr>
      <w:r w:rsidRPr="009F1716">
        <w:t xml:space="preserve">Minocher, R., Atmaca, S., Bavero, C., McElreath, R., &amp; Beheim, B. (2021). Estimating the reproducibility of social learning research published between 1955 and 2018. </w:t>
      </w:r>
      <w:r w:rsidRPr="009F1716">
        <w:rPr>
          <w:i/>
          <w:iCs/>
        </w:rPr>
        <w:t>Royal Society Open Science</w:t>
      </w:r>
      <w:r w:rsidRPr="009F1716">
        <w:t xml:space="preserve">, </w:t>
      </w:r>
      <w:r w:rsidRPr="009F1716">
        <w:rPr>
          <w:i/>
          <w:iCs/>
        </w:rPr>
        <w:t>8</w:t>
      </w:r>
      <w:r w:rsidRPr="009F1716">
        <w:t>(9), 210450. https://doi.org/10.1098/rsos.210450</w:t>
      </w:r>
    </w:p>
    <w:p w14:paraId="0E89A9BC" w14:textId="77777777" w:rsidR="009F1716" w:rsidRPr="009F1716" w:rsidRDefault="009F1716" w:rsidP="009F1716">
      <w:pPr>
        <w:pStyle w:val="Bibliography"/>
      </w:pPr>
      <w:r w:rsidRPr="009F1716">
        <w:t xml:space="preserve">Munafò, M. R., Nosek, B. A., Bishop, D. V. M., Button, K. S., Chambers, C. D., Percie du Sert, N., Simonsohn, U., Wagenmakers, E.-J., Ware, J. J., &amp; Ioannidis, J. P. A. (2017). A manifesto for reproducible science. </w:t>
      </w:r>
      <w:r w:rsidRPr="009F1716">
        <w:rPr>
          <w:i/>
          <w:iCs/>
        </w:rPr>
        <w:t>Nature Human Behaviour</w:t>
      </w:r>
      <w:r w:rsidRPr="009F1716">
        <w:t xml:space="preserve">, </w:t>
      </w:r>
      <w:r w:rsidRPr="009F1716">
        <w:rPr>
          <w:i/>
          <w:iCs/>
        </w:rPr>
        <w:t>1</w:t>
      </w:r>
      <w:r w:rsidRPr="009F1716">
        <w:t>(1), 0021. https://doi.org/10.1038/s41562-016-0021</w:t>
      </w:r>
    </w:p>
    <w:p w14:paraId="52415A47" w14:textId="77777777" w:rsidR="009F1716" w:rsidRPr="009F1716" w:rsidRDefault="009F1716" w:rsidP="009F1716">
      <w:pPr>
        <w:pStyle w:val="Bibliography"/>
      </w:pPr>
      <w:r w:rsidRPr="009F1716">
        <w:t xml:space="preserve">Nunes, L. (2021). Data Sharing for Greater Scientific Transparency. </w:t>
      </w:r>
      <w:r w:rsidRPr="009F1716">
        <w:rPr>
          <w:i/>
          <w:iCs/>
        </w:rPr>
        <w:t>APS Observer</w:t>
      </w:r>
      <w:r w:rsidRPr="009F1716">
        <w:t xml:space="preserve">, </w:t>
      </w:r>
      <w:r w:rsidRPr="009F1716">
        <w:rPr>
          <w:i/>
          <w:iCs/>
        </w:rPr>
        <w:t>34</w:t>
      </w:r>
      <w:r w:rsidRPr="009F1716">
        <w:t>. https://www.psychologicalscience.org/observer/data-sharing-methods</w:t>
      </w:r>
    </w:p>
    <w:p w14:paraId="30312C7C" w14:textId="77777777" w:rsidR="009F1716" w:rsidRPr="009F1716" w:rsidRDefault="009F1716" w:rsidP="009F1716">
      <w:pPr>
        <w:pStyle w:val="Bibliography"/>
      </w:pPr>
      <w:r w:rsidRPr="009F1716">
        <w:t xml:space="preserve">Rogers, S. (2012, July 8). Data are or data is? </w:t>
      </w:r>
      <w:r w:rsidRPr="009F1716">
        <w:rPr>
          <w:i/>
          <w:iCs/>
        </w:rPr>
        <w:t>The Guardian</w:t>
      </w:r>
      <w:r w:rsidRPr="009F1716">
        <w:t>. https://www.theguardian.com/news/datablog/2010/jul/16/data-plural-singular</w:t>
      </w:r>
    </w:p>
    <w:p w14:paraId="698470F4" w14:textId="77777777" w:rsidR="009F1716" w:rsidRPr="009F1716" w:rsidRDefault="009F1716" w:rsidP="009F1716">
      <w:pPr>
        <w:pStyle w:val="Bibliography"/>
      </w:pPr>
      <w:r w:rsidRPr="009F1716">
        <w:t xml:space="preserve">Savage, C. J., &amp; Vickers, A. J. (2009). Empirical Study of Data Sharing by Authors Publishing in PLoS Journals. </w:t>
      </w:r>
      <w:r w:rsidRPr="009F1716">
        <w:rPr>
          <w:i/>
          <w:iCs/>
        </w:rPr>
        <w:t>PLOS ONE</w:t>
      </w:r>
      <w:r w:rsidRPr="009F1716">
        <w:t xml:space="preserve">, </w:t>
      </w:r>
      <w:r w:rsidRPr="009F1716">
        <w:rPr>
          <w:i/>
          <w:iCs/>
        </w:rPr>
        <w:t>4</w:t>
      </w:r>
      <w:r w:rsidRPr="009F1716">
        <w:t>(9), e7078. https://doi.org/10.1371/journal.pone.0007078</w:t>
      </w:r>
    </w:p>
    <w:p w14:paraId="18EE2DAA" w14:textId="77777777" w:rsidR="009F1716" w:rsidRPr="009F1716" w:rsidRDefault="009F1716" w:rsidP="009F1716">
      <w:pPr>
        <w:pStyle w:val="Bibliography"/>
      </w:pPr>
      <w:r w:rsidRPr="009F1716">
        <w:t xml:space="preserve">Soderberg, C. K. (2018). Using OSF to share data: A step-by-step guide. </w:t>
      </w:r>
      <w:r w:rsidRPr="009F1716">
        <w:rPr>
          <w:i/>
          <w:iCs/>
        </w:rPr>
        <w:t>Advances in Methods and Practices in Psychological Science</w:t>
      </w:r>
      <w:r w:rsidRPr="009F1716">
        <w:t xml:space="preserve">, </w:t>
      </w:r>
      <w:r w:rsidRPr="009F1716">
        <w:rPr>
          <w:i/>
          <w:iCs/>
        </w:rPr>
        <w:t>1</w:t>
      </w:r>
      <w:r w:rsidRPr="009F1716">
        <w:t>, 115–120. https://doi.org/10.1177/2515245918757689</w:t>
      </w:r>
    </w:p>
    <w:p w14:paraId="045A9141" w14:textId="77777777" w:rsidR="009F1716" w:rsidRPr="009F1716" w:rsidRDefault="009F1716" w:rsidP="009F1716">
      <w:pPr>
        <w:pStyle w:val="Bibliography"/>
      </w:pPr>
      <w:r w:rsidRPr="009F1716">
        <w:t xml:space="preserve">Task Force on the Strategies and Tactics of Contextual Behavioral Science Research. (2021). </w:t>
      </w:r>
      <w:r w:rsidRPr="009F1716">
        <w:rPr>
          <w:i/>
          <w:iCs/>
        </w:rPr>
        <w:t>Adoption of Open Science Recommendations | Association for Contextual Behavioral Science</w:t>
      </w:r>
      <w:r w:rsidRPr="009F1716">
        <w:t>. https://contextualscience.org/news/adoption_of_open_science_recommendations</w:t>
      </w:r>
    </w:p>
    <w:p w14:paraId="21830A76" w14:textId="77777777" w:rsidR="009F1716" w:rsidRPr="009F1716" w:rsidRDefault="009F1716" w:rsidP="009F1716">
      <w:pPr>
        <w:pStyle w:val="Bibliography"/>
      </w:pPr>
      <w:r w:rsidRPr="009F1716">
        <w:t xml:space="preserve">Tedersoo, L., Küngas, R., Oras, E., Köster, K., Eenmaa, H., Leijen, Ä., Pedaste, M., Raju, M., Astapova, A., Lukner, H., Kogermann, K., &amp; Sepp, T. (2021). Data sharing practices and data availability upon request differ across scientific disciplines. </w:t>
      </w:r>
      <w:r w:rsidRPr="009F1716">
        <w:rPr>
          <w:i/>
          <w:iCs/>
        </w:rPr>
        <w:t>Scientific Data</w:t>
      </w:r>
      <w:r w:rsidRPr="009F1716">
        <w:t xml:space="preserve">, </w:t>
      </w:r>
      <w:r w:rsidRPr="009F1716">
        <w:rPr>
          <w:i/>
          <w:iCs/>
        </w:rPr>
        <w:t>8</w:t>
      </w:r>
      <w:r w:rsidRPr="009F1716">
        <w:t>(1), Article 1. https://doi.org/10.1038/s41597-021-00981-0</w:t>
      </w:r>
    </w:p>
    <w:p w14:paraId="3B350BE9" w14:textId="77777777" w:rsidR="009F1716" w:rsidRPr="009F1716" w:rsidRDefault="009F1716" w:rsidP="009F1716">
      <w:pPr>
        <w:pStyle w:val="Bibliography"/>
      </w:pPr>
      <w:r w:rsidRPr="009F1716">
        <w:t xml:space="preserve">The Psychological Record. (2023). </w:t>
      </w:r>
      <w:r w:rsidRPr="009F1716">
        <w:rPr>
          <w:i/>
          <w:iCs/>
        </w:rPr>
        <w:t>Instructions for Authors</w:t>
      </w:r>
      <w:r w:rsidRPr="009F1716">
        <w:t>. Springer. https://www.springer.com/journal/40732/submission-guidelines</w:t>
      </w:r>
    </w:p>
    <w:p w14:paraId="7D16C893" w14:textId="77777777" w:rsidR="009F1716" w:rsidRPr="009F1716" w:rsidRDefault="009F1716" w:rsidP="009F1716">
      <w:pPr>
        <w:pStyle w:val="Bibliography"/>
      </w:pPr>
      <w:r w:rsidRPr="009F1716">
        <w:t xml:space="preserve">Villum, C. (2014). </w:t>
      </w:r>
      <w:r w:rsidRPr="009F1716">
        <w:rPr>
          <w:i/>
          <w:iCs/>
        </w:rPr>
        <w:t>“Open-washing” – The difference between opening your data and simply making them available – Open Knowledge Foundation blog</w:t>
      </w:r>
      <w:r w:rsidRPr="009F1716">
        <w:t>. https://blog.okfn.org/2014/03/10/open-washing-the-difference-between-opening-your-data-and-simply-making-them-available/</w:t>
      </w:r>
    </w:p>
    <w:p w14:paraId="6E19B4EC" w14:textId="77777777" w:rsidR="009F1716" w:rsidRPr="009F1716" w:rsidRDefault="009F1716" w:rsidP="009F1716">
      <w:pPr>
        <w:pStyle w:val="Bibliography"/>
      </w:pPr>
      <w:r w:rsidRPr="009F1716">
        <w:t xml:space="preserve">Wicherts, J. M., Borsboom, D., Kats, J., &amp; Molenaar, D. (2006). The poor availability of psychological research data for reanalysis. </w:t>
      </w:r>
      <w:r w:rsidRPr="009F1716">
        <w:rPr>
          <w:i/>
          <w:iCs/>
        </w:rPr>
        <w:t>American Psychologist</w:t>
      </w:r>
      <w:r w:rsidRPr="009F1716">
        <w:t xml:space="preserve">, </w:t>
      </w:r>
      <w:r w:rsidRPr="009F1716">
        <w:rPr>
          <w:i/>
          <w:iCs/>
        </w:rPr>
        <w:t>61</w:t>
      </w:r>
      <w:r w:rsidRPr="009F1716">
        <w:t>(7), 726–728. https://doi.org/10.1037/0003-066X.61.7.726</w:t>
      </w:r>
    </w:p>
    <w:p w14:paraId="460A0B58" w14:textId="6D51AE9B"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3-06-05T12:03:00Z" w:initials="IH">
    <w:p w14:paraId="7EC047F8" w14:textId="37EC6F81" w:rsidR="00C90140" w:rsidRDefault="00C90140">
      <w:pPr>
        <w:pStyle w:val="CommentText"/>
      </w:pPr>
      <w:r>
        <w:t xml:space="preserve">Add </w:t>
      </w:r>
      <w:r>
        <w:rPr>
          <w:rStyle w:val="CommentReference"/>
        </w:rPr>
        <w:annotationRef/>
      </w:r>
      <w:proofErr w:type="spellStart"/>
      <w:r>
        <w:t>Stodden</w:t>
      </w:r>
      <w:proofErr w:type="spellEnd"/>
      <w:r>
        <w:t xml:space="preserve"> et al 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C047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4D77" w16cex:dateUtc="2023-06-05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C047F8" w16cid:durableId="28284D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FE95C" w14:textId="77777777" w:rsidR="0033411E" w:rsidRDefault="0033411E" w:rsidP="00132E30">
      <w:r>
        <w:separator/>
      </w:r>
    </w:p>
  </w:endnote>
  <w:endnote w:type="continuationSeparator" w:id="0">
    <w:p w14:paraId="547D0826" w14:textId="77777777" w:rsidR="0033411E" w:rsidRDefault="0033411E"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72DE" w14:textId="77777777" w:rsidR="0033411E" w:rsidRDefault="0033411E" w:rsidP="00132E30">
      <w:r>
        <w:separator/>
      </w:r>
    </w:p>
  </w:footnote>
  <w:footnote w:type="continuationSeparator" w:id="0">
    <w:p w14:paraId="1B56E37F" w14:textId="77777777" w:rsidR="0033411E" w:rsidRDefault="0033411E" w:rsidP="00132E30">
      <w:r>
        <w:continuationSeparator/>
      </w:r>
    </w:p>
  </w:footnote>
  <w:footnote w:id="1">
    <w:p w14:paraId="375C74DA" w14:textId="2C0FFDA4" w:rsidR="00AA2CF6" w:rsidRPr="00AA2CF6" w:rsidRDefault="00AA2CF6"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A08E81C">
      <w:numFmt w:val="bullet"/>
      <w:lvlText w:val="-"/>
      <w:lvlJc w:val="left"/>
      <w:pPr>
        <w:ind w:left="720" w:hanging="360"/>
      </w:pPr>
      <w:rPr>
        <w:rFonts w:ascii="CMU Serif Roman" w:eastAsia="Times New Roman" w:hAnsi="CMU Serif Roman"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086"/>
    <w:rsid w:val="000103F7"/>
    <w:rsid w:val="000105AF"/>
    <w:rsid w:val="0001126A"/>
    <w:rsid w:val="000117D5"/>
    <w:rsid w:val="00023E20"/>
    <w:rsid w:val="0003580B"/>
    <w:rsid w:val="000406E1"/>
    <w:rsid w:val="00041ADF"/>
    <w:rsid w:val="00041C77"/>
    <w:rsid w:val="00044078"/>
    <w:rsid w:val="00045E25"/>
    <w:rsid w:val="0004798C"/>
    <w:rsid w:val="0005404C"/>
    <w:rsid w:val="00055FBA"/>
    <w:rsid w:val="00062150"/>
    <w:rsid w:val="00062593"/>
    <w:rsid w:val="00066D6E"/>
    <w:rsid w:val="00067B22"/>
    <w:rsid w:val="0007163B"/>
    <w:rsid w:val="0007275E"/>
    <w:rsid w:val="00072954"/>
    <w:rsid w:val="00072A1C"/>
    <w:rsid w:val="000863F1"/>
    <w:rsid w:val="00094DD5"/>
    <w:rsid w:val="000A62E0"/>
    <w:rsid w:val="000B03E8"/>
    <w:rsid w:val="000B1799"/>
    <w:rsid w:val="000B262B"/>
    <w:rsid w:val="000B5D8F"/>
    <w:rsid w:val="000B6F94"/>
    <w:rsid w:val="000C2AC0"/>
    <w:rsid w:val="000C36EA"/>
    <w:rsid w:val="000C3801"/>
    <w:rsid w:val="000C534F"/>
    <w:rsid w:val="000D4065"/>
    <w:rsid w:val="000E7322"/>
    <w:rsid w:val="000F702E"/>
    <w:rsid w:val="000F7D99"/>
    <w:rsid w:val="00102C72"/>
    <w:rsid w:val="0010728E"/>
    <w:rsid w:val="00107DB2"/>
    <w:rsid w:val="00107F64"/>
    <w:rsid w:val="0011093C"/>
    <w:rsid w:val="00114F99"/>
    <w:rsid w:val="00126676"/>
    <w:rsid w:val="001303E4"/>
    <w:rsid w:val="001306AA"/>
    <w:rsid w:val="00132E30"/>
    <w:rsid w:val="001370F3"/>
    <w:rsid w:val="00146750"/>
    <w:rsid w:val="00147652"/>
    <w:rsid w:val="00147A83"/>
    <w:rsid w:val="00147D33"/>
    <w:rsid w:val="00153BF0"/>
    <w:rsid w:val="00154D75"/>
    <w:rsid w:val="0016372D"/>
    <w:rsid w:val="00164FB2"/>
    <w:rsid w:val="001679C4"/>
    <w:rsid w:val="00170F84"/>
    <w:rsid w:val="001714FF"/>
    <w:rsid w:val="001740F3"/>
    <w:rsid w:val="001757C8"/>
    <w:rsid w:val="00182B0E"/>
    <w:rsid w:val="00182FA6"/>
    <w:rsid w:val="001901EC"/>
    <w:rsid w:val="00196432"/>
    <w:rsid w:val="001A1D84"/>
    <w:rsid w:val="001A3D1A"/>
    <w:rsid w:val="001A47D1"/>
    <w:rsid w:val="001A5E14"/>
    <w:rsid w:val="001A739A"/>
    <w:rsid w:val="001A7F66"/>
    <w:rsid w:val="001B06BB"/>
    <w:rsid w:val="001B0BDA"/>
    <w:rsid w:val="001B2F99"/>
    <w:rsid w:val="001B4526"/>
    <w:rsid w:val="001B5E31"/>
    <w:rsid w:val="001B68A7"/>
    <w:rsid w:val="001C0685"/>
    <w:rsid w:val="001C1FBA"/>
    <w:rsid w:val="001C23CF"/>
    <w:rsid w:val="001C33D6"/>
    <w:rsid w:val="001C4FB5"/>
    <w:rsid w:val="001C6AE2"/>
    <w:rsid w:val="001D45BD"/>
    <w:rsid w:val="001D4888"/>
    <w:rsid w:val="001E08B6"/>
    <w:rsid w:val="001E3255"/>
    <w:rsid w:val="001F0977"/>
    <w:rsid w:val="001F2D67"/>
    <w:rsid w:val="001F735B"/>
    <w:rsid w:val="00202A67"/>
    <w:rsid w:val="00204C26"/>
    <w:rsid w:val="00206225"/>
    <w:rsid w:val="00206A56"/>
    <w:rsid w:val="0021019C"/>
    <w:rsid w:val="00211C99"/>
    <w:rsid w:val="0021311A"/>
    <w:rsid w:val="002143D1"/>
    <w:rsid w:val="0021546F"/>
    <w:rsid w:val="00224B98"/>
    <w:rsid w:val="0023200B"/>
    <w:rsid w:val="00232B58"/>
    <w:rsid w:val="002361C1"/>
    <w:rsid w:val="0023769B"/>
    <w:rsid w:val="002408F0"/>
    <w:rsid w:val="00244587"/>
    <w:rsid w:val="00246E29"/>
    <w:rsid w:val="0024783F"/>
    <w:rsid w:val="00250909"/>
    <w:rsid w:val="00255A7E"/>
    <w:rsid w:val="00257606"/>
    <w:rsid w:val="0026730C"/>
    <w:rsid w:val="002706BB"/>
    <w:rsid w:val="00275E8F"/>
    <w:rsid w:val="00283F25"/>
    <w:rsid w:val="002878C8"/>
    <w:rsid w:val="00287D49"/>
    <w:rsid w:val="00292658"/>
    <w:rsid w:val="0029345D"/>
    <w:rsid w:val="0029360D"/>
    <w:rsid w:val="002A202F"/>
    <w:rsid w:val="002A30C2"/>
    <w:rsid w:val="002A53D3"/>
    <w:rsid w:val="002A5F78"/>
    <w:rsid w:val="002A70B7"/>
    <w:rsid w:val="002B2BE7"/>
    <w:rsid w:val="002B3DEE"/>
    <w:rsid w:val="002B5117"/>
    <w:rsid w:val="002B6AEC"/>
    <w:rsid w:val="002B7B73"/>
    <w:rsid w:val="002C4934"/>
    <w:rsid w:val="002D0DBF"/>
    <w:rsid w:val="002D1ECD"/>
    <w:rsid w:val="002D2E8B"/>
    <w:rsid w:val="002D74B1"/>
    <w:rsid w:val="002E0AFC"/>
    <w:rsid w:val="002E11CA"/>
    <w:rsid w:val="002F2A68"/>
    <w:rsid w:val="003026F2"/>
    <w:rsid w:val="00304F52"/>
    <w:rsid w:val="0030749B"/>
    <w:rsid w:val="0031045A"/>
    <w:rsid w:val="00310847"/>
    <w:rsid w:val="003109CC"/>
    <w:rsid w:val="003136AA"/>
    <w:rsid w:val="00313F69"/>
    <w:rsid w:val="00314D1B"/>
    <w:rsid w:val="00333E45"/>
    <w:rsid w:val="0033411E"/>
    <w:rsid w:val="00340B15"/>
    <w:rsid w:val="003468BB"/>
    <w:rsid w:val="0035066B"/>
    <w:rsid w:val="003541CD"/>
    <w:rsid w:val="003555F4"/>
    <w:rsid w:val="003555FF"/>
    <w:rsid w:val="00355CAE"/>
    <w:rsid w:val="00357B69"/>
    <w:rsid w:val="003722DA"/>
    <w:rsid w:val="00372392"/>
    <w:rsid w:val="0037444A"/>
    <w:rsid w:val="00374910"/>
    <w:rsid w:val="0037519A"/>
    <w:rsid w:val="00375213"/>
    <w:rsid w:val="003766F3"/>
    <w:rsid w:val="00380BA2"/>
    <w:rsid w:val="0038118F"/>
    <w:rsid w:val="003824C4"/>
    <w:rsid w:val="0039019F"/>
    <w:rsid w:val="003924F0"/>
    <w:rsid w:val="003931A0"/>
    <w:rsid w:val="00394E88"/>
    <w:rsid w:val="00397189"/>
    <w:rsid w:val="0039772A"/>
    <w:rsid w:val="003A3DF2"/>
    <w:rsid w:val="003A56D3"/>
    <w:rsid w:val="003A74E0"/>
    <w:rsid w:val="003B2817"/>
    <w:rsid w:val="003C4EBC"/>
    <w:rsid w:val="003C72CD"/>
    <w:rsid w:val="003D1747"/>
    <w:rsid w:val="003D3635"/>
    <w:rsid w:val="003D77E9"/>
    <w:rsid w:val="003E1D7A"/>
    <w:rsid w:val="003E7F14"/>
    <w:rsid w:val="003F1DDC"/>
    <w:rsid w:val="003F265E"/>
    <w:rsid w:val="003F3310"/>
    <w:rsid w:val="003F53D2"/>
    <w:rsid w:val="003F6752"/>
    <w:rsid w:val="003F6D08"/>
    <w:rsid w:val="00401132"/>
    <w:rsid w:val="00403306"/>
    <w:rsid w:val="004042A4"/>
    <w:rsid w:val="00414B73"/>
    <w:rsid w:val="0041730D"/>
    <w:rsid w:val="00423D9C"/>
    <w:rsid w:val="00425F2E"/>
    <w:rsid w:val="00431AE1"/>
    <w:rsid w:val="00434876"/>
    <w:rsid w:val="00440001"/>
    <w:rsid w:val="00440666"/>
    <w:rsid w:val="00444986"/>
    <w:rsid w:val="00445BF5"/>
    <w:rsid w:val="004474D8"/>
    <w:rsid w:val="004650CD"/>
    <w:rsid w:val="004653E0"/>
    <w:rsid w:val="004665C3"/>
    <w:rsid w:val="00471F72"/>
    <w:rsid w:val="00472BC9"/>
    <w:rsid w:val="00480F50"/>
    <w:rsid w:val="004835E4"/>
    <w:rsid w:val="00483DBC"/>
    <w:rsid w:val="0048487D"/>
    <w:rsid w:val="004907BB"/>
    <w:rsid w:val="00491B80"/>
    <w:rsid w:val="0049538F"/>
    <w:rsid w:val="004968FB"/>
    <w:rsid w:val="00497391"/>
    <w:rsid w:val="0049744F"/>
    <w:rsid w:val="004A33D3"/>
    <w:rsid w:val="004A4C03"/>
    <w:rsid w:val="004A4F62"/>
    <w:rsid w:val="004A5F91"/>
    <w:rsid w:val="004A7626"/>
    <w:rsid w:val="004A7C07"/>
    <w:rsid w:val="004A7CFC"/>
    <w:rsid w:val="004B0AE8"/>
    <w:rsid w:val="004B0D79"/>
    <w:rsid w:val="004B3AEA"/>
    <w:rsid w:val="004B583F"/>
    <w:rsid w:val="004C0568"/>
    <w:rsid w:val="004C0C81"/>
    <w:rsid w:val="004C45DB"/>
    <w:rsid w:val="004C5E19"/>
    <w:rsid w:val="004C5E2E"/>
    <w:rsid w:val="004D3593"/>
    <w:rsid w:val="004D77D9"/>
    <w:rsid w:val="004D7DA1"/>
    <w:rsid w:val="004E6FE4"/>
    <w:rsid w:val="004E7E2A"/>
    <w:rsid w:val="004F5C76"/>
    <w:rsid w:val="004F5E42"/>
    <w:rsid w:val="004F6F70"/>
    <w:rsid w:val="00501911"/>
    <w:rsid w:val="005075C2"/>
    <w:rsid w:val="005133BD"/>
    <w:rsid w:val="00513854"/>
    <w:rsid w:val="00513DD8"/>
    <w:rsid w:val="005144DE"/>
    <w:rsid w:val="00514CF9"/>
    <w:rsid w:val="0051504C"/>
    <w:rsid w:val="00517F52"/>
    <w:rsid w:val="00522922"/>
    <w:rsid w:val="0053063A"/>
    <w:rsid w:val="00531E62"/>
    <w:rsid w:val="0053358F"/>
    <w:rsid w:val="00534569"/>
    <w:rsid w:val="00535501"/>
    <w:rsid w:val="00545FC9"/>
    <w:rsid w:val="00552738"/>
    <w:rsid w:val="00555160"/>
    <w:rsid w:val="00556BA0"/>
    <w:rsid w:val="00566A99"/>
    <w:rsid w:val="00566C9D"/>
    <w:rsid w:val="005759FB"/>
    <w:rsid w:val="0058443F"/>
    <w:rsid w:val="005868C8"/>
    <w:rsid w:val="0059095A"/>
    <w:rsid w:val="00591526"/>
    <w:rsid w:val="005926FC"/>
    <w:rsid w:val="0059449D"/>
    <w:rsid w:val="00597397"/>
    <w:rsid w:val="005A084D"/>
    <w:rsid w:val="005A6E4D"/>
    <w:rsid w:val="005B42CA"/>
    <w:rsid w:val="005B6ACF"/>
    <w:rsid w:val="005C1419"/>
    <w:rsid w:val="005C16AF"/>
    <w:rsid w:val="005C1E2A"/>
    <w:rsid w:val="005C3DE0"/>
    <w:rsid w:val="005C495A"/>
    <w:rsid w:val="005C564C"/>
    <w:rsid w:val="005C77CA"/>
    <w:rsid w:val="005D69D7"/>
    <w:rsid w:val="005D7D6F"/>
    <w:rsid w:val="005E23B4"/>
    <w:rsid w:val="005E3BF3"/>
    <w:rsid w:val="005E4616"/>
    <w:rsid w:val="005E7B5D"/>
    <w:rsid w:val="005F130E"/>
    <w:rsid w:val="005F7AA2"/>
    <w:rsid w:val="00606736"/>
    <w:rsid w:val="00612ABD"/>
    <w:rsid w:val="00614430"/>
    <w:rsid w:val="006165FA"/>
    <w:rsid w:val="00620D0A"/>
    <w:rsid w:val="006260B5"/>
    <w:rsid w:val="00626903"/>
    <w:rsid w:val="0063042C"/>
    <w:rsid w:val="00631DC3"/>
    <w:rsid w:val="00636C19"/>
    <w:rsid w:val="00643A4B"/>
    <w:rsid w:val="00650146"/>
    <w:rsid w:val="00655ABA"/>
    <w:rsid w:val="0066200B"/>
    <w:rsid w:val="006636B4"/>
    <w:rsid w:val="00664F28"/>
    <w:rsid w:val="006659DD"/>
    <w:rsid w:val="006660EF"/>
    <w:rsid w:val="00671B52"/>
    <w:rsid w:val="00672FA4"/>
    <w:rsid w:val="0067321E"/>
    <w:rsid w:val="00674244"/>
    <w:rsid w:val="00677501"/>
    <w:rsid w:val="00677740"/>
    <w:rsid w:val="00677E10"/>
    <w:rsid w:val="00680DB7"/>
    <w:rsid w:val="00680E72"/>
    <w:rsid w:val="0068269B"/>
    <w:rsid w:val="0068395E"/>
    <w:rsid w:val="00683B17"/>
    <w:rsid w:val="00684355"/>
    <w:rsid w:val="00690B7B"/>
    <w:rsid w:val="00693BBF"/>
    <w:rsid w:val="00697393"/>
    <w:rsid w:val="0069794E"/>
    <w:rsid w:val="006A476E"/>
    <w:rsid w:val="006A6C68"/>
    <w:rsid w:val="006B2ECC"/>
    <w:rsid w:val="006B323F"/>
    <w:rsid w:val="006B7391"/>
    <w:rsid w:val="006C5684"/>
    <w:rsid w:val="006D2C97"/>
    <w:rsid w:val="006D3A65"/>
    <w:rsid w:val="006E1CE2"/>
    <w:rsid w:val="006E28D8"/>
    <w:rsid w:val="006E3D66"/>
    <w:rsid w:val="006E5E33"/>
    <w:rsid w:val="006E7F8E"/>
    <w:rsid w:val="006F151D"/>
    <w:rsid w:val="006F30FF"/>
    <w:rsid w:val="006F552F"/>
    <w:rsid w:val="006F66A5"/>
    <w:rsid w:val="006F6D86"/>
    <w:rsid w:val="00700CF3"/>
    <w:rsid w:val="00701F0A"/>
    <w:rsid w:val="00702787"/>
    <w:rsid w:val="00705A51"/>
    <w:rsid w:val="00711C3B"/>
    <w:rsid w:val="007136D9"/>
    <w:rsid w:val="0071759C"/>
    <w:rsid w:val="00722F07"/>
    <w:rsid w:val="007269FF"/>
    <w:rsid w:val="00730F52"/>
    <w:rsid w:val="007401D4"/>
    <w:rsid w:val="007464A7"/>
    <w:rsid w:val="00746F70"/>
    <w:rsid w:val="007477D7"/>
    <w:rsid w:val="00747F9E"/>
    <w:rsid w:val="00751056"/>
    <w:rsid w:val="007527A1"/>
    <w:rsid w:val="00754AD2"/>
    <w:rsid w:val="00761283"/>
    <w:rsid w:val="00766C45"/>
    <w:rsid w:val="007705DA"/>
    <w:rsid w:val="00770657"/>
    <w:rsid w:val="00770F67"/>
    <w:rsid w:val="007729DB"/>
    <w:rsid w:val="00772B40"/>
    <w:rsid w:val="007734CF"/>
    <w:rsid w:val="007749F7"/>
    <w:rsid w:val="00774C07"/>
    <w:rsid w:val="007773A2"/>
    <w:rsid w:val="00786B20"/>
    <w:rsid w:val="00792D48"/>
    <w:rsid w:val="0079617E"/>
    <w:rsid w:val="00796B16"/>
    <w:rsid w:val="007A1AAD"/>
    <w:rsid w:val="007A5B3D"/>
    <w:rsid w:val="007B0C54"/>
    <w:rsid w:val="007B11AC"/>
    <w:rsid w:val="007B4490"/>
    <w:rsid w:val="007B45D8"/>
    <w:rsid w:val="007B65EB"/>
    <w:rsid w:val="007C03D8"/>
    <w:rsid w:val="007C0BCE"/>
    <w:rsid w:val="007C1EB7"/>
    <w:rsid w:val="007C3518"/>
    <w:rsid w:val="007C71B3"/>
    <w:rsid w:val="007D3E75"/>
    <w:rsid w:val="007D6D0A"/>
    <w:rsid w:val="007D7D1B"/>
    <w:rsid w:val="007E076C"/>
    <w:rsid w:val="007E21F4"/>
    <w:rsid w:val="007E60DE"/>
    <w:rsid w:val="007E6852"/>
    <w:rsid w:val="007F23A0"/>
    <w:rsid w:val="007F464A"/>
    <w:rsid w:val="007F69CD"/>
    <w:rsid w:val="00801269"/>
    <w:rsid w:val="008017FA"/>
    <w:rsid w:val="008076F4"/>
    <w:rsid w:val="00812DBB"/>
    <w:rsid w:val="008134D3"/>
    <w:rsid w:val="0082611F"/>
    <w:rsid w:val="0082674F"/>
    <w:rsid w:val="00834104"/>
    <w:rsid w:val="00840551"/>
    <w:rsid w:val="008448BE"/>
    <w:rsid w:val="00844F81"/>
    <w:rsid w:val="00845CB4"/>
    <w:rsid w:val="00847E40"/>
    <w:rsid w:val="00856921"/>
    <w:rsid w:val="008578D7"/>
    <w:rsid w:val="00860741"/>
    <w:rsid w:val="00861195"/>
    <w:rsid w:val="008616AC"/>
    <w:rsid w:val="00862BA6"/>
    <w:rsid w:val="008635F1"/>
    <w:rsid w:val="0086488B"/>
    <w:rsid w:val="00866375"/>
    <w:rsid w:val="0087160D"/>
    <w:rsid w:val="008742E9"/>
    <w:rsid w:val="00882353"/>
    <w:rsid w:val="00882C50"/>
    <w:rsid w:val="008856FD"/>
    <w:rsid w:val="008860C9"/>
    <w:rsid w:val="008867FB"/>
    <w:rsid w:val="00890A13"/>
    <w:rsid w:val="00891592"/>
    <w:rsid w:val="00896A12"/>
    <w:rsid w:val="008A1177"/>
    <w:rsid w:val="008A24FF"/>
    <w:rsid w:val="008A3DF2"/>
    <w:rsid w:val="008A3E24"/>
    <w:rsid w:val="008A4A5A"/>
    <w:rsid w:val="008A66FB"/>
    <w:rsid w:val="008A7D06"/>
    <w:rsid w:val="008B0F60"/>
    <w:rsid w:val="008C08E1"/>
    <w:rsid w:val="008C0980"/>
    <w:rsid w:val="008C13D6"/>
    <w:rsid w:val="008C1489"/>
    <w:rsid w:val="008C618D"/>
    <w:rsid w:val="008C6BE4"/>
    <w:rsid w:val="008D0485"/>
    <w:rsid w:val="008D05B4"/>
    <w:rsid w:val="008D6CD3"/>
    <w:rsid w:val="008E3C8C"/>
    <w:rsid w:val="008E6175"/>
    <w:rsid w:val="008F0C2D"/>
    <w:rsid w:val="008F1C73"/>
    <w:rsid w:val="008F2E64"/>
    <w:rsid w:val="0090003C"/>
    <w:rsid w:val="00900115"/>
    <w:rsid w:val="0090171F"/>
    <w:rsid w:val="009028DA"/>
    <w:rsid w:val="00905902"/>
    <w:rsid w:val="009061AA"/>
    <w:rsid w:val="00906A34"/>
    <w:rsid w:val="0091527D"/>
    <w:rsid w:val="00915C2B"/>
    <w:rsid w:val="00920FCA"/>
    <w:rsid w:val="00921EF5"/>
    <w:rsid w:val="0092408A"/>
    <w:rsid w:val="0092721D"/>
    <w:rsid w:val="0093630B"/>
    <w:rsid w:val="00937D16"/>
    <w:rsid w:val="009411A8"/>
    <w:rsid w:val="00944698"/>
    <w:rsid w:val="00947CC9"/>
    <w:rsid w:val="00947D2E"/>
    <w:rsid w:val="00954595"/>
    <w:rsid w:val="00956C1D"/>
    <w:rsid w:val="00962A0D"/>
    <w:rsid w:val="0096438E"/>
    <w:rsid w:val="009649DB"/>
    <w:rsid w:val="00965E0A"/>
    <w:rsid w:val="00970063"/>
    <w:rsid w:val="00971B28"/>
    <w:rsid w:val="00974149"/>
    <w:rsid w:val="00976261"/>
    <w:rsid w:val="009767EA"/>
    <w:rsid w:val="0097747F"/>
    <w:rsid w:val="00980F64"/>
    <w:rsid w:val="00983AA6"/>
    <w:rsid w:val="00984246"/>
    <w:rsid w:val="00987B76"/>
    <w:rsid w:val="00990128"/>
    <w:rsid w:val="009961E4"/>
    <w:rsid w:val="009965AD"/>
    <w:rsid w:val="009A2556"/>
    <w:rsid w:val="009A4A16"/>
    <w:rsid w:val="009A53DB"/>
    <w:rsid w:val="009B45AC"/>
    <w:rsid w:val="009B4B52"/>
    <w:rsid w:val="009B63CF"/>
    <w:rsid w:val="009C0F50"/>
    <w:rsid w:val="009C1A38"/>
    <w:rsid w:val="009C2B91"/>
    <w:rsid w:val="009C6C8E"/>
    <w:rsid w:val="009D2BF3"/>
    <w:rsid w:val="009D5A48"/>
    <w:rsid w:val="009E1E4F"/>
    <w:rsid w:val="009F160B"/>
    <w:rsid w:val="009F1716"/>
    <w:rsid w:val="009F3181"/>
    <w:rsid w:val="00A024F2"/>
    <w:rsid w:val="00A03519"/>
    <w:rsid w:val="00A04645"/>
    <w:rsid w:val="00A063CF"/>
    <w:rsid w:val="00A115C5"/>
    <w:rsid w:val="00A1421A"/>
    <w:rsid w:val="00A16B7F"/>
    <w:rsid w:val="00A20DBA"/>
    <w:rsid w:val="00A23AAA"/>
    <w:rsid w:val="00A273EE"/>
    <w:rsid w:val="00A30528"/>
    <w:rsid w:val="00A36591"/>
    <w:rsid w:val="00A40519"/>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736F2"/>
    <w:rsid w:val="00A75415"/>
    <w:rsid w:val="00A76C79"/>
    <w:rsid w:val="00A775D1"/>
    <w:rsid w:val="00A84E85"/>
    <w:rsid w:val="00A850B9"/>
    <w:rsid w:val="00A8663A"/>
    <w:rsid w:val="00A93732"/>
    <w:rsid w:val="00A93C33"/>
    <w:rsid w:val="00AA1385"/>
    <w:rsid w:val="00AA2CF6"/>
    <w:rsid w:val="00AA5103"/>
    <w:rsid w:val="00AB039E"/>
    <w:rsid w:val="00AB2FFF"/>
    <w:rsid w:val="00AB72B2"/>
    <w:rsid w:val="00AB7376"/>
    <w:rsid w:val="00AC330F"/>
    <w:rsid w:val="00AC69A3"/>
    <w:rsid w:val="00AD059B"/>
    <w:rsid w:val="00AE013F"/>
    <w:rsid w:val="00AF0E1A"/>
    <w:rsid w:val="00AF7A3D"/>
    <w:rsid w:val="00B0075A"/>
    <w:rsid w:val="00B01A52"/>
    <w:rsid w:val="00B01E95"/>
    <w:rsid w:val="00B02448"/>
    <w:rsid w:val="00B02C5D"/>
    <w:rsid w:val="00B0325A"/>
    <w:rsid w:val="00B053B9"/>
    <w:rsid w:val="00B062B2"/>
    <w:rsid w:val="00B07406"/>
    <w:rsid w:val="00B10B23"/>
    <w:rsid w:val="00B14987"/>
    <w:rsid w:val="00B16722"/>
    <w:rsid w:val="00B22929"/>
    <w:rsid w:val="00B2492E"/>
    <w:rsid w:val="00B26056"/>
    <w:rsid w:val="00B265D3"/>
    <w:rsid w:val="00B2663E"/>
    <w:rsid w:val="00B31447"/>
    <w:rsid w:val="00B347FF"/>
    <w:rsid w:val="00B37120"/>
    <w:rsid w:val="00B402F1"/>
    <w:rsid w:val="00B42A04"/>
    <w:rsid w:val="00B43F88"/>
    <w:rsid w:val="00B4434F"/>
    <w:rsid w:val="00B51C5A"/>
    <w:rsid w:val="00B54C2E"/>
    <w:rsid w:val="00B61F81"/>
    <w:rsid w:val="00B6529C"/>
    <w:rsid w:val="00B66184"/>
    <w:rsid w:val="00B673F2"/>
    <w:rsid w:val="00B70022"/>
    <w:rsid w:val="00B72267"/>
    <w:rsid w:val="00B759B5"/>
    <w:rsid w:val="00B760C6"/>
    <w:rsid w:val="00B82F1D"/>
    <w:rsid w:val="00B83453"/>
    <w:rsid w:val="00B874AE"/>
    <w:rsid w:val="00B93464"/>
    <w:rsid w:val="00B93E9C"/>
    <w:rsid w:val="00BA0C26"/>
    <w:rsid w:val="00BA37C9"/>
    <w:rsid w:val="00BA3B45"/>
    <w:rsid w:val="00BA4DAB"/>
    <w:rsid w:val="00BB3A25"/>
    <w:rsid w:val="00BB65BC"/>
    <w:rsid w:val="00BC1227"/>
    <w:rsid w:val="00BC1576"/>
    <w:rsid w:val="00BC2FEE"/>
    <w:rsid w:val="00BC409B"/>
    <w:rsid w:val="00BC4747"/>
    <w:rsid w:val="00BD1716"/>
    <w:rsid w:val="00BD21BC"/>
    <w:rsid w:val="00BD46F3"/>
    <w:rsid w:val="00BD49B5"/>
    <w:rsid w:val="00BD4A6D"/>
    <w:rsid w:val="00BE0751"/>
    <w:rsid w:val="00BE44D1"/>
    <w:rsid w:val="00BE690D"/>
    <w:rsid w:val="00BF0AA2"/>
    <w:rsid w:val="00BF5B55"/>
    <w:rsid w:val="00C00608"/>
    <w:rsid w:val="00C020AB"/>
    <w:rsid w:val="00C03B33"/>
    <w:rsid w:val="00C04E59"/>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F9D"/>
    <w:rsid w:val="00C76D9B"/>
    <w:rsid w:val="00C80600"/>
    <w:rsid w:val="00C827A3"/>
    <w:rsid w:val="00C84677"/>
    <w:rsid w:val="00C90140"/>
    <w:rsid w:val="00C917F2"/>
    <w:rsid w:val="00C965D4"/>
    <w:rsid w:val="00C9748C"/>
    <w:rsid w:val="00CA0095"/>
    <w:rsid w:val="00CA3B44"/>
    <w:rsid w:val="00CA6591"/>
    <w:rsid w:val="00CB1006"/>
    <w:rsid w:val="00CB3625"/>
    <w:rsid w:val="00CB55BD"/>
    <w:rsid w:val="00CC3567"/>
    <w:rsid w:val="00CC58C4"/>
    <w:rsid w:val="00CC7D58"/>
    <w:rsid w:val="00CD2E6C"/>
    <w:rsid w:val="00CD4383"/>
    <w:rsid w:val="00CE2115"/>
    <w:rsid w:val="00CE2622"/>
    <w:rsid w:val="00CE2F5B"/>
    <w:rsid w:val="00CE35E9"/>
    <w:rsid w:val="00CE3B70"/>
    <w:rsid w:val="00CE4808"/>
    <w:rsid w:val="00CE7690"/>
    <w:rsid w:val="00CF21BD"/>
    <w:rsid w:val="00CF3350"/>
    <w:rsid w:val="00CF4E32"/>
    <w:rsid w:val="00CF53E2"/>
    <w:rsid w:val="00CF5E99"/>
    <w:rsid w:val="00CF6352"/>
    <w:rsid w:val="00CF6594"/>
    <w:rsid w:val="00CF6D8C"/>
    <w:rsid w:val="00D004E6"/>
    <w:rsid w:val="00D007BC"/>
    <w:rsid w:val="00D05BC7"/>
    <w:rsid w:val="00D060AF"/>
    <w:rsid w:val="00D061BF"/>
    <w:rsid w:val="00D10CBA"/>
    <w:rsid w:val="00D1167A"/>
    <w:rsid w:val="00D15724"/>
    <w:rsid w:val="00D210B2"/>
    <w:rsid w:val="00D22DEF"/>
    <w:rsid w:val="00D2353A"/>
    <w:rsid w:val="00D254AF"/>
    <w:rsid w:val="00D30FF3"/>
    <w:rsid w:val="00D37167"/>
    <w:rsid w:val="00D41485"/>
    <w:rsid w:val="00D47526"/>
    <w:rsid w:val="00D4760B"/>
    <w:rsid w:val="00D55AEA"/>
    <w:rsid w:val="00D603D6"/>
    <w:rsid w:val="00D61F45"/>
    <w:rsid w:val="00D67A65"/>
    <w:rsid w:val="00D67E83"/>
    <w:rsid w:val="00D72CB3"/>
    <w:rsid w:val="00D75410"/>
    <w:rsid w:val="00D75E9D"/>
    <w:rsid w:val="00D81AFB"/>
    <w:rsid w:val="00D81CEE"/>
    <w:rsid w:val="00D90F14"/>
    <w:rsid w:val="00D9180E"/>
    <w:rsid w:val="00D9185E"/>
    <w:rsid w:val="00D928DD"/>
    <w:rsid w:val="00D966F1"/>
    <w:rsid w:val="00DA4798"/>
    <w:rsid w:val="00DA4CE7"/>
    <w:rsid w:val="00DA678A"/>
    <w:rsid w:val="00DB13D2"/>
    <w:rsid w:val="00DB19AD"/>
    <w:rsid w:val="00DB5044"/>
    <w:rsid w:val="00DB6F9A"/>
    <w:rsid w:val="00DC15B4"/>
    <w:rsid w:val="00DC6F43"/>
    <w:rsid w:val="00DD24A6"/>
    <w:rsid w:val="00DD3951"/>
    <w:rsid w:val="00DD3E23"/>
    <w:rsid w:val="00DD6B89"/>
    <w:rsid w:val="00DE1366"/>
    <w:rsid w:val="00DE4EBB"/>
    <w:rsid w:val="00DF06D0"/>
    <w:rsid w:val="00DF17CF"/>
    <w:rsid w:val="00DF51BA"/>
    <w:rsid w:val="00DF55B5"/>
    <w:rsid w:val="00DF5CAA"/>
    <w:rsid w:val="00E00BFF"/>
    <w:rsid w:val="00E0167D"/>
    <w:rsid w:val="00E020D3"/>
    <w:rsid w:val="00E04CB2"/>
    <w:rsid w:val="00E054F8"/>
    <w:rsid w:val="00E11A00"/>
    <w:rsid w:val="00E14CDF"/>
    <w:rsid w:val="00E17287"/>
    <w:rsid w:val="00E216A0"/>
    <w:rsid w:val="00E221E1"/>
    <w:rsid w:val="00E31A8E"/>
    <w:rsid w:val="00E41DFA"/>
    <w:rsid w:val="00E446B4"/>
    <w:rsid w:val="00E44C5E"/>
    <w:rsid w:val="00E45DE6"/>
    <w:rsid w:val="00E46529"/>
    <w:rsid w:val="00E46850"/>
    <w:rsid w:val="00E46ECE"/>
    <w:rsid w:val="00E501F8"/>
    <w:rsid w:val="00E52B73"/>
    <w:rsid w:val="00E6754A"/>
    <w:rsid w:val="00E707F4"/>
    <w:rsid w:val="00E72A8A"/>
    <w:rsid w:val="00E73213"/>
    <w:rsid w:val="00E74E1D"/>
    <w:rsid w:val="00E75441"/>
    <w:rsid w:val="00E817F1"/>
    <w:rsid w:val="00E839B8"/>
    <w:rsid w:val="00E8610F"/>
    <w:rsid w:val="00E9100A"/>
    <w:rsid w:val="00E91492"/>
    <w:rsid w:val="00E91A6C"/>
    <w:rsid w:val="00E938D0"/>
    <w:rsid w:val="00E957E6"/>
    <w:rsid w:val="00E9703C"/>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75E3"/>
    <w:rsid w:val="00ED7602"/>
    <w:rsid w:val="00EE2163"/>
    <w:rsid w:val="00EE78FA"/>
    <w:rsid w:val="00EE7B61"/>
    <w:rsid w:val="00EF1B89"/>
    <w:rsid w:val="00EF387A"/>
    <w:rsid w:val="00EF6DFB"/>
    <w:rsid w:val="00F00A08"/>
    <w:rsid w:val="00F02454"/>
    <w:rsid w:val="00F072DC"/>
    <w:rsid w:val="00F1010E"/>
    <w:rsid w:val="00F17FD3"/>
    <w:rsid w:val="00F25592"/>
    <w:rsid w:val="00F26BFD"/>
    <w:rsid w:val="00F3067A"/>
    <w:rsid w:val="00F31212"/>
    <w:rsid w:val="00F31F8C"/>
    <w:rsid w:val="00F36B98"/>
    <w:rsid w:val="00F429AA"/>
    <w:rsid w:val="00F508EC"/>
    <w:rsid w:val="00F50BDE"/>
    <w:rsid w:val="00F52EAC"/>
    <w:rsid w:val="00F56229"/>
    <w:rsid w:val="00F652CB"/>
    <w:rsid w:val="00F6641F"/>
    <w:rsid w:val="00F66967"/>
    <w:rsid w:val="00F701E9"/>
    <w:rsid w:val="00F76155"/>
    <w:rsid w:val="00F829F7"/>
    <w:rsid w:val="00F82A9D"/>
    <w:rsid w:val="00F84FA4"/>
    <w:rsid w:val="00F91AAA"/>
    <w:rsid w:val="00F92287"/>
    <w:rsid w:val="00F92542"/>
    <w:rsid w:val="00F95041"/>
    <w:rsid w:val="00F951E9"/>
    <w:rsid w:val="00F954C4"/>
    <w:rsid w:val="00FA099D"/>
    <w:rsid w:val="00FA3FE3"/>
    <w:rsid w:val="00FA41A3"/>
    <w:rsid w:val="00FA6356"/>
    <w:rsid w:val="00FA6D3A"/>
    <w:rsid w:val="00FB0E84"/>
    <w:rsid w:val="00FB3BB8"/>
    <w:rsid w:val="00FC0855"/>
    <w:rsid w:val="00FC2794"/>
    <w:rsid w:val="00FD039E"/>
    <w:rsid w:val="00FD07FB"/>
    <w:rsid w:val="00FD0BF2"/>
    <w:rsid w:val="00FD144A"/>
    <w:rsid w:val="00FD1981"/>
    <w:rsid w:val="00FD537B"/>
    <w:rsid w:val="00FD697B"/>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36771525">
      <w:bodyDiv w:val="1"/>
      <w:marLeft w:val="0"/>
      <w:marRight w:val="0"/>
      <w:marTop w:val="0"/>
      <w:marBottom w:val="0"/>
      <w:divBdr>
        <w:top w:val="none" w:sz="0" w:space="0" w:color="auto"/>
        <w:left w:val="none" w:sz="0" w:space="0" w:color="auto"/>
        <w:bottom w:val="none" w:sz="0" w:space="0" w:color="auto"/>
        <w:right w:val="none" w:sz="0" w:space="0" w:color="auto"/>
      </w:divBdr>
      <w:divsChild>
        <w:div w:id="445781648">
          <w:marLeft w:val="0"/>
          <w:marRight w:val="0"/>
          <w:marTop w:val="0"/>
          <w:marBottom w:val="0"/>
          <w:divBdr>
            <w:top w:val="none" w:sz="0" w:space="0" w:color="auto"/>
            <w:left w:val="none" w:sz="0" w:space="0" w:color="auto"/>
            <w:bottom w:val="none" w:sz="0" w:space="0" w:color="auto"/>
            <w:right w:val="none" w:sz="0" w:space="0" w:color="auto"/>
          </w:divBdr>
        </w:div>
        <w:div w:id="624384764">
          <w:marLeft w:val="0"/>
          <w:marRight w:val="0"/>
          <w:marTop w:val="0"/>
          <w:marBottom w:val="0"/>
          <w:divBdr>
            <w:top w:val="none" w:sz="0" w:space="0" w:color="auto"/>
            <w:left w:val="none" w:sz="0" w:space="0" w:color="auto"/>
            <w:bottom w:val="none" w:sz="0" w:space="0" w:color="auto"/>
            <w:right w:val="none" w:sz="0" w:space="0" w:color="auto"/>
          </w:divBdr>
        </w:div>
      </w:divsChild>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 w:id="1683169672">
      <w:bodyDiv w:val="1"/>
      <w:marLeft w:val="0"/>
      <w:marRight w:val="0"/>
      <w:marTop w:val="0"/>
      <w:marBottom w:val="0"/>
      <w:divBdr>
        <w:top w:val="none" w:sz="0" w:space="0" w:color="auto"/>
        <w:left w:val="none" w:sz="0" w:space="0" w:color="auto"/>
        <w:bottom w:val="none" w:sz="0" w:space="0" w:color="auto"/>
        <w:right w:val="none" w:sz="0" w:space="0" w:color="auto"/>
      </w:divBdr>
      <w:divsChild>
        <w:div w:id="130832414">
          <w:marLeft w:val="0"/>
          <w:marRight w:val="0"/>
          <w:marTop w:val="0"/>
          <w:marBottom w:val="0"/>
          <w:divBdr>
            <w:top w:val="none" w:sz="0" w:space="0" w:color="auto"/>
            <w:left w:val="none" w:sz="0" w:space="0" w:color="auto"/>
            <w:bottom w:val="none" w:sz="0" w:space="0" w:color="auto"/>
            <w:right w:val="none" w:sz="0" w:space="0" w:color="auto"/>
          </w:divBdr>
        </w:div>
        <w:div w:id="197357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sf.io/nugzb/"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microsoft.com/office/2018/08/relationships/commentsExtensible" Target="commentsExtensible.xml"/><Relationship Id="rId17" Type="http://schemas.openxmlformats.org/officeDocument/2006/relationships/hyperlink" Target="https://osf.io/nugzb/"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orcid.org/0000-0001-8906-7559"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osf.io/87jvf"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mailto:ian.hussey@icloud.com"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mailto:ian.hussey@icloud.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13371</Words>
  <Characters>76220</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1679</cp:revision>
  <dcterms:created xsi:type="dcterms:W3CDTF">2023-03-22T18:02:00Z</dcterms:created>
  <dcterms:modified xsi:type="dcterms:W3CDTF">2023-06-05T10:03:00Z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id="yjir7vRd"/&gt;&lt;style id="http://www.zotero.org/styles/apa" locale="en-US" hasBibliography="1" bibliographyStyleHasBeenSet="1"/&gt;&lt;prefs&gt;&lt;pref name="fieldType" value="Field"/&gt;&lt;/prefs&gt;&lt;/data&gt;</vt:lpwstr>
  </property>
</Properties>
</file>