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46F" w14:textId="77777777" w:rsidR="00F268A0" w:rsidRPr="001B4470" w:rsidRDefault="00F268A0" w:rsidP="00F268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>Data Analysis Plan Experiment</w:t>
      </w:r>
    </w:p>
    <w:p w14:paraId="04D7E9F1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Data-preparation: </w:t>
      </w:r>
    </w:p>
    <w:p w14:paraId="6A368070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data of participants who do not fully complete all questions and tasks will be excluded from analyses. </w:t>
      </w:r>
    </w:p>
    <w:p w14:paraId="59730091" w14:textId="1DC9951F" w:rsidR="004455A0" w:rsidRDefault="004455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 xml:space="preserve">To calculate the evaluative priming scores, trials with an incorrect response will be dropped </w:t>
      </w:r>
      <w:r w:rsidR="00274561" w:rsidRPr="00274561">
        <w:rPr>
          <w:rFonts w:ascii="Times New Roman" w:hAnsi="Times New Roman" w:cs="Times New Roman"/>
          <w:sz w:val="24"/>
          <w:szCs w:val="24"/>
          <w:lang w:val="en-US"/>
        </w:rPr>
        <w:t>and outlier latencies longer than 1000 ms and shorter than 300 ms will be truncated.</w:t>
      </w:r>
    </w:p>
    <w:p w14:paraId="199AC164" w14:textId="6995A23D" w:rsidR="004455A0" w:rsidRDefault="00F740F1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.  Two evaluative priming scores will be created for each participant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 xml:space="preserve"> – one for MORAG and one for STRUAN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 xml:space="preserve">. The priming score for 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 xml:space="preserve">MORAG 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will be calculated in the following manner: [RT(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MORAG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>positive target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) – RT(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MORAG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negative target</w:t>
      </w:r>
      <w:r w:rsidR="00EA6EC5" w:rsidRPr="00EA6E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55A0" w:rsidRPr="00445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 xml:space="preserve">The priming score for 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 xml:space="preserve">STRUAN 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>will be calculated in the following manner: [RT(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 xml:space="preserve">STRUAN 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>|positive target) – RT(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 xml:space="preserve">STRUAN 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negative target</w:t>
      </w:r>
      <w:r w:rsidR="004455A0" w:rsidRPr="00EA6EC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55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664B2B" w14:textId="4D032031" w:rsidR="00AA79C1" w:rsidRPr="00AA79C1" w:rsidRDefault="00F740F1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A79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A79C1" w:rsidRPr="00AA79C1">
        <w:rPr>
          <w:rFonts w:ascii="Times New Roman" w:hAnsi="Times New Roman" w:cs="Times New Roman"/>
          <w:sz w:val="24"/>
          <w:szCs w:val="24"/>
          <w:lang w:val="en-US"/>
        </w:rPr>
        <w:t>We will create a final evaluative priming score by subtracting the priming score for STRUAN from the priming score for MORAG.</w:t>
      </w:r>
    </w:p>
    <w:p w14:paraId="5BA78DEC" w14:textId="409E66A3" w:rsidR="00F268A0" w:rsidRPr="001B4470" w:rsidRDefault="00F740F1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>. W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e will compute two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explicit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 xml:space="preserve"> mean</w:t>
      </w:r>
      <w:r w:rsidR="00F268A0"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ating scores – one for </w:t>
      </w:r>
      <w:r w:rsidR="00165090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and another for </w:t>
      </w:r>
      <w:r w:rsidR="00165090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016B7">
        <w:rPr>
          <w:rFonts w:ascii="Times New Roman" w:hAnsi="Times New Roman" w:cs="Times New Roman"/>
          <w:sz w:val="24"/>
          <w:szCs w:val="24"/>
          <w:lang w:val="en-US"/>
        </w:rPr>
        <w:t>differential</w:t>
      </w:r>
      <w:bookmarkStart w:id="0" w:name="_GoBack"/>
      <w:bookmarkEnd w:id="0"/>
      <w:r w:rsidR="00F268A0">
        <w:rPr>
          <w:rFonts w:ascii="Times New Roman" w:hAnsi="Times New Roman" w:cs="Times New Roman"/>
          <w:sz w:val="24"/>
          <w:szCs w:val="24"/>
          <w:lang w:val="en-US"/>
        </w:rPr>
        <w:t xml:space="preserve"> explicit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 score will be computed 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 xml:space="preserve">reflecting explicit preference for </w:t>
      </w:r>
      <w:r w:rsidR="00165090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F268A0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165090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CC87B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Data-analyses: </w:t>
      </w:r>
    </w:p>
    <w:p w14:paraId="08640CB3" w14:textId="7D1FD499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one-way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ANOVA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will be performed on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A79C1">
        <w:rPr>
          <w:rFonts w:ascii="Times New Roman" w:hAnsi="Times New Roman" w:cs="Times New Roman"/>
          <w:sz w:val="24"/>
          <w:szCs w:val="24"/>
          <w:lang w:val="en-US"/>
        </w:rPr>
        <w:t xml:space="preserve">EP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and the explicit differential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scores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test whether the differential score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 varies as a function of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 common size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Cohen’s 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(for t-test) and partial eta-squared (for F-test)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>will be reported for comparisons</w:t>
      </w:r>
      <w:r>
        <w:rPr>
          <w:rFonts w:ascii="Times New Roman" w:hAnsi="Times New Roman" w:cs="Times New Roman"/>
          <w:sz w:val="24"/>
          <w:szCs w:val="24"/>
          <w:lang w:val="en-US"/>
        </w:rPr>
        <w:t>, along with their confidence intervals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We will also compute Bayesian factors in accordance with procedures outlined by </w:t>
      </w:r>
      <w:r w:rsidRPr="001B4470">
        <w:rPr>
          <w:rFonts w:ascii="Times New Roman" w:hAnsi="Times New Roman" w:cs="Times New Roman"/>
          <w:sz w:val="24"/>
          <w:szCs w:val="24"/>
          <w:lang w:val="en-GB"/>
        </w:rPr>
        <w:t>Rouder, Speckman, Sun, Morey, and Iverson (2009)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to estimate the amount of evidence for the hypothesis that t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here is a difference </w:t>
      </w:r>
      <w:r w:rsidR="00AA79C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implicit and explicit scores </w:t>
      </w:r>
      <w:r w:rsidR="00AA79C1">
        <w:rPr>
          <w:rFonts w:ascii="Times New Roman" w:hAnsi="Times New Roman" w:cs="Times New Roman"/>
          <w:sz w:val="24"/>
          <w:szCs w:val="24"/>
          <w:lang w:val="en-US"/>
        </w:rPr>
        <w:t xml:space="preserve">as a function of 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>matching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(alternative hypothesis) or that there is no difference (null hypothesis). </w:t>
      </w:r>
    </w:p>
    <w:p w14:paraId="0147E5CE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7BAD8" w14:textId="77777777" w:rsidR="00376B82" w:rsidRPr="00F268A0" w:rsidRDefault="00D016B7">
      <w:pPr>
        <w:rPr>
          <w:lang w:val="en-US"/>
        </w:rPr>
      </w:pPr>
    </w:p>
    <w:sectPr w:rsidR="00376B82" w:rsidRPr="00F2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0"/>
    <w:rsid w:val="00125B85"/>
    <w:rsid w:val="00165090"/>
    <w:rsid w:val="00274561"/>
    <w:rsid w:val="004455A0"/>
    <w:rsid w:val="004B5CBC"/>
    <w:rsid w:val="00603804"/>
    <w:rsid w:val="00694B30"/>
    <w:rsid w:val="00797913"/>
    <w:rsid w:val="007A38BF"/>
    <w:rsid w:val="008642A9"/>
    <w:rsid w:val="0090086A"/>
    <w:rsid w:val="00924F89"/>
    <w:rsid w:val="00986A8C"/>
    <w:rsid w:val="009E01D9"/>
    <w:rsid w:val="00AA79C1"/>
    <w:rsid w:val="00AC12D9"/>
    <w:rsid w:val="00BC4AA1"/>
    <w:rsid w:val="00C2074F"/>
    <w:rsid w:val="00C57574"/>
    <w:rsid w:val="00CE72D5"/>
    <w:rsid w:val="00D016B7"/>
    <w:rsid w:val="00EA6EC5"/>
    <w:rsid w:val="00F1306E"/>
    <w:rsid w:val="00F268A0"/>
    <w:rsid w:val="00F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75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26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8A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68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A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16</cp:revision>
  <dcterms:created xsi:type="dcterms:W3CDTF">2017-12-15T14:25:00Z</dcterms:created>
  <dcterms:modified xsi:type="dcterms:W3CDTF">2019-07-31T11:39:00Z</dcterms:modified>
</cp:coreProperties>
</file>