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8B6A8" w14:textId="317D701A" w:rsidR="00C7251D" w:rsidRPr="00EE0520" w:rsidRDefault="00C74D1A" w:rsidP="003663B4">
      <w:pPr>
        <w:ind w:firstLine="0"/>
        <w:jc w:val="center"/>
        <w:rPr>
          <w:b/>
        </w:rPr>
      </w:pPr>
      <w:r w:rsidRPr="00EE0520">
        <w:rPr>
          <w:b/>
        </w:rPr>
        <w:t xml:space="preserve">Experiment </w:t>
      </w:r>
      <w:r w:rsidR="00C7251D" w:rsidRPr="00EE0520">
        <w:rPr>
          <w:b/>
        </w:rPr>
        <w:t>1</w:t>
      </w:r>
    </w:p>
    <w:p w14:paraId="20940E18" w14:textId="27EF1DAF" w:rsidR="006D44C1" w:rsidRPr="00EE0520" w:rsidRDefault="006D44C1" w:rsidP="006D44C1">
      <w:pPr>
        <w:ind w:firstLine="0"/>
        <w:rPr>
          <w:b/>
        </w:rPr>
      </w:pPr>
      <w:r w:rsidRPr="00EE0520">
        <w:rPr>
          <w:b/>
        </w:rPr>
        <w:t>IAT</w:t>
      </w:r>
    </w:p>
    <w:p w14:paraId="33216434" w14:textId="1BE9A11F" w:rsidR="00C7251D" w:rsidRPr="00EE0520" w:rsidRDefault="00C7251D" w:rsidP="002B3CDD">
      <w:r w:rsidRPr="00EE0520">
        <w:t>When CS1 eventually shared a color with positive words and CS2 shared a color with negative words, participants showed an automatic relative preference for CS1 over CS2 on the IAT (</w:t>
      </w:r>
      <w:r w:rsidRPr="00EE0520">
        <w:rPr>
          <w:i/>
        </w:rPr>
        <w:t>M</w:t>
      </w:r>
      <w:r w:rsidRPr="00EE0520">
        <w:t xml:space="preserve"> = 0.37, </w:t>
      </w:r>
      <w:r w:rsidRPr="00EE0520">
        <w:rPr>
          <w:i/>
        </w:rPr>
        <w:t>SD</w:t>
      </w:r>
      <w:r w:rsidRPr="00EE0520">
        <w:t xml:space="preserve"> = 0.46), whereas when CS1 eventually shared a color with negative words and CS2 shared a color with positive words, they demonstrated a relative preference for CS2 over CS1 (</w:t>
      </w:r>
      <w:r w:rsidRPr="00EE0520">
        <w:rPr>
          <w:i/>
        </w:rPr>
        <w:t>M</w:t>
      </w:r>
      <w:r w:rsidRPr="00EE0520">
        <w:t xml:space="preserve"> = -0.23, </w:t>
      </w:r>
      <w:r w:rsidRPr="00EE0520">
        <w:rPr>
          <w:i/>
        </w:rPr>
        <w:t>SD</w:t>
      </w:r>
      <w:r w:rsidRPr="00EE0520">
        <w:t xml:space="preserve"> = 0.45), </w:t>
      </w:r>
      <w:r w:rsidRPr="00EE0520">
        <w:rPr>
          <w:i/>
        </w:rPr>
        <w:t>t</w:t>
      </w:r>
      <w:r w:rsidRPr="00EE0520">
        <w:t xml:space="preserve">(98.12) = 6.63, </w:t>
      </w:r>
      <w:r w:rsidRPr="00EE0520">
        <w:rPr>
          <w:i/>
        </w:rPr>
        <w:t>p</w:t>
      </w:r>
      <w:r w:rsidRPr="00EE0520">
        <w:t xml:space="preserve"> &lt; .001, </w:t>
      </w:r>
      <w:r w:rsidR="00F531A9" w:rsidRPr="00EE0520">
        <w:t xml:space="preserve">Cohen’s </w:t>
      </w:r>
      <w:r w:rsidRPr="00EE0520">
        <w:rPr>
          <w:i/>
        </w:rPr>
        <w:t>d</w:t>
      </w:r>
      <w:r w:rsidRPr="00EE0520">
        <w:t xml:space="preserve"> = 1.31, 95% CI = [0.88, 1.74], BF</w:t>
      </w:r>
      <w:r w:rsidRPr="00EE0520">
        <w:rPr>
          <w:vertAlign w:val="subscript"/>
        </w:rPr>
        <w:t>10</w:t>
      </w:r>
      <w:r w:rsidR="00F531A9" w:rsidRPr="00EE0520">
        <w:t xml:space="preserve"> &gt; 5 million</w:t>
      </w:r>
      <w:r w:rsidR="0071008E">
        <w:rPr>
          <w:rStyle w:val="FootnoteReference"/>
        </w:rPr>
        <w:footnoteReference w:id="1"/>
      </w:r>
      <w:r w:rsidRPr="00EE0520">
        <w:t>.</w:t>
      </w:r>
    </w:p>
    <w:p w14:paraId="230DEE64" w14:textId="51790CE7" w:rsidR="006D44C1" w:rsidRPr="00EE0520" w:rsidRDefault="006D44C1" w:rsidP="006D44C1">
      <w:pPr>
        <w:ind w:firstLine="0"/>
        <w:rPr>
          <w:b/>
        </w:rPr>
      </w:pPr>
      <w:r w:rsidRPr="00EE0520">
        <w:rPr>
          <w:b/>
        </w:rPr>
        <w:t>Self-report ratings</w:t>
      </w:r>
    </w:p>
    <w:p w14:paraId="74FED1C9" w14:textId="65F35E65" w:rsidR="00C7251D" w:rsidRPr="00EE0520" w:rsidRDefault="00C7251D" w:rsidP="00C7251D">
      <w:pPr>
        <w:ind w:firstLine="0"/>
      </w:pPr>
      <w:r w:rsidRPr="00EE0520">
        <w:tab/>
        <w:t>When CS1 eventually shared a color with positive words and CS2 shared a color with negative words, participants showed a relative preference on the self-report ratings for CS1 over CS2 (</w:t>
      </w:r>
      <w:r w:rsidRPr="00EE0520">
        <w:rPr>
          <w:i/>
        </w:rPr>
        <w:t>M</w:t>
      </w:r>
      <w:r w:rsidRPr="00EE0520">
        <w:t xml:space="preserve"> = 3.33, </w:t>
      </w:r>
      <w:r w:rsidRPr="00EE0520">
        <w:rPr>
          <w:i/>
        </w:rPr>
        <w:t>SD</w:t>
      </w:r>
      <w:r w:rsidRPr="00EE0520">
        <w:t xml:space="preserve"> = 4.60), whereas when CS1 eventually shared a color with negative words and CS2 shared a color with positive words, they demonstrated a relative preference for CS2 over CS1 (</w:t>
      </w:r>
      <w:r w:rsidRPr="00EE0520">
        <w:rPr>
          <w:i/>
        </w:rPr>
        <w:t>M</w:t>
      </w:r>
      <w:r w:rsidRPr="00EE0520">
        <w:t xml:space="preserve"> = -4.15, </w:t>
      </w:r>
      <w:r w:rsidRPr="00EE0520">
        <w:rPr>
          <w:i/>
        </w:rPr>
        <w:t>SD</w:t>
      </w:r>
      <w:r w:rsidRPr="00EE0520">
        <w:t xml:space="preserve"> = 4.48), </w:t>
      </w:r>
      <w:r w:rsidRPr="00EE0520">
        <w:rPr>
          <w:i/>
        </w:rPr>
        <w:t>t</w:t>
      </w:r>
      <w:r w:rsidRPr="00EE0520">
        <w:t xml:space="preserve">(98.32) = 8.33, </w:t>
      </w:r>
      <w:r w:rsidRPr="00EE0520">
        <w:rPr>
          <w:i/>
        </w:rPr>
        <w:t>p</w:t>
      </w:r>
      <w:r w:rsidRPr="00EE0520">
        <w:t xml:space="preserve"> &lt; .001, </w:t>
      </w:r>
      <w:r w:rsidR="00FE540E" w:rsidRPr="00EE0520">
        <w:t xml:space="preserve">Cohen’s </w:t>
      </w:r>
      <w:r w:rsidRPr="00EE0520">
        <w:rPr>
          <w:i/>
        </w:rPr>
        <w:t>d</w:t>
      </w:r>
      <w:r w:rsidRPr="00EE0520">
        <w:t xml:space="preserve"> = 1.65, 95% CI = [1.</w:t>
      </w:r>
      <w:r w:rsidR="00F531A9" w:rsidRPr="00EE0520">
        <w:t>20, 2.10], BF</w:t>
      </w:r>
      <w:r w:rsidR="00F531A9" w:rsidRPr="00EE0520">
        <w:rPr>
          <w:vertAlign w:val="subscript"/>
        </w:rPr>
        <w:t>10</w:t>
      </w:r>
      <w:r w:rsidR="00F531A9" w:rsidRPr="00EE0520">
        <w:t xml:space="preserve"> &gt;15 billion</w:t>
      </w:r>
      <w:r w:rsidRPr="00EE0520">
        <w:t>.</w:t>
      </w:r>
    </w:p>
    <w:p w14:paraId="6EC2F345" w14:textId="1F21B10D" w:rsidR="00FD5B16" w:rsidRPr="00EE0520" w:rsidRDefault="00FD5B16" w:rsidP="00FD5B16">
      <w:pPr>
        <w:ind w:firstLine="0"/>
        <w:rPr>
          <w:b/>
        </w:rPr>
      </w:pPr>
      <w:r w:rsidRPr="00EE0520">
        <w:rPr>
          <w:b/>
        </w:rPr>
        <w:t>Behavioural intentions</w:t>
      </w:r>
    </w:p>
    <w:p w14:paraId="47FB8398" w14:textId="77777777" w:rsidR="00C7251D" w:rsidRPr="00EE0520" w:rsidRDefault="00C7251D" w:rsidP="00C7251D">
      <w:r w:rsidRPr="00EE0520">
        <w:t xml:space="preserve">Data from the behavioural intentions question were entered into a multinomial logistic regression with CSI as the reference category. Only results from the CS1-CS2 comparison are relevant to the hypothesis and will be reported here. Results demonstrated that participants responses of CS1 relative to CS2 differed between the two conditions, congruent with training, OR = 13.66, 95% CI = [3.56, 52.44], </w:t>
      </w:r>
      <w:r w:rsidRPr="00EE0520">
        <w:rPr>
          <w:i/>
        </w:rPr>
        <w:t>p</w:t>
      </w:r>
      <w:r w:rsidRPr="00EE0520">
        <w:t xml:space="preserve"> &lt; .001.</w:t>
      </w:r>
    </w:p>
    <w:p w14:paraId="16F43CDB" w14:textId="77777777" w:rsidR="00C7251D" w:rsidRPr="00EE0520" w:rsidRDefault="00C7251D" w:rsidP="00C7251D"/>
    <w:p w14:paraId="32CF60D8" w14:textId="725E0494" w:rsidR="00C7251D" w:rsidRPr="00EE0520" w:rsidRDefault="00C74D1A" w:rsidP="003663B4">
      <w:pPr>
        <w:ind w:firstLine="0"/>
        <w:jc w:val="center"/>
        <w:rPr>
          <w:b/>
        </w:rPr>
      </w:pPr>
      <w:r w:rsidRPr="00EE0520">
        <w:rPr>
          <w:b/>
        </w:rPr>
        <w:lastRenderedPageBreak/>
        <w:t xml:space="preserve">Experiment </w:t>
      </w:r>
      <w:r w:rsidR="00C7251D" w:rsidRPr="00EE0520">
        <w:rPr>
          <w:b/>
        </w:rPr>
        <w:t>2</w:t>
      </w:r>
    </w:p>
    <w:p w14:paraId="58C31CA7" w14:textId="2BF0CC7E" w:rsidR="00C7251D" w:rsidRPr="00EE0520" w:rsidRDefault="006D44C1" w:rsidP="00C7251D">
      <w:pPr>
        <w:ind w:firstLine="0"/>
        <w:rPr>
          <w:b/>
        </w:rPr>
      </w:pPr>
      <w:r w:rsidRPr="00EE0520">
        <w:rPr>
          <w:b/>
        </w:rPr>
        <w:t>IAT</w:t>
      </w:r>
      <w:bookmarkStart w:id="0" w:name="_GoBack"/>
      <w:bookmarkEnd w:id="0"/>
    </w:p>
    <w:p w14:paraId="39D9F38F" w14:textId="447940E0" w:rsidR="006D44C1" w:rsidRPr="00EE0520" w:rsidRDefault="006D44C1" w:rsidP="002B3CDD">
      <w:r w:rsidRPr="00EE0520">
        <w:t>When CS2 eventually shared a color with positive words and CS1 shared a color with negative words, participants showed an automatic relative preference for CS2 over CS1 on the IAT (</w:t>
      </w:r>
      <w:r w:rsidRPr="00EE0520">
        <w:rPr>
          <w:i/>
        </w:rPr>
        <w:t>M</w:t>
      </w:r>
      <w:r w:rsidRPr="00EE0520">
        <w:t xml:space="preserve"> = -0.26, </w:t>
      </w:r>
      <w:r w:rsidRPr="00EE0520">
        <w:rPr>
          <w:i/>
        </w:rPr>
        <w:t>SD</w:t>
      </w:r>
      <w:r w:rsidR="00FA5974" w:rsidRPr="00EE0520">
        <w:t xml:space="preserve"> = 0.54), w</w:t>
      </w:r>
      <w:r w:rsidRPr="00EE0520">
        <w:t>hereas when CS2 eventually shared a color with negative words and CS1 shared a color with positive words, they demonstrated a relative preference for CS1 over CS2 (</w:t>
      </w:r>
      <w:r w:rsidRPr="00EE0520">
        <w:rPr>
          <w:i/>
        </w:rPr>
        <w:t>M</w:t>
      </w:r>
      <w:r w:rsidRPr="00EE0520">
        <w:t xml:space="preserve"> = -0.12, </w:t>
      </w:r>
      <w:r w:rsidRPr="00EE0520">
        <w:rPr>
          <w:i/>
        </w:rPr>
        <w:t>SD</w:t>
      </w:r>
      <w:r w:rsidRPr="00EE0520">
        <w:t xml:space="preserve"> = 0.60), </w:t>
      </w:r>
      <w:r w:rsidRPr="00EE0520">
        <w:rPr>
          <w:i/>
        </w:rPr>
        <w:t>t</w:t>
      </w:r>
      <w:r w:rsidRPr="00EE0520">
        <w:t xml:space="preserve">(100.85) = -1.18, </w:t>
      </w:r>
      <w:r w:rsidRPr="00EE0520">
        <w:rPr>
          <w:i/>
        </w:rPr>
        <w:t>p</w:t>
      </w:r>
      <w:r w:rsidRPr="00EE0520">
        <w:t xml:space="preserve"> = .24, </w:t>
      </w:r>
      <w:r w:rsidR="00FE540E" w:rsidRPr="00EE0520">
        <w:t xml:space="preserve">Cohen’s </w:t>
      </w:r>
      <w:r w:rsidRPr="00EE0520">
        <w:rPr>
          <w:i/>
        </w:rPr>
        <w:t>d</w:t>
      </w:r>
      <w:r w:rsidRPr="00EE0520">
        <w:t xml:space="preserve"> = -0.23, 95% CI = [-0.62, 0.16], </w:t>
      </w:r>
      <w:r w:rsidR="00F531A9" w:rsidRPr="00EE0520">
        <w:t>BF</w:t>
      </w:r>
      <w:r w:rsidR="00F531A9" w:rsidRPr="00EE0520">
        <w:rPr>
          <w:vertAlign w:val="subscript"/>
        </w:rPr>
        <w:t>10</w:t>
      </w:r>
      <w:r w:rsidR="00F531A9" w:rsidRPr="00EE0520">
        <w:t xml:space="preserve"> </w:t>
      </w:r>
      <w:r w:rsidRPr="00EE0520">
        <w:t>= 0.38. Note that this result is in the opposite direction to all other experiments.</w:t>
      </w:r>
    </w:p>
    <w:p w14:paraId="796198E6" w14:textId="6AC7F68B" w:rsidR="006D44C1" w:rsidRPr="00EE0520" w:rsidRDefault="006D44C1" w:rsidP="006D44C1">
      <w:pPr>
        <w:ind w:firstLine="0"/>
        <w:rPr>
          <w:b/>
        </w:rPr>
      </w:pPr>
      <w:r w:rsidRPr="00EE0520">
        <w:rPr>
          <w:b/>
        </w:rPr>
        <w:t>Self-report ratings</w:t>
      </w:r>
    </w:p>
    <w:p w14:paraId="3033BB99" w14:textId="7ABAB8B3" w:rsidR="006D44C1" w:rsidRPr="00EE0520" w:rsidRDefault="006D44C1" w:rsidP="006D44C1">
      <w:r w:rsidRPr="00EE0520">
        <w:t xml:space="preserve">Regardless of whether CS1 eventually shared a color with positive or negative words, participants showed a relative preference on the self-report ratings for CS2 over CS1 (CS1-positive condition: </w:t>
      </w:r>
      <w:r w:rsidRPr="00EE0520">
        <w:rPr>
          <w:i/>
        </w:rPr>
        <w:t>M</w:t>
      </w:r>
      <w:r w:rsidRPr="00EE0520">
        <w:t xml:space="preserve"> = -2.80, </w:t>
      </w:r>
      <w:r w:rsidRPr="00EE0520">
        <w:rPr>
          <w:i/>
        </w:rPr>
        <w:t>SD</w:t>
      </w:r>
      <w:r w:rsidRPr="00EE0520">
        <w:t xml:space="preserve"> = 5.33; CS1-negative condition: </w:t>
      </w:r>
      <w:r w:rsidRPr="00EE0520">
        <w:rPr>
          <w:i/>
        </w:rPr>
        <w:t>M</w:t>
      </w:r>
      <w:r w:rsidRPr="00EE0520">
        <w:t xml:space="preserve"> = -1.58, </w:t>
      </w:r>
      <w:r w:rsidRPr="00EE0520">
        <w:rPr>
          <w:i/>
        </w:rPr>
        <w:t>SD</w:t>
      </w:r>
      <w:r w:rsidRPr="00EE0520">
        <w:t xml:space="preserve"> = 6.03), </w:t>
      </w:r>
      <w:r w:rsidRPr="00EE0520">
        <w:rPr>
          <w:i/>
        </w:rPr>
        <w:t>t</w:t>
      </w:r>
      <w:r w:rsidRPr="00EE0520">
        <w:t xml:space="preserve">(100.98) = -1.09, </w:t>
      </w:r>
      <w:r w:rsidRPr="00EE0520">
        <w:rPr>
          <w:i/>
        </w:rPr>
        <w:t>p</w:t>
      </w:r>
      <w:r w:rsidRPr="00EE0520">
        <w:t xml:space="preserve"> = .28, </w:t>
      </w:r>
      <w:r w:rsidR="00FE540E" w:rsidRPr="00EE0520">
        <w:t xml:space="preserve">Cohen’s </w:t>
      </w:r>
      <w:r w:rsidRPr="00EE0520">
        <w:rPr>
          <w:i/>
        </w:rPr>
        <w:t>d</w:t>
      </w:r>
      <w:r w:rsidRPr="00EE0520">
        <w:t xml:space="preserve"> = -0.21, 95% CI = [-0.61, 0.18], </w:t>
      </w:r>
      <w:r w:rsidR="00F531A9" w:rsidRPr="00EE0520">
        <w:t>BF</w:t>
      </w:r>
      <w:r w:rsidR="00F531A9" w:rsidRPr="00EE0520">
        <w:rPr>
          <w:vertAlign w:val="subscript"/>
        </w:rPr>
        <w:t>10</w:t>
      </w:r>
      <w:r w:rsidR="00F531A9" w:rsidRPr="00EE0520">
        <w:t xml:space="preserve"> </w:t>
      </w:r>
      <w:r w:rsidRPr="00EE0520">
        <w:t>= 0.35.</w:t>
      </w:r>
    </w:p>
    <w:p w14:paraId="526200CA" w14:textId="5C92C132" w:rsidR="006D44C1" w:rsidRPr="00EE0520" w:rsidRDefault="006D44C1" w:rsidP="006D44C1">
      <w:pPr>
        <w:ind w:firstLine="0"/>
      </w:pPr>
      <w:r w:rsidRPr="00EE0520">
        <w:t>Note that this null result is different to all other experiments.</w:t>
      </w:r>
    </w:p>
    <w:p w14:paraId="14C52452" w14:textId="31EA6F8F" w:rsidR="006D44C1" w:rsidRPr="00EE0520" w:rsidRDefault="00FD5B16" w:rsidP="006D44C1">
      <w:pPr>
        <w:ind w:firstLine="0"/>
        <w:rPr>
          <w:b/>
        </w:rPr>
      </w:pPr>
      <w:r w:rsidRPr="00EE0520">
        <w:rPr>
          <w:b/>
        </w:rPr>
        <w:t>Behavioural intentions</w:t>
      </w:r>
    </w:p>
    <w:p w14:paraId="6A0F1695" w14:textId="77777777" w:rsidR="006D44C1" w:rsidRPr="00EE0520" w:rsidRDefault="006D44C1" w:rsidP="006D44C1">
      <w:r w:rsidRPr="00EE0520">
        <w:t xml:space="preserve">Data from the behavioural intentions question were entered into a multinomial logistic regression with CSI as the reference category. Only results from the CS1-CS2 comparison are relevant to the hypothesis and will be reported here. Results demonstrated that participants responses of CS1 relative to CS2 differed between the two conditions, but in the opposite direction to that predicted, OR = 0.22, 95% CI = [0.07, 0.66], </w:t>
      </w:r>
      <w:r w:rsidRPr="00EE0520">
        <w:rPr>
          <w:i/>
        </w:rPr>
        <w:t>p</w:t>
      </w:r>
      <w:r w:rsidRPr="00EE0520">
        <w:t xml:space="preserve"> = .007. Note that this result is in the opposite direction to all other experiments.</w:t>
      </w:r>
    </w:p>
    <w:p w14:paraId="255EFD5C" w14:textId="77777777" w:rsidR="00562A62" w:rsidRPr="00EE0520" w:rsidRDefault="00562A62" w:rsidP="006D44C1">
      <w:pPr>
        <w:ind w:firstLine="0"/>
      </w:pPr>
    </w:p>
    <w:p w14:paraId="38570E40" w14:textId="77777777" w:rsidR="00562A62" w:rsidRPr="00EE0520" w:rsidRDefault="00562A62" w:rsidP="003663B4">
      <w:pPr>
        <w:ind w:firstLine="0"/>
        <w:jc w:val="center"/>
        <w:rPr>
          <w:b/>
        </w:rPr>
      </w:pPr>
      <w:r w:rsidRPr="00EE0520">
        <w:rPr>
          <w:b/>
        </w:rPr>
        <w:t>Experiment 3</w:t>
      </w:r>
    </w:p>
    <w:p w14:paraId="7ECA81B1" w14:textId="4FE1B7B1" w:rsidR="00562A62" w:rsidRPr="00EE0520" w:rsidRDefault="00562A62" w:rsidP="00562A62">
      <w:pPr>
        <w:ind w:firstLine="0"/>
        <w:rPr>
          <w:b/>
        </w:rPr>
      </w:pPr>
      <w:r w:rsidRPr="00EE0520">
        <w:rPr>
          <w:b/>
        </w:rPr>
        <w:t>IAT</w:t>
      </w:r>
    </w:p>
    <w:p w14:paraId="65F85003" w14:textId="684C975F" w:rsidR="00562A62" w:rsidRPr="00EE0520" w:rsidRDefault="00562A62" w:rsidP="006D44C1">
      <w:pPr>
        <w:ind w:firstLine="0"/>
      </w:pPr>
      <w:r w:rsidRPr="00EE0520">
        <w:tab/>
        <w:t>When CS1 eventually shared a color with positive words and CS2 shared a color with negative words, participants showed an automatic relative preference for CS1 over CS2 on the IAT (</w:t>
      </w:r>
      <w:r w:rsidRPr="00EE0520">
        <w:rPr>
          <w:i/>
        </w:rPr>
        <w:t>M</w:t>
      </w:r>
      <w:r w:rsidRPr="00EE0520">
        <w:t xml:space="preserve"> = 0.21, </w:t>
      </w:r>
      <w:r w:rsidRPr="00EE0520">
        <w:rPr>
          <w:i/>
        </w:rPr>
        <w:t>SD</w:t>
      </w:r>
      <w:r w:rsidRPr="00EE0520">
        <w:t xml:space="preserve"> = 0.46), whereas when CS1 eventually shared a color with negative words and CS2 shared a color with positive words, they demonstrated a relative preference for CS2 over CS1 (</w:t>
      </w:r>
      <w:r w:rsidRPr="00EE0520">
        <w:rPr>
          <w:i/>
        </w:rPr>
        <w:t>M</w:t>
      </w:r>
      <w:r w:rsidRPr="00EE0520">
        <w:t xml:space="preserve"> = -0.15, </w:t>
      </w:r>
      <w:r w:rsidRPr="00EE0520">
        <w:rPr>
          <w:i/>
        </w:rPr>
        <w:t>SD</w:t>
      </w:r>
      <w:r w:rsidRPr="00EE0520">
        <w:t xml:space="preserve"> = 0.59), </w:t>
      </w:r>
      <w:r w:rsidRPr="00EE0520">
        <w:rPr>
          <w:i/>
        </w:rPr>
        <w:t>t</w:t>
      </w:r>
      <w:r w:rsidRPr="00EE0520">
        <w:t xml:space="preserve">(93.42) = 3.29, </w:t>
      </w:r>
      <w:r w:rsidRPr="00EE0520">
        <w:rPr>
          <w:i/>
        </w:rPr>
        <w:t>p</w:t>
      </w:r>
      <w:r w:rsidRPr="00EE0520">
        <w:t xml:space="preserve"> = .001, </w:t>
      </w:r>
      <w:r w:rsidR="00FE540E" w:rsidRPr="00EE0520">
        <w:t xml:space="preserve">Cohen’s </w:t>
      </w:r>
      <w:r w:rsidRPr="00EE0520">
        <w:rPr>
          <w:i/>
        </w:rPr>
        <w:t>d</w:t>
      </w:r>
      <w:r w:rsidRPr="00EE0520">
        <w:t xml:space="preserve"> = 0.66, 95% CI = [0.25, 1.08], </w:t>
      </w:r>
      <w:r w:rsidR="00F531A9" w:rsidRPr="00EE0520">
        <w:t>BF</w:t>
      </w:r>
      <w:r w:rsidR="00F531A9" w:rsidRPr="00EE0520">
        <w:rPr>
          <w:vertAlign w:val="subscript"/>
        </w:rPr>
        <w:t>10</w:t>
      </w:r>
      <w:r w:rsidR="00F531A9" w:rsidRPr="00EE0520">
        <w:t xml:space="preserve"> </w:t>
      </w:r>
      <w:r w:rsidRPr="00EE0520">
        <w:t>= 20.10.</w:t>
      </w:r>
    </w:p>
    <w:p w14:paraId="48A224FC" w14:textId="144A321A" w:rsidR="00562A62" w:rsidRPr="00EE0520" w:rsidRDefault="00562A62" w:rsidP="00562A62">
      <w:pPr>
        <w:ind w:firstLine="0"/>
        <w:rPr>
          <w:b/>
        </w:rPr>
      </w:pPr>
      <w:r w:rsidRPr="00EE0520">
        <w:rPr>
          <w:b/>
        </w:rPr>
        <w:t>Self-report ratings</w:t>
      </w:r>
    </w:p>
    <w:p w14:paraId="27B0ECCB" w14:textId="5D580A86" w:rsidR="00562A62" w:rsidRPr="00EE0520" w:rsidRDefault="00562A62" w:rsidP="002B3CDD">
      <w:r w:rsidRPr="00EE0520">
        <w:t>When CS1 eventually shared a color with positive words and CS2 shared a color with negative words, participants showed a relative preference on the self-report ratings for CS1 over CS2 (</w:t>
      </w:r>
      <w:r w:rsidRPr="00EE0520">
        <w:rPr>
          <w:i/>
        </w:rPr>
        <w:t>M</w:t>
      </w:r>
      <w:r w:rsidRPr="00EE0520">
        <w:t xml:space="preserve"> = 2.92, </w:t>
      </w:r>
      <w:r w:rsidRPr="00EE0520">
        <w:rPr>
          <w:i/>
        </w:rPr>
        <w:t>SD</w:t>
      </w:r>
      <w:r w:rsidRPr="00EE0520">
        <w:t xml:space="preserve"> = 5.25), whereas when CS1 eventually shared a color with negative words and CS2 shared a color with positive words, they demonstrated a relative preference for CS2 over CS1 (</w:t>
      </w:r>
      <w:r w:rsidRPr="00EE0520">
        <w:rPr>
          <w:i/>
        </w:rPr>
        <w:t>M</w:t>
      </w:r>
      <w:r w:rsidRPr="00EE0520">
        <w:t xml:space="preserve"> = -2.85, </w:t>
      </w:r>
      <w:r w:rsidRPr="00EE0520">
        <w:rPr>
          <w:i/>
        </w:rPr>
        <w:t>SD</w:t>
      </w:r>
      <w:r w:rsidRPr="00EE0520">
        <w:t xml:space="preserve"> = 5.02), </w:t>
      </w:r>
      <w:r w:rsidRPr="00EE0520">
        <w:rPr>
          <w:i/>
        </w:rPr>
        <w:t>t</w:t>
      </w:r>
      <w:r w:rsidRPr="00EE0520">
        <w:t>(92.94) = 5.52,</w:t>
      </w:r>
      <w:r w:rsidRPr="00EE0520">
        <w:rPr>
          <w:i/>
        </w:rPr>
        <w:t xml:space="preserve"> p</w:t>
      </w:r>
      <w:r w:rsidRPr="00EE0520">
        <w:t xml:space="preserve"> &lt; .001, </w:t>
      </w:r>
      <w:r w:rsidR="00FE540E" w:rsidRPr="00EE0520">
        <w:t xml:space="preserve">Cohen’s </w:t>
      </w:r>
      <w:r w:rsidRPr="00EE0520">
        <w:rPr>
          <w:i/>
        </w:rPr>
        <w:t>d</w:t>
      </w:r>
      <w:r w:rsidRPr="00EE0520">
        <w:t xml:space="preserve"> = 1.13, 95% CI = [0.69, 1.56], </w:t>
      </w:r>
      <w:r w:rsidR="00F531A9" w:rsidRPr="00EE0520">
        <w:t>BF</w:t>
      </w:r>
      <w:r w:rsidR="00F531A9" w:rsidRPr="00EE0520">
        <w:rPr>
          <w:vertAlign w:val="subscript"/>
        </w:rPr>
        <w:t>10</w:t>
      </w:r>
      <w:r w:rsidR="00F531A9" w:rsidRPr="00EE0520">
        <w:t xml:space="preserve"> </w:t>
      </w:r>
      <w:r w:rsidR="00725A9C" w:rsidRPr="00EE0520">
        <w:t>&gt; 45 thousand</w:t>
      </w:r>
      <w:r w:rsidRPr="00EE0520">
        <w:t>.</w:t>
      </w:r>
    </w:p>
    <w:p w14:paraId="115751C3" w14:textId="09C67D0C" w:rsidR="00562A62" w:rsidRPr="00EE0520" w:rsidRDefault="00562A62" w:rsidP="00562A62">
      <w:pPr>
        <w:ind w:firstLine="0"/>
        <w:rPr>
          <w:b/>
        </w:rPr>
      </w:pPr>
      <w:r w:rsidRPr="00EE0520">
        <w:rPr>
          <w:b/>
        </w:rPr>
        <w:t>Behavioural intentions</w:t>
      </w:r>
    </w:p>
    <w:p w14:paraId="36CB3DAF" w14:textId="58086E1B" w:rsidR="00562A62" w:rsidRPr="00EE0520" w:rsidRDefault="00562A62" w:rsidP="002B3CDD">
      <w:r w:rsidRPr="00EE0520">
        <w:t xml:space="preserve">Data from the behavioural intentions question were entered into a multinomial logistic regression with CSI as the reference category. Only results from the CS1-CS2 comparison are relevant to the hypothesis and will be reported here. Results demonstrated that participants responses of CS1 relative to CS2 differed between the two conditions, congruent with training, OR = 6.94, 95% CI = [2.03, 23.77], </w:t>
      </w:r>
      <w:r w:rsidRPr="00EE0520">
        <w:rPr>
          <w:i/>
        </w:rPr>
        <w:t>p</w:t>
      </w:r>
      <w:r w:rsidRPr="00EE0520">
        <w:t xml:space="preserve"> = .002.</w:t>
      </w:r>
    </w:p>
    <w:p w14:paraId="2E0A2FFA" w14:textId="77777777" w:rsidR="00562A62" w:rsidRPr="00EE0520" w:rsidRDefault="00562A62" w:rsidP="00562A62"/>
    <w:p w14:paraId="706D7FD5" w14:textId="77777777" w:rsidR="00E55B74" w:rsidRPr="00EE0520" w:rsidRDefault="00E55B74" w:rsidP="003663B4">
      <w:pPr>
        <w:ind w:firstLine="0"/>
        <w:jc w:val="center"/>
        <w:rPr>
          <w:b/>
        </w:rPr>
      </w:pPr>
      <w:r w:rsidRPr="00EE0520">
        <w:rPr>
          <w:b/>
        </w:rPr>
        <w:t>Experiment 4</w:t>
      </w:r>
    </w:p>
    <w:p w14:paraId="33CE000C" w14:textId="2150EACD" w:rsidR="00E55B74" w:rsidRPr="00EE0520" w:rsidRDefault="00E55B74" w:rsidP="003663B4">
      <w:pPr>
        <w:ind w:firstLine="0"/>
        <w:rPr>
          <w:b/>
        </w:rPr>
      </w:pPr>
      <w:r w:rsidRPr="00EE0520">
        <w:rPr>
          <w:b/>
        </w:rPr>
        <w:t>IAT</w:t>
      </w:r>
    </w:p>
    <w:p w14:paraId="30F89319" w14:textId="1598AFEB" w:rsidR="003663B4" w:rsidRPr="00EE0520" w:rsidRDefault="00E55B74" w:rsidP="002B3CDD">
      <w:r w:rsidRPr="00EE0520">
        <w:t>When CS1 eventually shared a color with positive words and CS2 shared a color with negative words, participants showed an automatic relative preference for CS1 over CS2 on the IAT (</w:t>
      </w:r>
      <w:r w:rsidRPr="00EE0520">
        <w:rPr>
          <w:i/>
        </w:rPr>
        <w:t>M</w:t>
      </w:r>
      <w:r w:rsidRPr="00EE0520">
        <w:t xml:space="preserve"> = 0.14, </w:t>
      </w:r>
      <w:r w:rsidRPr="00EE0520">
        <w:rPr>
          <w:i/>
        </w:rPr>
        <w:t>SD</w:t>
      </w:r>
      <w:r w:rsidRPr="00EE0520">
        <w:t xml:space="preserve"> = 0.46), whereas when CS1 eventually shared a color with negative words and CS2 shared a color with positive words, they demonstrated a relative preference for CS2 over CS1 (</w:t>
      </w:r>
      <w:r w:rsidRPr="00EE0520">
        <w:rPr>
          <w:i/>
        </w:rPr>
        <w:t>M</w:t>
      </w:r>
      <w:r w:rsidRPr="00EE0520">
        <w:t xml:space="preserve"> = -0.12, </w:t>
      </w:r>
      <w:r w:rsidRPr="00EE0520">
        <w:rPr>
          <w:i/>
        </w:rPr>
        <w:t>SD</w:t>
      </w:r>
      <w:r w:rsidRPr="00EE0520">
        <w:t xml:space="preserve"> = 0.46), </w:t>
      </w:r>
      <w:r w:rsidRPr="00EE0520">
        <w:rPr>
          <w:i/>
        </w:rPr>
        <w:t>t</w:t>
      </w:r>
      <w:r w:rsidRPr="00EE0520">
        <w:t xml:space="preserve">(168.75) = 3.79, </w:t>
      </w:r>
      <w:r w:rsidRPr="00EE0520">
        <w:rPr>
          <w:i/>
        </w:rPr>
        <w:t>p</w:t>
      </w:r>
      <w:r w:rsidRPr="00EE0520">
        <w:t xml:space="preserve"> &lt; .001, </w:t>
      </w:r>
      <w:r w:rsidR="00FE540E" w:rsidRPr="00EE0520">
        <w:t xml:space="preserve">Cohen’s </w:t>
      </w:r>
      <w:r w:rsidRPr="00EE0520">
        <w:rPr>
          <w:i/>
        </w:rPr>
        <w:t>d</w:t>
      </w:r>
      <w:r w:rsidRPr="00EE0520">
        <w:t xml:space="preserve"> = 0.57, 95% CI = [0.27, 0.87], </w:t>
      </w:r>
      <w:r w:rsidR="00F531A9" w:rsidRPr="00EE0520">
        <w:t>BF</w:t>
      </w:r>
      <w:r w:rsidR="00F531A9" w:rsidRPr="00EE0520">
        <w:rPr>
          <w:vertAlign w:val="subscript"/>
        </w:rPr>
        <w:t>10</w:t>
      </w:r>
      <w:r w:rsidR="00F531A9" w:rsidRPr="00EE0520">
        <w:t xml:space="preserve"> </w:t>
      </w:r>
      <w:r w:rsidR="00E81017" w:rsidRPr="00EE0520">
        <w:t>= 109</w:t>
      </w:r>
      <w:r w:rsidRPr="00EE0520">
        <w:t>.</w:t>
      </w:r>
    </w:p>
    <w:p w14:paraId="43D88F11" w14:textId="7D70CFCE" w:rsidR="00E55B74" w:rsidRPr="00EE0520" w:rsidRDefault="00E55B74" w:rsidP="003663B4">
      <w:pPr>
        <w:ind w:firstLine="0"/>
        <w:rPr>
          <w:b/>
        </w:rPr>
      </w:pPr>
      <w:r w:rsidRPr="00EE0520">
        <w:rPr>
          <w:b/>
        </w:rPr>
        <w:t>Self-report ratings</w:t>
      </w:r>
    </w:p>
    <w:p w14:paraId="2C7E0C0D" w14:textId="1DA179CE" w:rsidR="00E55B74" w:rsidRPr="00EE0520" w:rsidRDefault="00E55B74" w:rsidP="002B3CDD">
      <w:r w:rsidRPr="00EE0520">
        <w:t>When CS1 eventually shared a color with positive words and CS2 shared a color with negative words, participants showed a relative preference on the self-report ratings for CS1 over CS2 (</w:t>
      </w:r>
      <w:r w:rsidRPr="00EE0520">
        <w:rPr>
          <w:i/>
        </w:rPr>
        <w:t>M</w:t>
      </w:r>
      <w:r w:rsidRPr="00EE0520">
        <w:t xml:space="preserve"> = 2.34, </w:t>
      </w:r>
      <w:r w:rsidRPr="00EE0520">
        <w:rPr>
          <w:i/>
        </w:rPr>
        <w:t>SD</w:t>
      </w:r>
      <w:r w:rsidRPr="00EE0520">
        <w:t xml:space="preserve"> = 4.12), whereas when CS1 eventually shared a color with negative words and CS2 shared a color with positive words, they demonstrated a relative preference for CS2 over CS1 (</w:t>
      </w:r>
      <w:r w:rsidRPr="00EE0520">
        <w:rPr>
          <w:i/>
        </w:rPr>
        <w:t>M</w:t>
      </w:r>
      <w:r w:rsidRPr="00EE0520">
        <w:t xml:space="preserve"> = -2.38, </w:t>
      </w:r>
      <w:r w:rsidRPr="00EE0520">
        <w:rPr>
          <w:i/>
        </w:rPr>
        <w:t>SD</w:t>
      </w:r>
      <w:r w:rsidRPr="00EE0520">
        <w:t xml:space="preserve"> = 4.09), </w:t>
      </w:r>
      <w:r w:rsidRPr="00EE0520">
        <w:rPr>
          <w:i/>
        </w:rPr>
        <w:t>t</w:t>
      </w:r>
      <w:r w:rsidRPr="00EE0520">
        <w:t xml:space="preserve">(169.77) = 7.66, </w:t>
      </w:r>
      <w:r w:rsidRPr="00EE0520">
        <w:rPr>
          <w:i/>
        </w:rPr>
        <w:t>p</w:t>
      </w:r>
      <w:r w:rsidRPr="00EE0520">
        <w:t xml:space="preserve"> &lt; .001, </w:t>
      </w:r>
      <w:r w:rsidR="00FE540E" w:rsidRPr="00EE0520">
        <w:t xml:space="preserve">Cohen’s </w:t>
      </w:r>
      <w:r w:rsidRPr="00EE0520">
        <w:rPr>
          <w:i/>
        </w:rPr>
        <w:t>d</w:t>
      </w:r>
      <w:r w:rsidRPr="00EE0520">
        <w:t xml:space="preserve"> = 1.15, 95% CI = [0.83, 1.47], </w:t>
      </w:r>
      <w:r w:rsidR="00F531A9" w:rsidRPr="00EE0520">
        <w:t>BF</w:t>
      </w:r>
      <w:r w:rsidR="00F531A9" w:rsidRPr="00EE0520">
        <w:rPr>
          <w:vertAlign w:val="subscript"/>
        </w:rPr>
        <w:t>10</w:t>
      </w:r>
      <w:r w:rsidR="00F531A9" w:rsidRPr="00EE0520">
        <w:t xml:space="preserve"> </w:t>
      </w:r>
      <w:r w:rsidR="00E82E65" w:rsidRPr="00EE0520">
        <w:t>&gt; 5 billion</w:t>
      </w:r>
      <w:r w:rsidRPr="00EE0520">
        <w:t>.</w:t>
      </w:r>
    </w:p>
    <w:p w14:paraId="60F67302" w14:textId="1EB7DC66" w:rsidR="00E55B74" w:rsidRPr="00EE0520" w:rsidRDefault="00E55B74" w:rsidP="00E55B74">
      <w:pPr>
        <w:ind w:firstLine="0"/>
        <w:rPr>
          <w:b/>
        </w:rPr>
      </w:pPr>
      <w:r w:rsidRPr="00EE0520">
        <w:rPr>
          <w:b/>
        </w:rPr>
        <w:t>Behavioural intentions</w:t>
      </w:r>
    </w:p>
    <w:p w14:paraId="4686E7BB" w14:textId="77777777" w:rsidR="00E55B74" w:rsidRPr="00EE0520" w:rsidRDefault="00E55B74" w:rsidP="00E55B74">
      <w:r w:rsidRPr="00EE0520">
        <w:t xml:space="preserve">Data from the behavioural intentions question were entered into a multinomial logistic regression with CSI as the reference category. Only results from the CS1-CS2 comparison are relevant to the hypothesis and will be reported here. Results demonstrated that participants responses of CS1 relative to CS2 differed between the two conditions, congruent with training, OR = 5.00, 95% CI = [1.91, 13.06], </w:t>
      </w:r>
      <w:r w:rsidRPr="00EE0520">
        <w:rPr>
          <w:i/>
        </w:rPr>
        <w:t>p</w:t>
      </w:r>
      <w:r w:rsidRPr="00EE0520">
        <w:t xml:space="preserve"> = .001.</w:t>
      </w:r>
    </w:p>
    <w:p w14:paraId="5FDE6943" w14:textId="77777777" w:rsidR="00E55B74" w:rsidRPr="00EE0520" w:rsidRDefault="00E55B74" w:rsidP="00E55B74"/>
    <w:p w14:paraId="161C89C8" w14:textId="7279249A" w:rsidR="00E55B74" w:rsidRPr="00EE0520" w:rsidRDefault="00E55B74" w:rsidP="002F0AE1">
      <w:pPr>
        <w:ind w:firstLine="0"/>
        <w:jc w:val="center"/>
        <w:rPr>
          <w:b/>
        </w:rPr>
      </w:pPr>
      <w:r w:rsidRPr="00EE0520">
        <w:rPr>
          <w:b/>
        </w:rPr>
        <w:t>Experiment 5</w:t>
      </w:r>
    </w:p>
    <w:p w14:paraId="5DCFE5DD" w14:textId="384C8AB9" w:rsidR="00E55B74" w:rsidRPr="00EE0520" w:rsidRDefault="00E55B74" w:rsidP="00E55B74">
      <w:pPr>
        <w:ind w:firstLine="0"/>
        <w:rPr>
          <w:b/>
        </w:rPr>
      </w:pPr>
      <w:r w:rsidRPr="00EE0520">
        <w:rPr>
          <w:b/>
        </w:rPr>
        <w:t>IAT</w:t>
      </w:r>
    </w:p>
    <w:p w14:paraId="7CBF3C68" w14:textId="56CA867D" w:rsidR="00E55B74" w:rsidRPr="00EE0520" w:rsidRDefault="00E55B74" w:rsidP="002B3CDD">
      <w:r w:rsidRPr="00EE0520">
        <w:t>When CS1 eventually shared a color with positive words and CS2 shared a color with negative words, participants showed an automatic relative preference for CS1 over CS2 on the IAT (</w:t>
      </w:r>
      <w:r w:rsidRPr="00EE0520">
        <w:rPr>
          <w:i/>
        </w:rPr>
        <w:t>M</w:t>
      </w:r>
      <w:r w:rsidRPr="00EE0520">
        <w:t xml:space="preserve"> = 0.16, </w:t>
      </w:r>
      <w:r w:rsidRPr="00EE0520">
        <w:rPr>
          <w:i/>
        </w:rPr>
        <w:t>SD</w:t>
      </w:r>
      <w:r w:rsidRPr="00EE0520">
        <w:t xml:space="preserve"> = 0.48), whereas when CS1 eventually shared a color with negative words and CS2 shared a color with positive words, they demonstrated a relative preference for CS2 over CS1 (</w:t>
      </w:r>
      <w:r w:rsidRPr="00EE0520">
        <w:rPr>
          <w:i/>
        </w:rPr>
        <w:t>M</w:t>
      </w:r>
      <w:r w:rsidRPr="00EE0520">
        <w:t xml:space="preserve"> = -0.18, </w:t>
      </w:r>
      <w:r w:rsidRPr="00EE0520">
        <w:rPr>
          <w:i/>
        </w:rPr>
        <w:t>SD</w:t>
      </w:r>
      <w:r w:rsidRPr="00EE0520">
        <w:t xml:space="preserve"> = 0.45), </w:t>
      </w:r>
      <w:r w:rsidRPr="00EE0520">
        <w:rPr>
          <w:i/>
        </w:rPr>
        <w:t>t</w:t>
      </w:r>
      <w:r w:rsidRPr="00EE0520">
        <w:t xml:space="preserve">(184.64) = 4.98, </w:t>
      </w:r>
      <w:r w:rsidRPr="00EE0520">
        <w:rPr>
          <w:i/>
        </w:rPr>
        <w:t>p</w:t>
      </w:r>
      <w:r w:rsidRPr="00EE0520">
        <w:t xml:space="preserve"> &lt; .001, </w:t>
      </w:r>
      <w:r w:rsidR="00FE540E" w:rsidRPr="00EE0520">
        <w:t xml:space="preserve">Cohen’s </w:t>
      </w:r>
      <w:r w:rsidRPr="00EE0520">
        <w:rPr>
          <w:i/>
        </w:rPr>
        <w:t xml:space="preserve">d </w:t>
      </w:r>
      <w:r w:rsidRPr="00EE0520">
        <w:t xml:space="preserve">= 0.73, 95% CI = [0.43, 1.02], </w:t>
      </w:r>
      <w:r w:rsidR="00F531A9" w:rsidRPr="00EE0520">
        <w:t>BF</w:t>
      </w:r>
      <w:r w:rsidR="00F531A9" w:rsidRPr="00EE0520">
        <w:rPr>
          <w:vertAlign w:val="subscript"/>
        </w:rPr>
        <w:t>10</w:t>
      </w:r>
      <w:r w:rsidR="00F531A9" w:rsidRPr="00EE0520">
        <w:t xml:space="preserve"> </w:t>
      </w:r>
      <w:r w:rsidR="000047A5" w:rsidRPr="00EE0520">
        <w:t>&gt; 10 thousand</w:t>
      </w:r>
      <w:r w:rsidRPr="00EE0520">
        <w:t>.</w:t>
      </w:r>
    </w:p>
    <w:p w14:paraId="300AEEC7" w14:textId="6BE11329" w:rsidR="00E55B74" w:rsidRPr="00EE0520" w:rsidRDefault="00E55B74" w:rsidP="00E55B74">
      <w:pPr>
        <w:ind w:firstLine="0"/>
        <w:rPr>
          <w:b/>
        </w:rPr>
      </w:pPr>
      <w:r w:rsidRPr="00EE0520">
        <w:rPr>
          <w:b/>
        </w:rPr>
        <w:t>Self-report ratings</w:t>
      </w:r>
    </w:p>
    <w:p w14:paraId="4F7D546C" w14:textId="32963B28" w:rsidR="00E55B74" w:rsidRPr="00EE0520" w:rsidRDefault="00E55B74" w:rsidP="002B3CDD">
      <w:r w:rsidRPr="00EE0520">
        <w:t>When CS1 eventually shared a color with positive words and CS2 shared a color with negative words, participants showed a relative preference on the self-report ratings for CS1 over CS2 (</w:t>
      </w:r>
      <w:r w:rsidRPr="00EE0520">
        <w:rPr>
          <w:i/>
        </w:rPr>
        <w:t>M</w:t>
      </w:r>
      <w:r w:rsidRPr="00EE0520">
        <w:t xml:space="preserve"> = 3.57, </w:t>
      </w:r>
      <w:r w:rsidRPr="00EE0520">
        <w:rPr>
          <w:i/>
        </w:rPr>
        <w:t>SD</w:t>
      </w:r>
      <w:r w:rsidRPr="00EE0520">
        <w:t xml:space="preserve"> = 4.99), whereas when CS1 eventually shared a color with negative words and CS2 shared a color with positive words, they demonstrated a relative preference for CS2 over CS1 (</w:t>
      </w:r>
      <w:r w:rsidRPr="00EE0520">
        <w:rPr>
          <w:i/>
        </w:rPr>
        <w:t>M</w:t>
      </w:r>
      <w:r w:rsidRPr="00EE0520">
        <w:t xml:space="preserve"> = -2.18, </w:t>
      </w:r>
      <w:r w:rsidRPr="00EE0520">
        <w:rPr>
          <w:i/>
        </w:rPr>
        <w:t>SD</w:t>
      </w:r>
      <w:r w:rsidRPr="00EE0520">
        <w:t xml:space="preserve"> = 4.19), </w:t>
      </w:r>
      <w:r w:rsidRPr="00EE0520">
        <w:rPr>
          <w:i/>
        </w:rPr>
        <w:t>t</w:t>
      </w:r>
      <w:r w:rsidRPr="00EE0520">
        <w:t xml:space="preserve">(179.22) = 8.54, </w:t>
      </w:r>
      <w:r w:rsidRPr="00EE0520">
        <w:rPr>
          <w:i/>
        </w:rPr>
        <w:t>p</w:t>
      </w:r>
      <w:r w:rsidRPr="00EE0520">
        <w:t xml:space="preserve"> &lt; .001, </w:t>
      </w:r>
      <w:r w:rsidR="00FE540E" w:rsidRPr="00EE0520">
        <w:t xml:space="preserve">Cohen’s </w:t>
      </w:r>
      <w:r w:rsidRPr="00EE0520">
        <w:rPr>
          <w:i/>
        </w:rPr>
        <w:t>d</w:t>
      </w:r>
      <w:r w:rsidRPr="00EE0520">
        <w:t xml:space="preserve"> = 1.25, 95% CI = [0.93, 1.56], </w:t>
      </w:r>
      <w:commentRangeStart w:id="1"/>
      <w:r w:rsidR="00475068" w:rsidRPr="00EE0520">
        <w:t>BF</w:t>
      </w:r>
      <w:r w:rsidR="00475068" w:rsidRPr="00EE0520">
        <w:rPr>
          <w:vertAlign w:val="subscript"/>
        </w:rPr>
        <w:t>10</w:t>
      </w:r>
      <w:r w:rsidR="00475068" w:rsidRPr="00EE0520">
        <w:t xml:space="preserve"> </w:t>
      </w:r>
      <w:r w:rsidR="00B650DE" w:rsidRPr="00EE0520">
        <w:t>&gt; 1 trillion</w:t>
      </w:r>
      <w:commentRangeEnd w:id="1"/>
      <w:r w:rsidR="002075C5" w:rsidRPr="00EE0520">
        <w:rPr>
          <w:rStyle w:val="CommentReference"/>
        </w:rPr>
        <w:commentReference w:id="1"/>
      </w:r>
      <w:r w:rsidRPr="00EE0520">
        <w:t>.</w:t>
      </w:r>
    </w:p>
    <w:p w14:paraId="20475559" w14:textId="0E8F00E3" w:rsidR="00E55B74" w:rsidRPr="00EE0520" w:rsidRDefault="00E55B74" w:rsidP="00E55B74">
      <w:pPr>
        <w:ind w:firstLine="0"/>
        <w:rPr>
          <w:b/>
        </w:rPr>
      </w:pPr>
      <w:r w:rsidRPr="00EE0520">
        <w:rPr>
          <w:b/>
        </w:rPr>
        <w:t>Behavioural intentions</w:t>
      </w:r>
    </w:p>
    <w:p w14:paraId="4068D9F6" w14:textId="77777777" w:rsidR="00E55B74" w:rsidRPr="00EE0520" w:rsidRDefault="00E55B74" w:rsidP="00E55B74">
      <w:r w:rsidRPr="00EE0520">
        <w:t xml:space="preserve">Data from the behavioural intentions question were entered into a multinomial logistic regression with CSI as the reference category. Only results from the CS1-CS2 comparison are relevant to the hypothesis and will be reported here. Results demonstrated that participants responses of CS1 relative to CS2 differed between the two conditions, congruent with training, OR = 7.09, 95% CI = [2.92, 17.21], </w:t>
      </w:r>
      <w:r w:rsidRPr="00EE0520">
        <w:rPr>
          <w:i/>
        </w:rPr>
        <w:t>p</w:t>
      </w:r>
      <w:r w:rsidRPr="00EE0520">
        <w:t xml:space="preserve"> &lt; .001.</w:t>
      </w:r>
    </w:p>
    <w:p w14:paraId="38FA4490" w14:textId="77777777" w:rsidR="00C20C9B" w:rsidRPr="00EE0520" w:rsidRDefault="00C20C9B" w:rsidP="00E55B74"/>
    <w:p w14:paraId="743E5CB3" w14:textId="77777777" w:rsidR="00C20C9B" w:rsidRPr="00EE0520" w:rsidRDefault="00C20C9B" w:rsidP="00E55B74"/>
    <w:p w14:paraId="6FC4C504" w14:textId="77777777" w:rsidR="008D4491" w:rsidRPr="00EE0520" w:rsidRDefault="008D4491" w:rsidP="008D4491">
      <w:pPr>
        <w:ind w:firstLine="0"/>
        <w:jc w:val="center"/>
        <w:rPr>
          <w:b/>
        </w:rPr>
      </w:pPr>
      <w:r w:rsidRPr="00EE0520">
        <w:rPr>
          <w:b/>
        </w:rPr>
        <w:t>Meta analyses</w:t>
      </w:r>
    </w:p>
    <w:p w14:paraId="0C998855" w14:textId="78552B83" w:rsidR="00F23647" w:rsidRPr="00EE0520" w:rsidRDefault="008D4491" w:rsidP="00FE540E">
      <w:r w:rsidRPr="00EE0520">
        <w:t>Random effects meta analyses were fitted using the metafor R package (Viechtbauer, 2010)</w:t>
      </w:r>
      <w:r w:rsidR="0067615A" w:rsidRPr="00EE0520">
        <w:t xml:space="preserve"> and the</w:t>
      </w:r>
      <w:r w:rsidRPr="00EE0520">
        <w:t xml:space="preserve"> maximum </w:t>
      </w:r>
      <w:r w:rsidR="00EE0520" w:rsidRPr="00EE0520">
        <w:t>likelihood</w:t>
      </w:r>
      <w:r w:rsidRPr="00EE0520">
        <w:t xml:space="preserve"> </w:t>
      </w:r>
      <w:r w:rsidR="0067615A" w:rsidRPr="00EE0520">
        <w:t xml:space="preserve">estimator </w:t>
      </w:r>
      <w:r w:rsidR="00747AF0" w:rsidRPr="00EE0520">
        <w:t>function</w:t>
      </w:r>
      <w:r w:rsidRPr="00EE0520">
        <w:t>.</w:t>
      </w:r>
      <w:r w:rsidR="00FE540E" w:rsidRPr="00EE0520">
        <w:t xml:space="preserve"> </w:t>
      </w:r>
      <w:r w:rsidRPr="00EE0520">
        <w:t xml:space="preserve">A separate meta analysis was fitted for each outcome variable (IAT, self reported ratings, behavioural intentions). Although multivariate meta analysis was a possible alternative, previous work has traditionally assessed these </w:t>
      </w:r>
      <w:r w:rsidR="00073C23" w:rsidRPr="00EE0520">
        <w:t>dependent</w:t>
      </w:r>
      <w:r w:rsidRPr="00EE0520">
        <w:t xml:space="preserve"> variables separately.</w:t>
      </w:r>
    </w:p>
    <w:p w14:paraId="4B45BCE7" w14:textId="6B72A349" w:rsidR="004E6170" w:rsidRPr="00EE0520" w:rsidRDefault="004E6170" w:rsidP="004E6170">
      <w:pPr>
        <w:ind w:firstLine="0"/>
        <w:rPr>
          <w:b/>
        </w:rPr>
      </w:pPr>
      <w:r w:rsidRPr="00EE0520">
        <w:rPr>
          <w:b/>
        </w:rPr>
        <w:t>IAT</w:t>
      </w:r>
    </w:p>
    <w:p w14:paraId="328B62CA" w14:textId="508229C0" w:rsidR="004E6170" w:rsidRPr="00EE0520" w:rsidRDefault="00EF439B" w:rsidP="00A227D8">
      <w:r w:rsidRPr="00EE0520">
        <w:t xml:space="preserve">Results demonstrated a significant effect of medium size (Cohen, 1988): </w:t>
      </w:r>
      <w:r w:rsidRPr="00EE0520">
        <w:rPr>
          <w:i/>
        </w:rPr>
        <w:t>k</w:t>
      </w:r>
      <w:r w:rsidRPr="00EE0520">
        <w:t xml:space="preserve"> = 5, Cohen’s </w:t>
      </w:r>
      <w:r w:rsidRPr="00EE0520">
        <w:rPr>
          <w:i/>
        </w:rPr>
        <w:t>d</w:t>
      </w:r>
      <w:r w:rsidRPr="00EE0520">
        <w:t xml:space="preserve"> = 0.61, 95% CI = [0.13, 1.08], 95% CR = [-0.49, 1.7</w:t>
      </w:r>
      <w:r w:rsidR="00D1382C" w:rsidRPr="00EE0520">
        <w:t>0</w:t>
      </w:r>
      <w:r w:rsidRPr="00EE0520">
        <w:t xml:space="preserve">], </w:t>
      </w:r>
      <w:r w:rsidRPr="00EE0520">
        <w:rPr>
          <w:i/>
        </w:rPr>
        <w:t>p</w:t>
      </w:r>
      <w:r w:rsidRPr="00EE0520">
        <w:t xml:space="preserve"> = .012.</w:t>
      </w:r>
      <w:r w:rsidR="00F611C0" w:rsidRPr="00EE0520">
        <w:t xml:space="preserve"> However, r</w:t>
      </w:r>
      <w:r w:rsidRPr="00EE0520">
        <w:t>esults were found to contain</w:t>
      </w:r>
      <w:r w:rsidR="00F611C0" w:rsidRPr="00EE0520">
        <w:t xml:space="preserve"> a high degree of heterogeneity,</w:t>
      </w:r>
      <w:r w:rsidRPr="00EE0520">
        <w:t xml:space="preserve"> Q(df = 4) = 28.46, </w:t>
      </w:r>
      <w:r w:rsidRPr="00EE0520">
        <w:rPr>
          <w:i/>
        </w:rPr>
        <w:t>p</w:t>
      </w:r>
      <w:r w:rsidRPr="00EE0520">
        <w:t xml:space="preserve"> = 0.012, </w:t>
      </w:r>
      <w:r w:rsidR="00F61A05" w:rsidRPr="00EE0520">
        <w:t>τ</w:t>
      </w:r>
      <w:r w:rsidR="00F61A05" w:rsidRPr="00EE0520">
        <w:rPr>
          <w:vertAlign w:val="superscript"/>
        </w:rPr>
        <w:t>2</w:t>
      </w:r>
      <w:r w:rsidR="00F61A05" w:rsidRPr="00EE0520">
        <w:t xml:space="preserve"> </w:t>
      </w:r>
      <w:r w:rsidR="00227FE2" w:rsidRPr="00EE0520">
        <w:t xml:space="preserve">= 0.25, </w:t>
      </w:r>
      <w:r w:rsidR="00227FE2" w:rsidRPr="00EE0520">
        <w:rPr>
          <w:i/>
        </w:rPr>
        <w:t>I</w:t>
      </w:r>
      <w:r w:rsidRPr="00EE0520">
        <w:rPr>
          <w:vertAlign w:val="superscript"/>
        </w:rPr>
        <w:t>2</w:t>
      </w:r>
      <w:r w:rsidR="00D1382C" w:rsidRPr="00EE0520">
        <w:t xml:space="preserve"> = 88.34, </w:t>
      </w:r>
      <w:r w:rsidR="00D1382C" w:rsidRPr="00EE0520">
        <w:rPr>
          <w:i/>
        </w:rPr>
        <w:t>H</w:t>
      </w:r>
      <w:r w:rsidR="00D1382C" w:rsidRPr="00EE0520">
        <w:rPr>
          <w:vertAlign w:val="superscript"/>
        </w:rPr>
        <w:t>2</w:t>
      </w:r>
      <w:r w:rsidRPr="00EE0520">
        <w:t xml:space="preserve"> = 8.57.</w:t>
      </w:r>
      <w:r w:rsidR="00F611C0" w:rsidRPr="00EE0520">
        <w:t xml:space="preserve"> </w:t>
      </w:r>
      <w:r w:rsidR="003F32D9" w:rsidRPr="00EE0520">
        <w:t xml:space="preserve">As such, </w:t>
      </w:r>
      <w:r w:rsidR="00F611C0" w:rsidRPr="00EE0520">
        <w:t xml:space="preserve">the presence of outlier experiments was assessed using metrics of </w:t>
      </w:r>
      <w:r w:rsidR="009570C6" w:rsidRPr="00EE0520">
        <w:t>excessive</w:t>
      </w:r>
      <w:r w:rsidR="00F611C0" w:rsidRPr="00EE0520">
        <w:t xml:space="preserve"> influence on the </w:t>
      </w:r>
      <w:r w:rsidR="009570C6" w:rsidRPr="00EE0520">
        <w:t xml:space="preserve">meta </w:t>
      </w:r>
      <w:r w:rsidR="00073C23" w:rsidRPr="00EE0520">
        <w:t>analyzed</w:t>
      </w:r>
      <w:r w:rsidR="009570C6" w:rsidRPr="00EE0520">
        <w:t xml:space="preserve"> effect size and/or excessive influence on </w:t>
      </w:r>
      <w:r w:rsidR="00EE0520" w:rsidRPr="00EE0520">
        <w:t>heterogeneity</w:t>
      </w:r>
      <w:r w:rsidR="009570C6" w:rsidRPr="00EE0520">
        <w:t xml:space="preserve"> (</w:t>
      </w:r>
      <w:r w:rsidR="00D1382C" w:rsidRPr="00EE0520">
        <w:t>τ</w:t>
      </w:r>
      <w:r w:rsidR="00D1382C" w:rsidRPr="00EE0520">
        <w:rPr>
          <w:vertAlign w:val="superscript"/>
        </w:rPr>
        <w:t>2</w:t>
      </w:r>
      <w:r w:rsidR="009570C6" w:rsidRPr="00EE0520">
        <w:t>)</w:t>
      </w:r>
      <w:r w:rsidR="00527ABC" w:rsidRPr="00EE0520">
        <w:t xml:space="preserve"> via leave-one-out analyses</w:t>
      </w:r>
      <w:r w:rsidR="009570C6" w:rsidRPr="00EE0520">
        <w:t xml:space="preserve">. </w:t>
      </w:r>
      <w:r w:rsidR="00CC5879" w:rsidRPr="00EE0520">
        <w:t xml:space="preserve">The </w:t>
      </w:r>
      <w:r w:rsidR="00115DBE" w:rsidRPr="00EE0520">
        <w:t>consistency of results across all three outcome variables (i.e., IAT, self-reports, and behavioural intentions; see below) was</w:t>
      </w:r>
      <w:r w:rsidR="00CC5879" w:rsidRPr="00EE0520">
        <w:t xml:space="preserve"> assessed when determining outliers. Assessment of all three outcome variables uniformly suggested that Experiment 2 was an outlier</w:t>
      </w:r>
      <w:r w:rsidR="00B80F4B" w:rsidRPr="00EE0520">
        <w:t xml:space="preserve"> on the basis of undue influence on both the meta </w:t>
      </w:r>
      <w:r w:rsidR="00115DBE" w:rsidRPr="00EE0520">
        <w:t>analyzed</w:t>
      </w:r>
      <w:r w:rsidR="00B80F4B" w:rsidRPr="00EE0520">
        <w:t xml:space="preserve"> effect size and heterogeneity</w:t>
      </w:r>
      <w:r w:rsidR="00CC5879" w:rsidRPr="00EE0520">
        <w:t xml:space="preserve">. </w:t>
      </w:r>
      <w:r w:rsidR="000A32C3" w:rsidRPr="00EE0520">
        <w:t>As such, E</w:t>
      </w:r>
      <w:r w:rsidR="00B80F4B" w:rsidRPr="00EE0520">
        <w:t xml:space="preserve">xperiment 2 was excluded and a second meta </w:t>
      </w:r>
      <w:r w:rsidR="00EE0520" w:rsidRPr="00EE0520">
        <w:t>analysis</w:t>
      </w:r>
      <w:r w:rsidR="00B80F4B" w:rsidRPr="00EE0520">
        <w:t xml:space="preserve"> was refit. After exclusions, the meta </w:t>
      </w:r>
      <w:r w:rsidR="00115DBE" w:rsidRPr="00EE0520">
        <w:t>analyzed</w:t>
      </w:r>
      <w:r w:rsidR="00B80F4B" w:rsidRPr="00EE0520">
        <w:t xml:space="preserve"> effect size was still found to be significant and was now of large size, </w:t>
      </w:r>
      <w:r w:rsidR="00B80F4B" w:rsidRPr="00EE0520">
        <w:rPr>
          <w:i/>
        </w:rPr>
        <w:t>k</w:t>
      </w:r>
      <w:r w:rsidR="00B80F4B" w:rsidRPr="00EE0520">
        <w:t xml:space="preserve"> = 4, Cohen’s </w:t>
      </w:r>
      <w:r w:rsidR="00B80F4B" w:rsidRPr="00EE0520">
        <w:rPr>
          <w:i/>
        </w:rPr>
        <w:t>d</w:t>
      </w:r>
      <w:r w:rsidR="00B80F4B" w:rsidRPr="00EE0520">
        <w:t xml:space="preserve"> = 0.8</w:t>
      </w:r>
      <w:r w:rsidR="00527ABC" w:rsidRPr="00EE0520">
        <w:t>0</w:t>
      </w:r>
      <w:r w:rsidR="00B80F4B" w:rsidRPr="00EE0520">
        <w:t>, 95% CI = [0.49, 1.1</w:t>
      </w:r>
      <w:r w:rsidR="00527ABC" w:rsidRPr="00EE0520">
        <w:t>0</w:t>
      </w:r>
      <w:r w:rsidR="00B80F4B" w:rsidRPr="00EE0520">
        <w:t xml:space="preserve">], 95% CR = [0.22, 1.37], </w:t>
      </w:r>
      <w:r w:rsidR="00B80F4B" w:rsidRPr="00EE0520">
        <w:rPr>
          <w:i/>
        </w:rPr>
        <w:t>p</w:t>
      </w:r>
      <w:r w:rsidR="00B80F4B" w:rsidRPr="00EE0520">
        <w:t xml:space="preserve"> &lt; .001, and with lower heterogeneity, Q(df = 3) = 8.08, </w:t>
      </w:r>
      <w:r w:rsidR="00B80F4B" w:rsidRPr="00EE0520">
        <w:rPr>
          <w:i/>
        </w:rPr>
        <w:t>p</w:t>
      </w:r>
      <w:r w:rsidR="00B80F4B" w:rsidRPr="00EE0520">
        <w:t xml:space="preserve"> = &lt; .001, </w:t>
      </w:r>
      <w:r w:rsidR="00F61A05" w:rsidRPr="00EE0520">
        <w:t>τ</w:t>
      </w:r>
      <w:r w:rsidR="00F61A05" w:rsidRPr="00EE0520">
        <w:rPr>
          <w:vertAlign w:val="superscript"/>
        </w:rPr>
        <w:t>2</w:t>
      </w:r>
      <w:r w:rsidR="00F61A05" w:rsidRPr="00EE0520">
        <w:t xml:space="preserve"> </w:t>
      </w:r>
      <w:r w:rsidR="00227FE2" w:rsidRPr="00EE0520">
        <w:t xml:space="preserve">= 0.06, </w:t>
      </w:r>
      <w:r w:rsidR="00227FE2" w:rsidRPr="00EE0520">
        <w:rPr>
          <w:i/>
        </w:rPr>
        <w:t>I</w:t>
      </w:r>
      <w:r w:rsidR="00227FE2" w:rsidRPr="00EE0520">
        <w:rPr>
          <w:vertAlign w:val="superscript"/>
        </w:rPr>
        <w:t>2</w:t>
      </w:r>
      <w:r w:rsidR="00D1382C" w:rsidRPr="00EE0520">
        <w:t xml:space="preserve"> = 65.47, </w:t>
      </w:r>
      <w:r w:rsidR="00D1382C" w:rsidRPr="00EE0520">
        <w:rPr>
          <w:i/>
        </w:rPr>
        <w:t>H</w:t>
      </w:r>
      <w:r w:rsidR="00D1382C" w:rsidRPr="00EE0520">
        <w:rPr>
          <w:vertAlign w:val="superscript"/>
        </w:rPr>
        <w:t>2</w:t>
      </w:r>
      <w:r w:rsidR="00B80F4B" w:rsidRPr="00EE0520">
        <w:t xml:space="preserve"> = 2.9</w:t>
      </w:r>
      <w:r w:rsidR="00527ABC" w:rsidRPr="00EE0520">
        <w:t>0</w:t>
      </w:r>
      <w:r w:rsidR="00B80F4B" w:rsidRPr="00EE0520">
        <w:t>.</w:t>
      </w:r>
    </w:p>
    <w:p w14:paraId="2CD6A76F" w14:textId="34A8F984" w:rsidR="00F34577" w:rsidRPr="00EE0520" w:rsidRDefault="00F34577" w:rsidP="00F34577">
      <w:pPr>
        <w:ind w:firstLine="0"/>
        <w:rPr>
          <w:b/>
        </w:rPr>
      </w:pPr>
      <w:r w:rsidRPr="00EE0520">
        <w:rPr>
          <w:b/>
        </w:rPr>
        <w:t>Self-report ratings</w:t>
      </w:r>
    </w:p>
    <w:p w14:paraId="6686F117" w14:textId="57F7ED42" w:rsidR="00F34577" w:rsidRPr="00EE0520" w:rsidRDefault="00F34577" w:rsidP="00F34577">
      <w:r w:rsidRPr="00EE0520">
        <w:t xml:space="preserve">Results demonstrated that the meta analytic effect was significant and of large size, k = </w:t>
      </w:r>
      <w:r w:rsidRPr="00EE0520">
        <w:rPr>
          <w:i/>
        </w:rPr>
        <w:t>5</w:t>
      </w:r>
      <w:r w:rsidRPr="00EE0520">
        <w:t xml:space="preserve">, Cohen’s </w:t>
      </w:r>
      <w:r w:rsidRPr="00EE0520">
        <w:rPr>
          <w:i/>
        </w:rPr>
        <w:t>d</w:t>
      </w:r>
      <w:r w:rsidRPr="00EE0520">
        <w:t xml:space="preserve"> = 0.99, 95% CI = [0.38, 1.6</w:t>
      </w:r>
      <w:r w:rsidR="001D6768" w:rsidRPr="00EE0520">
        <w:t>0</w:t>
      </w:r>
      <w:r w:rsidRPr="00EE0520">
        <w:t xml:space="preserve">], 95% CR = [-0.46, 2.44], </w:t>
      </w:r>
      <w:r w:rsidRPr="00EE0520">
        <w:rPr>
          <w:i/>
        </w:rPr>
        <w:t>p</w:t>
      </w:r>
      <w:r w:rsidRPr="00EE0520">
        <w:t xml:space="preserve"> = .002, but with a high degree of heterogeneity: Q(df = 4) = 48.03, </w:t>
      </w:r>
      <w:r w:rsidRPr="00EE0520">
        <w:rPr>
          <w:i/>
        </w:rPr>
        <w:t>p</w:t>
      </w:r>
      <w:r w:rsidRPr="00EE0520">
        <w:t xml:space="preserve"> = 0.002, </w:t>
      </w:r>
      <w:r w:rsidR="00F61A05" w:rsidRPr="00EE0520">
        <w:t>τ</w:t>
      </w:r>
      <w:r w:rsidR="00F61A05" w:rsidRPr="00EE0520">
        <w:rPr>
          <w:vertAlign w:val="superscript"/>
        </w:rPr>
        <w:t>2</w:t>
      </w:r>
      <w:r w:rsidR="00F61A05" w:rsidRPr="00EE0520">
        <w:t xml:space="preserve"> </w:t>
      </w:r>
      <w:r w:rsidR="00BF07C2" w:rsidRPr="00EE0520">
        <w:t xml:space="preserve">= 0.45, </w:t>
      </w:r>
      <w:r w:rsidR="00BF07C2" w:rsidRPr="00EE0520">
        <w:rPr>
          <w:i/>
        </w:rPr>
        <w:t>I</w:t>
      </w:r>
      <w:r w:rsidR="00BF07C2" w:rsidRPr="00EE0520">
        <w:rPr>
          <w:vertAlign w:val="superscript"/>
        </w:rPr>
        <w:t>2</w:t>
      </w:r>
      <w:r w:rsidR="00D1382C" w:rsidRPr="00EE0520">
        <w:t xml:space="preserve"> = 92.53, </w:t>
      </w:r>
      <w:r w:rsidR="00D1382C" w:rsidRPr="00EE0520">
        <w:rPr>
          <w:i/>
        </w:rPr>
        <w:t>H</w:t>
      </w:r>
      <w:r w:rsidR="00D1382C" w:rsidRPr="00EE0520">
        <w:rPr>
          <w:vertAlign w:val="superscript"/>
        </w:rPr>
        <w:t>2</w:t>
      </w:r>
      <w:r w:rsidRPr="00EE0520">
        <w:t xml:space="preserve"> = 13.39. After excluding Experiment 2 as an outlier, the meta </w:t>
      </w:r>
      <w:r w:rsidR="00115DBE" w:rsidRPr="00EE0520">
        <w:t>analyzed</w:t>
      </w:r>
      <w:r w:rsidRPr="00EE0520">
        <w:t xml:space="preserve"> effect size was still significant but was now of very large size (Sawilowsky, 2009), </w:t>
      </w:r>
      <w:r w:rsidRPr="00EE0520">
        <w:rPr>
          <w:i/>
        </w:rPr>
        <w:t>k</w:t>
      </w:r>
      <w:r w:rsidRPr="00EE0520">
        <w:t xml:space="preserve"> = 4, Cohen’s </w:t>
      </w:r>
      <w:r w:rsidRPr="00EE0520">
        <w:rPr>
          <w:i/>
        </w:rPr>
        <w:t>d</w:t>
      </w:r>
      <w:r w:rsidRPr="00EE0520">
        <w:t xml:space="preserve"> = 1.26, 95% CI = [1.08, 1.44], 95% CR = [1.08, 1.44], </w:t>
      </w:r>
      <w:r w:rsidRPr="00EE0520">
        <w:rPr>
          <w:i/>
        </w:rPr>
        <w:t>p</w:t>
      </w:r>
      <w:r w:rsidRPr="00EE0520">
        <w:t xml:space="preserve"> &lt; .001, and with </w:t>
      </w:r>
      <w:r w:rsidR="00115DBE" w:rsidRPr="00EE0520">
        <w:t>negligible</w:t>
      </w:r>
      <w:r w:rsidRPr="00EE0520">
        <w:t xml:space="preserve"> heterogeneity, Q(df = 3) = 3.66, </w:t>
      </w:r>
      <w:r w:rsidRPr="00EE0520">
        <w:rPr>
          <w:i/>
        </w:rPr>
        <w:t>p</w:t>
      </w:r>
      <w:r w:rsidRPr="00EE0520">
        <w:t xml:space="preserve"> = &lt; .001, </w:t>
      </w:r>
      <w:r w:rsidR="00F61A05" w:rsidRPr="00EE0520">
        <w:t>τ</w:t>
      </w:r>
      <w:r w:rsidR="00F61A05" w:rsidRPr="00EE0520">
        <w:rPr>
          <w:vertAlign w:val="superscript"/>
        </w:rPr>
        <w:t>2</w:t>
      </w:r>
      <w:r w:rsidR="00F61A05" w:rsidRPr="00EE0520">
        <w:t xml:space="preserve"> </w:t>
      </w:r>
      <w:r w:rsidR="00BF07C2" w:rsidRPr="00EE0520">
        <w:t xml:space="preserve">= 0, </w:t>
      </w:r>
      <w:r w:rsidR="00BF07C2" w:rsidRPr="00EE0520">
        <w:rPr>
          <w:i/>
        </w:rPr>
        <w:t>I</w:t>
      </w:r>
      <w:r w:rsidR="00BF07C2" w:rsidRPr="00EE0520">
        <w:rPr>
          <w:vertAlign w:val="superscript"/>
        </w:rPr>
        <w:t>2</w:t>
      </w:r>
      <w:r w:rsidR="00D1382C" w:rsidRPr="00EE0520">
        <w:t xml:space="preserve"> = 0.01, </w:t>
      </w:r>
      <w:r w:rsidR="00D1382C" w:rsidRPr="00EE0520">
        <w:rPr>
          <w:i/>
        </w:rPr>
        <w:t>H</w:t>
      </w:r>
      <w:r w:rsidR="00D1382C" w:rsidRPr="00EE0520">
        <w:rPr>
          <w:vertAlign w:val="superscript"/>
        </w:rPr>
        <w:t>2</w:t>
      </w:r>
      <w:r w:rsidRPr="00EE0520">
        <w:t xml:space="preserve"> = 1</w:t>
      </w:r>
      <w:r w:rsidR="00536018" w:rsidRPr="00EE0520">
        <w:t>.00</w:t>
      </w:r>
      <w:r w:rsidRPr="00EE0520">
        <w:t>.</w:t>
      </w:r>
    </w:p>
    <w:p w14:paraId="14CA67C5" w14:textId="5BD9143E" w:rsidR="00A227D8" w:rsidRPr="00EE0520" w:rsidRDefault="00A227D8" w:rsidP="00A227D8">
      <w:pPr>
        <w:ind w:firstLine="0"/>
        <w:rPr>
          <w:b/>
        </w:rPr>
      </w:pPr>
      <w:r w:rsidRPr="00EE0520">
        <w:rPr>
          <w:b/>
        </w:rPr>
        <w:t>Behavioural intentions</w:t>
      </w:r>
    </w:p>
    <w:p w14:paraId="0F11FE42" w14:textId="6A1DC2C2" w:rsidR="00BD53FE" w:rsidRPr="00EE0520" w:rsidRDefault="0074554A" w:rsidP="007A1F8D">
      <w:r w:rsidRPr="00EE0520">
        <w:t xml:space="preserve">Results demonstrated a </w:t>
      </w:r>
      <w:r w:rsidR="000A32C3" w:rsidRPr="00EE0520">
        <w:t>non-</w:t>
      </w:r>
      <w:r w:rsidRPr="00EE0520">
        <w:t>significant meta analytic effect of medium si</w:t>
      </w:r>
      <w:r w:rsidR="000A32C3" w:rsidRPr="00EE0520">
        <w:t xml:space="preserve">ze (Chen, Cohen, &amp; Chen, 2010), </w:t>
      </w:r>
      <w:r w:rsidRPr="00EE0520">
        <w:rPr>
          <w:i/>
        </w:rPr>
        <w:t>k</w:t>
      </w:r>
      <w:r w:rsidRPr="00EE0520">
        <w:t xml:space="preserve"> = 5, </w:t>
      </w:r>
      <w:r w:rsidR="000A32C3" w:rsidRPr="00EE0520">
        <w:t>OR</w:t>
      </w:r>
      <w:r w:rsidRPr="00EE0520">
        <w:t xml:space="preserve"> = 3.71, 95% CI = [0.9</w:t>
      </w:r>
      <w:r w:rsidR="000A32C3" w:rsidRPr="00EE0520">
        <w:t>0</w:t>
      </w:r>
      <w:r w:rsidRPr="00EE0520">
        <w:t xml:space="preserve">, 15.33], 95% CR = [0.14, 99.48], </w:t>
      </w:r>
      <w:r w:rsidRPr="00EE0520">
        <w:rPr>
          <w:i/>
        </w:rPr>
        <w:t>p</w:t>
      </w:r>
      <w:r w:rsidRPr="00EE0520">
        <w:t xml:space="preserve"> = .07, </w:t>
      </w:r>
      <w:r w:rsidR="000A32C3" w:rsidRPr="00EE0520">
        <w:t xml:space="preserve">and with </w:t>
      </w:r>
      <w:r w:rsidRPr="00EE0520">
        <w:t xml:space="preserve">a high degree of heterogeneity: Q(df = 4) = 32.06, </w:t>
      </w:r>
      <w:r w:rsidRPr="00EE0520">
        <w:rPr>
          <w:i/>
        </w:rPr>
        <w:t xml:space="preserve">p </w:t>
      </w:r>
      <w:r w:rsidRPr="00EE0520">
        <w:t xml:space="preserve">= 0.07, </w:t>
      </w:r>
      <w:r w:rsidR="00F61A05" w:rsidRPr="00EE0520">
        <w:t>τ</w:t>
      </w:r>
      <w:r w:rsidR="00F61A05" w:rsidRPr="00EE0520">
        <w:rPr>
          <w:vertAlign w:val="superscript"/>
        </w:rPr>
        <w:t>2</w:t>
      </w:r>
      <w:r w:rsidR="00F61A05" w:rsidRPr="00EE0520">
        <w:t xml:space="preserve"> </w:t>
      </w:r>
      <w:r w:rsidR="00BF07C2" w:rsidRPr="00EE0520">
        <w:t xml:space="preserve">= 2.29, </w:t>
      </w:r>
      <w:r w:rsidR="00BF07C2" w:rsidRPr="00EE0520">
        <w:rPr>
          <w:i/>
        </w:rPr>
        <w:t>I</w:t>
      </w:r>
      <w:r w:rsidR="00BF07C2" w:rsidRPr="00EE0520">
        <w:rPr>
          <w:vertAlign w:val="superscript"/>
        </w:rPr>
        <w:t>2</w:t>
      </w:r>
      <w:r w:rsidR="00D1382C" w:rsidRPr="00EE0520">
        <w:t xml:space="preserve"> = 88.29, </w:t>
      </w:r>
      <w:r w:rsidR="00D1382C" w:rsidRPr="00EE0520">
        <w:rPr>
          <w:i/>
        </w:rPr>
        <w:t>H</w:t>
      </w:r>
      <w:r w:rsidR="00D1382C" w:rsidRPr="00EE0520">
        <w:rPr>
          <w:vertAlign w:val="superscript"/>
        </w:rPr>
        <w:t>2</w:t>
      </w:r>
      <w:r w:rsidRPr="00EE0520">
        <w:t xml:space="preserve"> = 8.54</w:t>
      </w:r>
      <w:r w:rsidR="000A32C3" w:rsidRPr="00EE0520">
        <w:t xml:space="preserve">. After excluding Experiment 2 as an outlier, the meta </w:t>
      </w:r>
      <w:r w:rsidR="00115DBE" w:rsidRPr="00EE0520">
        <w:t>analyzed</w:t>
      </w:r>
      <w:r w:rsidR="000A32C3" w:rsidRPr="00EE0520">
        <w:t xml:space="preserve"> effect size was significant and of large size, </w:t>
      </w:r>
      <w:r w:rsidR="000A32C3" w:rsidRPr="00EE0520">
        <w:rPr>
          <w:i/>
        </w:rPr>
        <w:t>k</w:t>
      </w:r>
      <w:r w:rsidR="000A32C3" w:rsidRPr="00EE0520">
        <w:t xml:space="preserve"> = 4, OR = 7.03, 95% CI = [4.14, 11.94], 95% CR = [4.14, 11.94], </w:t>
      </w:r>
      <w:r w:rsidR="000A32C3" w:rsidRPr="00EE0520">
        <w:rPr>
          <w:i/>
        </w:rPr>
        <w:t>p</w:t>
      </w:r>
      <w:r w:rsidR="000A32C3" w:rsidRPr="00EE0520">
        <w:t xml:space="preserve"> &lt; .001, and with </w:t>
      </w:r>
      <w:r w:rsidR="00115DBE" w:rsidRPr="00EE0520">
        <w:t>negligible</w:t>
      </w:r>
      <w:r w:rsidR="000A32C3" w:rsidRPr="00EE0520">
        <w:t xml:space="preserve"> heterogeneity, Q(df = 3) = 1.42, </w:t>
      </w:r>
      <w:r w:rsidR="000A32C3" w:rsidRPr="00EE0520">
        <w:rPr>
          <w:i/>
        </w:rPr>
        <w:t>p</w:t>
      </w:r>
      <w:r w:rsidR="000A32C3" w:rsidRPr="00EE0520">
        <w:t xml:space="preserve"> =</w:t>
      </w:r>
      <w:r w:rsidR="00F61A05" w:rsidRPr="00EE0520">
        <w:t xml:space="preserve"> &lt; .001, τ</w:t>
      </w:r>
      <w:r w:rsidR="00F61A05" w:rsidRPr="00EE0520">
        <w:rPr>
          <w:vertAlign w:val="superscript"/>
        </w:rPr>
        <w:t>2</w:t>
      </w:r>
      <w:r w:rsidR="00F61A05" w:rsidRPr="00EE0520">
        <w:t xml:space="preserve"> </w:t>
      </w:r>
      <w:r w:rsidR="00BF07C2" w:rsidRPr="00EE0520">
        <w:t xml:space="preserve">= 0, </w:t>
      </w:r>
      <w:r w:rsidR="00BF07C2" w:rsidRPr="00EE0520">
        <w:rPr>
          <w:i/>
        </w:rPr>
        <w:t>I</w:t>
      </w:r>
      <w:r w:rsidR="00BF07C2" w:rsidRPr="00EE0520">
        <w:rPr>
          <w:vertAlign w:val="superscript"/>
        </w:rPr>
        <w:t>2</w:t>
      </w:r>
      <w:r w:rsidR="00D1382C" w:rsidRPr="00EE0520">
        <w:t xml:space="preserve"> = 0</w:t>
      </w:r>
      <w:r w:rsidR="00536018" w:rsidRPr="00EE0520">
        <w:t>.00</w:t>
      </w:r>
      <w:r w:rsidR="00D1382C" w:rsidRPr="00EE0520">
        <w:t xml:space="preserve">, </w:t>
      </w:r>
      <w:r w:rsidR="00D1382C" w:rsidRPr="00EE0520">
        <w:rPr>
          <w:i/>
        </w:rPr>
        <w:t>H</w:t>
      </w:r>
      <w:r w:rsidR="00D1382C" w:rsidRPr="00EE0520">
        <w:rPr>
          <w:vertAlign w:val="superscript"/>
        </w:rPr>
        <w:t>2</w:t>
      </w:r>
      <w:r w:rsidR="000A32C3" w:rsidRPr="00EE0520">
        <w:t xml:space="preserve"> = 1</w:t>
      </w:r>
      <w:r w:rsidR="00536018" w:rsidRPr="00EE0520">
        <w:t>.00</w:t>
      </w:r>
      <w:r w:rsidR="000A32C3" w:rsidRPr="00EE0520">
        <w:t>.</w:t>
      </w:r>
    </w:p>
    <w:p w14:paraId="2124CB28" w14:textId="667366CA" w:rsidR="00353751" w:rsidRPr="00EE0520" w:rsidRDefault="00BD53FE" w:rsidP="00353751">
      <w:pPr>
        <w:ind w:firstLine="0"/>
        <w:jc w:val="center"/>
        <w:rPr>
          <w:b/>
        </w:rPr>
      </w:pPr>
      <w:r w:rsidRPr="00EE0520">
        <w:rPr>
          <w:b/>
        </w:rPr>
        <w:t>Robustness tests</w:t>
      </w:r>
    </w:p>
    <w:p w14:paraId="14C16965" w14:textId="02565ACC" w:rsidR="00413C89" w:rsidRPr="00EE0520" w:rsidRDefault="00413C89" w:rsidP="00CB67E6">
      <w:r w:rsidRPr="00EE0520">
        <w:t xml:space="preserve">Following our preregistered analytic plan to examine the role of the exploratory awareness </w:t>
      </w:r>
      <w:r w:rsidR="00115DBE" w:rsidRPr="00EE0520">
        <w:t>variables</w:t>
      </w:r>
      <w:r w:rsidRPr="00EE0520">
        <w:t xml:space="preserve">, several subsets of participants were excluded and meta analytic models were again refit. This served to assess the robustness of the learning effect to </w:t>
      </w:r>
      <w:r w:rsidR="00115DBE" w:rsidRPr="00EE0520">
        <w:t>including</w:t>
      </w:r>
      <w:r w:rsidR="00CB67E6" w:rsidRPr="00EE0520">
        <w:t xml:space="preserve"> only participants who (</w:t>
      </w:r>
      <w:r w:rsidRPr="00EE0520">
        <w:t xml:space="preserve">a) were contingency aware, </w:t>
      </w:r>
      <w:r w:rsidR="00CB67E6" w:rsidRPr="00EE0520">
        <w:t xml:space="preserve">(b) </w:t>
      </w:r>
      <w:r w:rsidRPr="00EE0520">
        <w:t>were not demand compliant</w:t>
      </w:r>
      <w:r w:rsidR="00CB67E6" w:rsidRPr="00EE0520">
        <w:t xml:space="preserve">, (c) were </w:t>
      </w:r>
      <w:r w:rsidRPr="00EE0520">
        <w:t xml:space="preserve">not hypothesis aware, </w:t>
      </w:r>
      <w:r w:rsidR="00CB67E6" w:rsidRPr="00EE0520">
        <w:t xml:space="preserve">and (d) were </w:t>
      </w:r>
      <w:r w:rsidRPr="00EE0520">
        <w:t>not influence aware</w:t>
      </w:r>
      <w:r w:rsidR="00CB67E6" w:rsidRPr="00EE0520">
        <w:t>. T</w:t>
      </w:r>
      <w:r w:rsidRPr="00EE0520">
        <w:t xml:space="preserve">hese robustness tests </w:t>
      </w:r>
      <w:r w:rsidR="00CB67E6" w:rsidRPr="00EE0520">
        <w:t xml:space="preserve">were run subsequent to excluding Experiment 2 as an outlier. </w:t>
      </w:r>
      <w:r w:rsidR="00956741" w:rsidRPr="00EE0520">
        <w:t xml:space="preserve">For all </w:t>
      </w:r>
      <w:r w:rsidR="00115DBE" w:rsidRPr="00EE0520">
        <w:t>dependent</w:t>
      </w:r>
      <w:r w:rsidR="00956741" w:rsidRPr="00EE0520">
        <w:t xml:space="preserve"> variables (IAT, self-reports, behavioural intentions), and across all the above awareness types, meta analytic learning effects were found to be significant (all </w:t>
      </w:r>
      <w:r w:rsidR="00956741" w:rsidRPr="00EE0520">
        <w:rPr>
          <w:i/>
        </w:rPr>
        <w:t>p</w:t>
      </w:r>
      <w:r w:rsidR="00956741" w:rsidRPr="00EE0520">
        <w:t xml:space="preserve">s &lt;= .001). This was with one exception: differences in behavioural intentions between the groups were not robust to </w:t>
      </w:r>
      <w:r w:rsidR="0071045B" w:rsidRPr="00EE0520">
        <w:t>excluding individuals who were influence aware (</w:t>
      </w:r>
      <w:r w:rsidR="0071045B" w:rsidRPr="00EE0520">
        <w:rPr>
          <w:i/>
        </w:rPr>
        <w:t>p</w:t>
      </w:r>
      <w:r w:rsidR="0071045B" w:rsidRPr="00EE0520">
        <w:t xml:space="preserve"> = .09).</w:t>
      </w:r>
    </w:p>
    <w:p w14:paraId="5FA6A1A0" w14:textId="16935C22" w:rsidR="00353751" w:rsidRPr="00EE0520" w:rsidRDefault="00353751" w:rsidP="00353751">
      <w:pPr>
        <w:ind w:firstLine="0"/>
        <w:rPr>
          <w:b/>
        </w:rPr>
      </w:pPr>
    </w:p>
    <w:p w14:paraId="317C2A89" w14:textId="77777777" w:rsidR="000A32C3" w:rsidRPr="00EE0520" w:rsidRDefault="000A32C3" w:rsidP="000A32C3"/>
    <w:p w14:paraId="0378A7BC" w14:textId="77777777" w:rsidR="000A32C3" w:rsidRPr="00EE0520" w:rsidRDefault="000A32C3" w:rsidP="000A32C3"/>
    <w:p w14:paraId="12D3DC34" w14:textId="36D5A385" w:rsidR="0074554A" w:rsidRPr="00EE0520" w:rsidRDefault="0074554A" w:rsidP="0074554A"/>
    <w:p w14:paraId="032BF054" w14:textId="77777777" w:rsidR="00C7251D" w:rsidRPr="00EE0520" w:rsidRDefault="00C7251D" w:rsidP="00C7251D">
      <w:pPr>
        <w:ind w:firstLine="0"/>
      </w:pPr>
    </w:p>
    <w:sectPr w:rsidR="00C7251D" w:rsidRPr="00EE05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9-01-29T19:18:00Z" w:initials="IH">
    <w:p w14:paraId="1FC2594B" w14:textId="244F1089" w:rsidR="0071008E" w:rsidRDefault="0071008E">
      <w:pPr>
        <w:pStyle w:val="CommentText"/>
      </w:pPr>
      <w:r>
        <w:rPr>
          <w:rStyle w:val="CommentReference"/>
        </w:rPr>
        <w:annotationRef/>
      </w:r>
      <w:r>
        <w:t>Some of these are absurd – Sean, could you recheck in jasp on your machine to sanity check me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EB846" w14:textId="77777777" w:rsidR="0071008E" w:rsidRDefault="0071008E">
      <w:pPr>
        <w:spacing w:line="240" w:lineRule="auto"/>
      </w:pPr>
      <w:r>
        <w:separator/>
      </w:r>
    </w:p>
  </w:endnote>
  <w:endnote w:type="continuationSeparator" w:id="0">
    <w:p w14:paraId="58B4E172" w14:textId="77777777" w:rsidR="0071008E" w:rsidRDefault="00710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Segoe UI">
    <w:altName w:val="Times New Roman"/>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F7E69" w14:textId="77777777" w:rsidR="0071008E" w:rsidRDefault="0071008E">
      <w:pPr>
        <w:spacing w:line="240" w:lineRule="auto"/>
      </w:pPr>
      <w:r>
        <w:separator/>
      </w:r>
    </w:p>
  </w:footnote>
  <w:footnote w:type="continuationSeparator" w:id="0">
    <w:p w14:paraId="106859DC" w14:textId="77777777" w:rsidR="0071008E" w:rsidRDefault="0071008E">
      <w:pPr>
        <w:spacing w:line="240" w:lineRule="auto"/>
      </w:pPr>
      <w:r>
        <w:continuationSeparator/>
      </w:r>
    </w:p>
  </w:footnote>
  <w:footnote w:id="1">
    <w:p w14:paraId="6CD6DFB3" w14:textId="319BC92A" w:rsidR="0071008E" w:rsidRDefault="0071008E">
      <w:pPr>
        <w:pStyle w:val="FootnoteText"/>
      </w:pPr>
      <w:r>
        <w:rPr>
          <w:rStyle w:val="FootnoteReference"/>
        </w:rPr>
        <w:footnoteRef/>
      </w:r>
      <w:r>
        <w:t xml:space="preserve"> All Bayes Factors employed a default prior employed within the </w:t>
      </w:r>
      <w:proofErr w:type="spellStart"/>
      <w:r>
        <w:t>BayesFactor</w:t>
      </w:r>
      <w:proofErr w:type="spellEnd"/>
      <w:r>
        <w:t xml:space="preserve"> R package: a Cauchy distribution with scaling factor 0.707 placed on the effect size.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D756C3D"/>
    <w:multiLevelType w:val="multilevel"/>
    <w:tmpl w:val="765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2E75C9"/>
    <w:multiLevelType w:val="multilevel"/>
    <w:tmpl w:val="03B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016580"/>
    <w:multiLevelType w:val="multilevel"/>
    <w:tmpl w:val="640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B079E"/>
    <w:multiLevelType w:val="multilevel"/>
    <w:tmpl w:val="F3D0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62116"/>
    <w:multiLevelType w:val="multilevel"/>
    <w:tmpl w:val="1B9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458F2"/>
    <w:multiLevelType w:val="multilevel"/>
    <w:tmpl w:val="00CE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F1A7B"/>
    <w:multiLevelType w:val="multilevel"/>
    <w:tmpl w:val="31F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A7236"/>
    <w:multiLevelType w:val="multilevel"/>
    <w:tmpl w:val="988E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E2999"/>
    <w:multiLevelType w:val="multilevel"/>
    <w:tmpl w:val="24B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5"/>
  </w:num>
  <w:num w:numId="15">
    <w:abstractNumId w:val="13"/>
  </w:num>
  <w:num w:numId="16">
    <w:abstractNumId w:val="17"/>
  </w:num>
  <w:num w:numId="17">
    <w:abstractNumId w:val="18"/>
  </w:num>
  <w:num w:numId="18">
    <w:abstractNumId w:val="16"/>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5BC"/>
    <w:rsid w:val="000047A5"/>
    <w:rsid w:val="00073C23"/>
    <w:rsid w:val="000A32C3"/>
    <w:rsid w:val="000C0077"/>
    <w:rsid w:val="00115DBE"/>
    <w:rsid w:val="00163676"/>
    <w:rsid w:val="001D6768"/>
    <w:rsid w:val="002075C5"/>
    <w:rsid w:val="00225859"/>
    <w:rsid w:val="00227FE2"/>
    <w:rsid w:val="00235621"/>
    <w:rsid w:val="00257263"/>
    <w:rsid w:val="002B3CDD"/>
    <w:rsid w:val="002F0AE1"/>
    <w:rsid w:val="00306E5B"/>
    <w:rsid w:val="00353751"/>
    <w:rsid w:val="003663B4"/>
    <w:rsid w:val="003A670F"/>
    <w:rsid w:val="003F32D9"/>
    <w:rsid w:val="00413C89"/>
    <w:rsid w:val="00475068"/>
    <w:rsid w:val="004E1D61"/>
    <w:rsid w:val="004E6170"/>
    <w:rsid w:val="00527ABC"/>
    <w:rsid w:val="00536018"/>
    <w:rsid w:val="00562A62"/>
    <w:rsid w:val="005D45FF"/>
    <w:rsid w:val="0067615A"/>
    <w:rsid w:val="006D44C1"/>
    <w:rsid w:val="006E7C28"/>
    <w:rsid w:val="0071008E"/>
    <w:rsid w:val="0071045B"/>
    <w:rsid w:val="00725A9C"/>
    <w:rsid w:val="0074554A"/>
    <w:rsid w:val="00747AF0"/>
    <w:rsid w:val="007A1F8D"/>
    <w:rsid w:val="007B6886"/>
    <w:rsid w:val="008035BC"/>
    <w:rsid w:val="008D4491"/>
    <w:rsid w:val="00956741"/>
    <w:rsid w:val="009570C6"/>
    <w:rsid w:val="009A0FB0"/>
    <w:rsid w:val="009B2232"/>
    <w:rsid w:val="00A20A4A"/>
    <w:rsid w:val="00A227D8"/>
    <w:rsid w:val="00A74D7E"/>
    <w:rsid w:val="00AD3A01"/>
    <w:rsid w:val="00AD4F3F"/>
    <w:rsid w:val="00B12140"/>
    <w:rsid w:val="00B56024"/>
    <w:rsid w:val="00B57C50"/>
    <w:rsid w:val="00B650DE"/>
    <w:rsid w:val="00B80F4B"/>
    <w:rsid w:val="00BB2DEB"/>
    <w:rsid w:val="00BD49A3"/>
    <w:rsid w:val="00BD53FE"/>
    <w:rsid w:val="00BF07C2"/>
    <w:rsid w:val="00C20C9B"/>
    <w:rsid w:val="00C7251D"/>
    <w:rsid w:val="00C74D1A"/>
    <w:rsid w:val="00CB67E6"/>
    <w:rsid w:val="00CC5879"/>
    <w:rsid w:val="00D1382C"/>
    <w:rsid w:val="00D855BC"/>
    <w:rsid w:val="00DE6FB3"/>
    <w:rsid w:val="00E45E32"/>
    <w:rsid w:val="00E55B74"/>
    <w:rsid w:val="00E718DE"/>
    <w:rsid w:val="00E81017"/>
    <w:rsid w:val="00E82E65"/>
    <w:rsid w:val="00EA6315"/>
    <w:rsid w:val="00EE0520"/>
    <w:rsid w:val="00EE2F5B"/>
    <w:rsid w:val="00EF439B"/>
    <w:rsid w:val="00F23647"/>
    <w:rsid w:val="00F34577"/>
    <w:rsid w:val="00F531A9"/>
    <w:rsid w:val="00F611C0"/>
    <w:rsid w:val="00F61A05"/>
    <w:rsid w:val="00FA5974"/>
    <w:rsid w:val="00FD5B16"/>
    <w:rsid w:val="00FE5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C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4E6170"/>
    <w:rPr>
      <w:color w:val="5F5F5F" w:themeColor="hyperlink"/>
      <w:u w:val="single"/>
    </w:rPr>
  </w:style>
  <w:style w:type="character" w:styleId="CommentReference">
    <w:name w:val="annotation reference"/>
    <w:basedOn w:val="DefaultParagraphFont"/>
    <w:uiPriority w:val="99"/>
    <w:semiHidden/>
    <w:unhideWhenUsed/>
    <w:rsid w:val="002075C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4E6170"/>
    <w:rPr>
      <w:color w:val="5F5F5F" w:themeColor="hyperlink"/>
      <w:u w:val="single"/>
    </w:rPr>
  </w:style>
  <w:style w:type="character" w:styleId="CommentReference">
    <w:name w:val="annotation reference"/>
    <w:basedOn w:val="DefaultParagraphFont"/>
    <w:uiPriority w:val="99"/>
    <w:semiHidden/>
    <w:unhideWhenUsed/>
    <w:rsid w:val="002075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4847">
      <w:bodyDiv w:val="1"/>
      <w:marLeft w:val="0"/>
      <w:marRight w:val="0"/>
      <w:marTop w:val="0"/>
      <w:marBottom w:val="0"/>
      <w:divBdr>
        <w:top w:val="none" w:sz="0" w:space="0" w:color="auto"/>
        <w:left w:val="none" w:sz="0" w:space="0" w:color="auto"/>
        <w:bottom w:val="none" w:sz="0" w:space="0" w:color="auto"/>
        <w:right w:val="none" w:sz="0" w:space="0" w:color="auto"/>
      </w:divBdr>
    </w:div>
    <w:div w:id="92016915">
      <w:bodyDiv w:val="1"/>
      <w:marLeft w:val="0"/>
      <w:marRight w:val="0"/>
      <w:marTop w:val="0"/>
      <w:marBottom w:val="0"/>
      <w:divBdr>
        <w:top w:val="none" w:sz="0" w:space="0" w:color="auto"/>
        <w:left w:val="none" w:sz="0" w:space="0" w:color="auto"/>
        <w:bottom w:val="none" w:sz="0" w:space="0" w:color="auto"/>
        <w:right w:val="none" w:sz="0" w:space="0" w:color="auto"/>
      </w:divBdr>
    </w:div>
    <w:div w:id="117921112">
      <w:bodyDiv w:val="1"/>
      <w:marLeft w:val="0"/>
      <w:marRight w:val="0"/>
      <w:marTop w:val="0"/>
      <w:marBottom w:val="0"/>
      <w:divBdr>
        <w:top w:val="none" w:sz="0" w:space="0" w:color="auto"/>
        <w:left w:val="none" w:sz="0" w:space="0" w:color="auto"/>
        <w:bottom w:val="none" w:sz="0" w:space="0" w:color="auto"/>
        <w:right w:val="none" w:sz="0" w:space="0" w:color="auto"/>
      </w:divBdr>
    </w:div>
    <w:div w:id="12859085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183291">
      <w:bodyDiv w:val="1"/>
      <w:marLeft w:val="0"/>
      <w:marRight w:val="0"/>
      <w:marTop w:val="0"/>
      <w:marBottom w:val="0"/>
      <w:divBdr>
        <w:top w:val="none" w:sz="0" w:space="0" w:color="auto"/>
        <w:left w:val="none" w:sz="0" w:space="0" w:color="auto"/>
        <w:bottom w:val="none" w:sz="0" w:space="0" w:color="auto"/>
        <w:right w:val="none" w:sz="0" w:space="0" w:color="auto"/>
      </w:divBdr>
    </w:div>
    <w:div w:id="23038748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254063">
      <w:bodyDiv w:val="1"/>
      <w:marLeft w:val="0"/>
      <w:marRight w:val="0"/>
      <w:marTop w:val="0"/>
      <w:marBottom w:val="0"/>
      <w:divBdr>
        <w:top w:val="none" w:sz="0" w:space="0" w:color="auto"/>
        <w:left w:val="none" w:sz="0" w:space="0" w:color="auto"/>
        <w:bottom w:val="none" w:sz="0" w:space="0" w:color="auto"/>
        <w:right w:val="none" w:sz="0" w:space="0" w:color="auto"/>
      </w:divBdr>
    </w:div>
    <w:div w:id="2814975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08256">
      <w:bodyDiv w:val="1"/>
      <w:marLeft w:val="0"/>
      <w:marRight w:val="0"/>
      <w:marTop w:val="0"/>
      <w:marBottom w:val="0"/>
      <w:divBdr>
        <w:top w:val="none" w:sz="0" w:space="0" w:color="auto"/>
        <w:left w:val="none" w:sz="0" w:space="0" w:color="auto"/>
        <w:bottom w:val="none" w:sz="0" w:space="0" w:color="auto"/>
        <w:right w:val="none" w:sz="0" w:space="0" w:color="auto"/>
      </w:divBdr>
    </w:div>
    <w:div w:id="328949703">
      <w:bodyDiv w:val="1"/>
      <w:marLeft w:val="0"/>
      <w:marRight w:val="0"/>
      <w:marTop w:val="0"/>
      <w:marBottom w:val="0"/>
      <w:divBdr>
        <w:top w:val="none" w:sz="0" w:space="0" w:color="auto"/>
        <w:left w:val="none" w:sz="0" w:space="0" w:color="auto"/>
        <w:bottom w:val="none" w:sz="0" w:space="0" w:color="auto"/>
        <w:right w:val="none" w:sz="0" w:space="0" w:color="auto"/>
      </w:divBdr>
    </w:div>
    <w:div w:id="341199166">
      <w:bodyDiv w:val="1"/>
      <w:marLeft w:val="0"/>
      <w:marRight w:val="0"/>
      <w:marTop w:val="0"/>
      <w:marBottom w:val="0"/>
      <w:divBdr>
        <w:top w:val="none" w:sz="0" w:space="0" w:color="auto"/>
        <w:left w:val="none" w:sz="0" w:space="0" w:color="auto"/>
        <w:bottom w:val="none" w:sz="0" w:space="0" w:color="auto"/>
        <w:right w:val="none" w:sz="0" w:space="0" w:color="auto"/>
      </w:divBdr>
    </w:div>
    <w:div w:id="34224326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3168917">
      <w:bodyDiv w:val="1"/>
      <w:marLeft w:val="0"/>
      <w:marRight w:val="0"/>
      <w:marTop w:val="0"/>
      <w:marBottom w:val="0"/>
      <w:divBdr>
        <w:top w:val="none" w:sz="0" w:space="0" w:color="auto"/>
        <w:left w:val="none" w:sz="0" w:space="0" w:color="auto"/>
        <w:bottom w:val="none" w:sz="0" w:space="0" w:color="auto"/>
        <w:right w:val="none" w:sz="0" w:space="0" w:color="auto"/>
      </w:divBdr>
    </w:div>
    <w:div w:id="431584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934167">
      <w:bodyDiv w:val="1"/>
      <w:marLeft w:val="0"/>
      <w:marRight w:val="0"/>
      <w:marTop w:val="0"/>
      <w:marBottom w:val="0"/>
      <w:divBdr>
        <w:top w:val="none" w:sz="0" w:space="0" w:color="auto"/>
        <w:left w:val="none" w:sz="0" w:space="0" w:color="auto"/>
        <w:bottom w:val="none" w:sz="0" w:space="0" w:color="auto"/>
        <w:right w:val="none" w:sz="0" w:space="0" w:color="auto"/>
      </w:divBdr>
      <w:divsChild>
        <w:div w:id="1031614976">
          <w:marLeft w:val="0"/>
          <w:marRight w:val="0"/>
          <w:marTop w:val="0"/>
          <w:marBottom w:val="0"/>
          <w:divBdr>
            <w:top w:val="none" w:sz="0" w:space="0" w:color="auto"/>
            <w:left w:val="none" w:sz="0" w:space="0" w:color="auto"/>
            <w:bottom w:val="none" w:sz="0" w:space="0" w:color="auto"/>
            <w:right w:val="none" w:sz="0" w:space="0" w:color="auto"/>
          </w:divBdr>
          <w:divsChild>
            <w:div w:id="479887067">
              <w:marLeft w:val="0"/>
              <w:marRight w:val="0"/>
              <w:marTop w:val="0"/>
              <w:marBottom w:val="0"/>
              <w:divBdr>
                <w:top w:val="none" w:sz="0" w:space="0" w:color="auto"/>
                <w:left w:val="none" w:sz="0" w:space="0" w:color="auto"/>
                <w:bottom w:val="none" w:sz="0" w:space="0" w:color="auto"/>
                <w:right w:val="none" w:sz="0" w:space="0" w:color="auto"/>
              </w:divBdr>
              <w:divsChild>
                <w:div w:id="802311090">
                  <w:marLeft w:val="0"/>
                  <w:marRight w:val="0"/>
                  <w:marTop w:val="0"/>
                  <w:marBottom w:val="0"/>
                  <w:divBdr>
                    <w:top w:val="none" w:sz="0" w:space="0" w:color="auto"/>
                    <w:left w:val="none" w:sz="0" w:space="0" w:color="auto"/>
                    <w:bottom w:val="none" w:sz="0" w:space="0" w:color="auto"/>
                    <w:right w:val="none" w:sz="0" w:space="0" w:color="auto"/>
                  </w:divBdr>
                  <w:divsChild>
                    <w:div w:id="269581956">
                      <w:marLeft w:val="-225"/>
                      <w:marRight w:val="-225"/>
                      <w:marTop w:val="0"/>
                      <w:marBottom w:val="0"/>
                      <w:divBdr>
                        <w:top w:val="none" w:sz="0" w:space="0" w:color="auto"/>
                        <w:left w:val="none" w:sz="0" w:space="0" w:color="auto"/>
                        <w:bottom w:val="none" w:sz="0" w:space="0" w:color="auto"/>
                        <w:right w:val="none" w:sz="0" w:space="0" w:color="auto"/>
                      </w:divBdr>
                      <w:divsChild>
                        <w:div w:id="126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0850">
              <w:marLeft w:val="0"/>
              <w:marRight w:val="0"/>
              <w:marTop w:val="0"/>
              <w:marBottom w:val="0"/>
              <w:divBdr>
                <w:top w:val="none" w:sz="0" w:space="0" w:color="auto"/>
                <w:left w:val="none" w:sz="0" w:space="0" w:color="auto"/>
                <w:bottom w:val="none" w:sz="0" w:space="0" w:color="auto"/>
                <w:right w:val="none" w:sz="0" w:space="0" w:color="auto"/>
              </w:divBdr>
              <w:divsChild>
                <w:div w:id="784008901">
                  <w:marLeft w:val="0"/>
                  <w:marRight w:val="0"/>
                  <w:marTop w:val="0"/>
                  <w:marBottom w:val="0"/>
                  <w:divBdr>
                    <w:top w:val="none" w:sz="0" w:space="0" w:color="auto"/>
                    <w:left w:val="none" w:sz="0" w:space="0" w:color="auto"/>
                    <w:bottom w:val="none" w:sz="0" w:space="0" w:color="auto"/>
                    <w:right w:val="none" w:sz="0" w:space="0" w:color="auto"/>
                  </w:divBdr>
                  <w:divsChild>
                    <w:div w:id="2104453118">
                      <w:marLeft w:val="-225"/>
                      <w:marRight w:val="-225"/>
                      <w:marTop w:val="0"/>
                      <w:marBottom w:val="0"/>
                      <w:divBdr>
                        <w:top w:val="none" w:sz="0" w:space="0" w:color="auto"/>
                        <w:left w:val="none" w:sz="0" w:space="0" w:color="auto"/>
                        <w:bottom w:val="none" w:sz="0" w:space="0" w:color="auto"/>
                        <w:right w:val="none" w:sz="0" w:space="0" w:color="auto"/>
                      </w:divBdr>
                      <w:divsChild>
                        <w:div w:id="14106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7426">
              <w:marLeft w:val="0"/>
              <w:marRight w:val="0"/>
              <w:marTop w:val="0"/>
              <w:marBottom w:val="0"/>
              <w:divBdr>
                <w:top w:val="none" w:sz="0" w:space="0" w:color="auto"/>
                <w:left w:val="none" w:sz="0" w:space="0" w:color="auto"/>
                <w:bottom w:val="none" w:sz="0" w:space="0" w:color="auto"/>
                <w:right w:val="none" w:sz="0" w:space="0" w:color="auto"/>
              </w:divBdr>
              <w:divsChild>
                <w:div w:id="645429596">
                  <w:marLeft w:val="0"/>
                  <w:marRight w:val="0"/>
                  <w:marTop w:val="0"/>
                  <w:marBottom w:val="0"/>
                  <w:divBdr>
                    <w:top w:val="none" w:sz="0" w:space="0" w:color="auto"/>
                    <w:left w:val="none" w:sz="0" w:space="0" w:color="auto"/>
                    <w:bottom w:val="none" w:sz="0" w:space="0" w:color="auto"/>
                    <w:right w:val="none" w:sz="0" w:space="0" w:color="auto"/>
                  </w:divBdr>
                  <w:divsChild>
                    <w:div w:id="671177775">
                      <w:marLeft w:val="-225"/>
                      <w:marRight w:val="-225"/>
                      <w:marTop w:val="0"/>
                      <w:marBottom w:val="0"/>
                      <w:divBdr>
                        <w:top w:val="none" w:sz="0" w:space="0" w:color="auto"/>
                        <w:left w:val="none" w:sz="0" w:space="0" w:color="auto"/>
                        <w:bottom w:val="none" w:sz="0" w:space="0" w:color="auto"/>
                        <w:right w:val="none" w:sz="0" w:space="0" w:color="auto"/>
                      </w:divBdr>
                      <w:divsChild>
                        <w:div w:id="13403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340">
          <w:marLeft w:val="0"/>
          <w:marRight w:val="0"/>
          <w:marTop w:val="0"/>
          <w:marBottom w:val="0"/>
          <w:divBdr>
            <w:top w:val="none" w:sz="0" w:space="0" w:color="auto"/>
            <w:left w:val="none" w:sz="0" w:space="0" w:color="auto"/>
            <w:bottom w:val="none" w:sz="0" w:space="0" w:color="auto"/>
            <w:right w:val="none" w:sz="0" w:space="0" w:color="auto"/>
          </w:divBdr>
          <w:divsChild>
            <w:div w:id="146478286">
              <w:marLeft w:val="0"/>
              <w:marRight w:val="0"/>
              <w:marTop w:val="0"/>
              <w:marBottom w:val="0"/>
              <w:divBdr>
                <w:top w:val="none" w:sz="0" w:space="0" w:color="auto"/>
                <w:left w:val="none" w:sz="0" w:space="0" w:color="auto"/>
                <w:bottom w:val="none" w:sz="0" w:space="0" w:color="auto"/>
                <w:right w:val="none" w:sz="0" w:space="0" w:color="auto"/>
              </w:divBdr>
              <w:divsChild>
                <w:div w:id="473566226">
                  <w:marLeft w:val="0"/>
                  <w:marRight w:val="0"/>
                  <w:marTop w:val="0"/>
                  <w:marBottom w:val="0"/>
                  <w:divBdr>
                    <w:top w:val="none" w:sz="0" w:space="0" w:color="auto"/>
                    <w:left w:val="none" w:sz="0" w:space="0" w:color="auto"/>
                    <w:bottom w:val="none" w:sz="0" w:space="0" w:color="auto"/>
                    <w:right w:val="none" w:sz="0" w:space="0" w:color="auto"/>
                  </w:divBdr>
                  <w:divsChild>
                    <w:div w:id="1499153670">
                      <w:marLeft w:val="-225"/>
                      <w:marRight w:val="-225"/>
                      <w:marTop w:val="0"/>
                      <w:marBottom w:val="0"/>
                      <w:divBdr>
                        <w:top w:val="none" w:sz="0" w:space="0" w:color="auto"/>
                        <w:left w:val="none" w:sz="0" w:space="0" w:color="auto"/>
                        <w:bottom w:val="none" w:sz="0" w:space="0" w:color="auto"/>
                        <w:right w:val="none" w:sz="0" w:space="0" w:color="auto"/>
                      </w:divBdr>
                      <w:divsChild>
                        <w:div w:id="9124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1606">
              <w:marLeft w:val="0"/>
              <w:marRight w:val="0"/>
              <w:marTop w:val="0"/>
              <w:marBottom w:val="0"/>
              <w:divBdr>
                <w:top w:val="none" w:sz="0" w:space="0" w:color="auto"/>
                <w:left w:val="none" w:sz="0" w:space="0" w:color="auto"/>
                <w:bottom w:val="none" w:sz="0" w:space="0" w:color="auto"/>
                <w:right w:val="none" w:sz="0" w:space="0" w:color="auto"/>
              </w:divBdr>
              <w:divsChild>
                <w:div w:id="2090226748">
                  <w:marLeft w:val="0"/>
                  <w:marRight w:val="0"/>
                  <w:marTop w:val="0"/>
                  <w:marBottom w:val="0"/>
                  <w:divBdr>
                    <w:top w:val="none" w:sz="0" w:space="0" w:color="auto"/>
                    <w:left w:val="none" w:sz="0" w:space="0" w:color="auto"/>
                    <w:bottom w:val="none" w:sz="0" w:space="0" w:color="auto"/>
                    <w:right w:val="none" w:sz="0" w:space="0" w:color="auto"/>
                  </w:divBdr>
                  <w:divsChild>
                    <w:div w:id="1623726535">
                      <w:marLeft w:val="-225"/>
                      <w:marRight w:val="-225"/>
                      <w:marTop w:val="0"/>
                      <w:marBottom w:val="0"/>
                      <w:divBdr>
                        <w:top w:val="none" w:sz="0" w:space="0" w:color="auto"/>
                        <w:left w:val="none" w:sz="0" w:space="0" w:color="auto"/>
                        <w:bottom w:val="none" w:sz="0" w:space="0" w:color="auto"/>
                        <w:right w:val="none" w:sz="0" w:space="0" w:color="auto"/>
                      </w:divBdr>
                      <w:divsChild>
                        <w:div w:id="1137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1245">
              <w:marLeft w:val="0"/>
              <w:marRight w:val="0"/>
              <w:marTop w:val="0"/>
              <w:marBottom w:val="0"/>
              <w:divBdr>
                <w:top w:val="none" w:sz="0" w:space="0" w:color="auto"/>
                <w:left w:val="none" w:sz="0" w:space="0" w:color="auto"/>
                <w:bottom w:val="none" w:sz="0" w:space="0" w:color="auto"/>
                <w:right w:val="none" w:sz="0" w:space="0" w:color="auto"/>
              </w:divBdr>
              <w:divsChild>
                <w:div w:id="1175925841">
                  <w:marLeft w:val="0"/>
                  <w:marRight w:val="0"/>
                  <w:marTop w:val="0"/>
                  <w:marBottom w:val="0"/>
                  <w:divBdr>
                    <w:top w:val="none" w:sz="0" w:space="0" w:color="auto"/>
                    <w:left w:val="none" w:sz="0" w:space="0" w:color="auto"/>
                    <w:bottom w:val="none" w:sz="0" w:space="0" w:color="auto"/>
                    <w:right w:val="none" w:sz="0" w:space="0" w:color="auto"/>
                  </w:divBdr>
                  <w:divsChild>
                    <w:div w:id="1846899859">
                      <w:marLeft w:val="-225"/>
                      <w:marRight w:val="-225"/>
                      <w:marTop w:val="0"/>
                      <w:marBottom w:val="0"/>
                      <w:divBdr>
                        <w:top w:val="none" w:sz="0" w:space="0" w:color="auto"/>
                        <w:left w:val="none" w:sz="0" w:space="0" w:color="auto"/>
                        <w:bottom w:val="none" w:sz="0" w:space="0" w:color="auto"/>
                        <w:right w:val="none" w:sz="0" w:space="0" w:color="auto"/>
                      </w:divBdr>
                      <w:divsChild>
                        <w:div w:id="4169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4159">
      <w:bodyDiv w:val="1"/>
      <w:marLeft w:val="0"/>
      <w:marRight w:val="0"/>
      <w:marTop w:val="0"/>
      <w:marBottom w:val="0"/>
      <w:divBdr>
        <w:top w:val="none" w:sz="0" w:space="0" w:color="auto"/>
        <w:left w:val="none" w:sz="0" w:space="0" w:color="auto"/>
        <w:bottom w:val="none" w:sz="0" w:space="0" w:color="auto"/>
        <w:right w:val="none" w:sz="0" w:space="0" w:color="auto"/>
      </w:divBdr>
    </w:div>
    <w:div w:id="602031843">
      <w:bodyDiv w:val="1"/>
      <w:marLeft w:val="0"/>
      <w:marRight w:val="0"/>
      <w:marTop w:val="0"/>
      <w:marBottom w:val="0"/>
      <w:divBdr>
        <w:top w:val="none" w:sz="0" w:space="0" w:color="auto"/>
        <w:left w:val="none" w:sz="0" w:space="0" w:color="auto"/>
        <w:bottom w:val="none" w:sz="0" w:space="0" w:color="auto"/>
        <w:right w:val="none" w:sz="0" w:space="0" w:color="auto"/>
      </w:divBdr>
    </w:div>
    <w:div w:id="6199988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588639">
      <w:bodyDiv w:val="1"/>
      <w:marLeft w:val="0"/>
      <w:marRight w:val="0"/>
      <w:marTop w:val="0"/>
      <w:marBottom w:val="0"/>
      <w:divBdr>
        <w:top w:val="none" w:sz="0" w:space="0" w:color="auto"/>
        <w:left w:val="none" w:sz="0" w:space="0" w:color="auto"/>
        <w:bottom w:val="none" w:sz="0" w:space="0" w:color="auto"/>
        <w:right w:val="none" w:sz="0" w:space="0" w:color="auto"/>
      </w:divBdr>
    </w:div>
    <w:div w:id="662852818">
      <w:bodyDiv w:val="1"/>
      <w:marLeft w:val="0"/>
      <w:marRight w:val="0"/>
      <w:marTop w:val="0"/>
      <w:marBottom w:val="0"/>
      <w:divBdr>
        <w:top w:val="none" w:sz="0" w:space="0" w:color="auto"/>
        <w:left w:val="none" w:sz="0" w:space="0" w:color="auto"/>
        <w:bottom w:val="none" w:sz="0" w:space="0" w:color="auto"/>
        <w:right w:val="none" w:sz="0" w:space="0" w:color="auto"/>
      </w:divBdr>
      <w:divsChild>
        <w:div w:id="1507935985">
          <w:marLeft w:val="0"/>
          <w:marRight w:val="0"/>
          <w:marTop w:val="0"/>
          <w:marBottom w:val="0"/>
          <w:divBdr>
            <w:top w:val="none" w:sz="0" w:space="0" w:color="auto"/>
            <w:left w:val="none" w:sz="0" w:space="0" w:color="auto"/>
            <w:bottom w:val="none" w:sz="0" w:space="0" w:color="auto"/>
            <w:right w:val="none" w:sz="0" w:space="0" w:color="auto"/>
          </w:divBdr>
        </w:div>
      </w:divsChild>
    </w:div>
    <w:div w:id="66528264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451768">
      <w:bodyDiv w:val="1"/>
      <w:marLeft w:val="0"/>
      <w:marRight w:val="0"/>
      <w:marTop w:val="0"/>
      <w:marBottom w:val="0"/>
      <w:divBdr>
        <w:top w:val="none" w:sz="0" w:space="0" w:color="auto"/>
        <w:left w:val="none" w:sz="0" w:space="0" w:color="auto"/>
        <w:bottom w:val="none" w:sz="0" w:space="0" w:color="auto"/>
        <w:right w:val="none" w:sz="0" w:space="0" w:color="auto"/>
      </w:divBdr>
      <w:divsChild>
        <w:div w:id="1578828391">
          <w:marLeft w:val="0"/>
          <w:marRight w:val="0"/>
          <w:marTop w:val="0"/>
          <w:marBottom w:val="0"/>
          <w:divBdr>
            <w:top w:val="none" w:sz="0" w:space="0" w:color="auto"/>
            <w:left w:val="none" w:sz="0" w:space="0" w:color="auto"/>
            <w:bottom w:val="none" w:sz="0" w:space="0" w:color="auto"/>
            <w:right w:val="none" w:sz="0" w:space="0" w:color="auto"/>
          </w:divBdr>
          <w:divsChild>
            <w:div w:id="1448623871">
              <w:marLeft w:val="-225"/>
              <w:marRight w:val="-225"/>
              <w:marTop w:val="0"/>
              <w:marBottom w:val="0"/>
              <w:divBdr>
                <w:top w:val="none" w:sz="0" w:space="0" w:color="auto"/>
                <w:left w:val="none" w:sz="0" w:space="0" w:color="auto"/>
                <w:bottom w:val="none" w:sz="0" w:space="0" w:color="auto"/>
                <w:right w:val="none" w:sz="0" w:space="0" w:color="auto"/>
              </w:divBdr>
              <w:divsChild>
                <w:div w:id="1375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755">
      <w:bodyDiv w:val="1"/>
      <w:marLeft w:val="0"/>
      <w:marRight w:val="0"/>
      <w:marTop w:val="0"/>
      <w:marBottom w:val="0"/>
      <w:divBdr>
        <w:top w:val="none" w:sz="0" w:space="0" w:color="auto"/>
        <w:left w:val="none" w:sz="0" w:space="0" w:color="auto"/>
        <w:bottom w:val="none" w:sz="0" w:space="0" w:color="auto"/>
        <w:right w:val="none" w:sz="0" w:space="0" w:color="auto"/>
      </w:divBdr>
    </w:div>
    <w:div w:id="795373860">
      <w:bodyDiv w:val="1"/>
      <w:marLeft w:val="0"/>
      <w:marRight w:val="0"/>
      <w:marTop w:val="0"/>
      <w:marBottom w:val="0"/>
      <w:divBdr>
        <w:top w:val="none" w:sz="0" w:space="0" w:color="auto"/>
        <w:left w:val="none" w:sz="0" w:space="0" w:color="auto"/>
        <w:bottom w:val="none" w:sz="0" w:space="0" w:color="auto"/>
        <w:right w:val="none" w:sz="0" w:space="0" w:color="auto"/>
      </w:divBdr>
    </w:div>
    <w:div w:id="815344962">
      <w:bodyDiv w:val="1"/>
      <w:marLeft w:val="0"/>
      <w:marRight w:val="0"/>
      <w:marTop w:val="0"/>
      <w:marBottom w:val="0"/>
      <w:divBdr>
        <w:top w:val="none" w:sz="0" w:space="0" w:color="auto"/>
        <w:left w:val="none" w:sz="0" w:space="0" w:color="auto"/>
        <w:bottom w:val="none" w:sz="0" w:space="0" w:color="auto"/>
        <w:right w:val="none" w:sz="0" w:space="0" w:color="auto"/>
      </w:divBdr>
      <w:divsChild>
        <w:div w:id="252513902">
          <w:marLeft w:val="0"/>
          <w:marRight w:val="0"/>
          <w:marTop w:val="0"/>
          <w:marBottom w:val="0"/>
          <w:divBdr>
            <w:top w:val="none" w:sz="0" w:space="0" w:color="auto"/>
            <w:left w:val="none" w:sz="0" w:space="0" w:color="auto"/>
            <w:bottom w:val="none" w:sz="0" w:space="0" w:color="auto"/>
            <w:right w:val="none" w:sz="0" w:space="0" w:color="auto"/>
          </w:divBdr>
          <w:divsChild>
            <w:div w:id="1697653422">
              <w:marLeft w:val="-225"/>
              <w:marRight w:val="-225"/>
              <w:marTop w:val="0"/>
              <w:marBottom w:val="0"/>
              <w:divBdr>
                <w:top w:val="none" w:sz="0" w:space="0" w:color="auto"/>
                <w:left w:val="none" w:sz="0" w:space="0" w:color="auto"/>
                <w:bottom w:val="none" w:sz="0" w:space="0" w:color="auto"/>
                <w:right w:val="none" w:sz="0" w:space="0" w:color="auto"/>
              </w:divBdr>
              <w:divsChild>
                <w:div w:id="337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9811">
      <w:bodyDiv w:val="1"/>
      <w:marLeft w:val="0"/>
      <w:marRight w:val="0"/>
      <w:marTop w:val="0"/>
      <w:marBottom w:val="0"/>
      <w:divBdr>
        <w:top w:val="none" w:sz="0" w:space="0" w:color="auto"/>
        <w:left w:val="none" w:sz="0" w:space="0" w:color="auto"/>
        <w:bottom w:val="none" w:sz="0" w:space="0" w:color="auto"/>
        <w:right w:val="none" w:sz="0" w:space="0" w:color="auto"/>
      </w:divBdr>
    </w:div>
    <w:div w:id="909660405">
      <w:bodyDiv w:val="1"/>
      <w:marLeft w:val="0"/>
      <w:marRight w:val="0"/>
      <w:marTop w:val="0"/>
      <w:marBottom w:val="0"/>
      <w:divBdr>
        <w:top w:val="none" w:sz="0" w:space="0" w:color="auto"/>
        <w:left w:val="none" w:sz="0" w:space="0" w:color="auto"/>
        <w:bottom w:val="none" w:sz="0" w:space="0" w:color="auto"/>
        <w:right w:val="none" w:sz="0" w:space="0" w:color="auto"/>
      </w:divBdr>
    </w:div>
    <w:div w:id="927077389">
      <w:bodyDiv w:val="1"/>
      <w:marLeft w:val="0"/>
      <w:marRight w:val="0"/>
      <w:marTop w:val="0"/>
      <w:marBottom w:val="0"/>
      <w:divBdr>
        <w:top w:val="none" w:sz="0" w:space="0" w:color="auto"/>
        <w:left w:val="none" w:sz="0" w:space="0" w:color="auto"/>
        <w:bottom w:val="none" w:sz="0" w:space="0" w:color="auto"/>
        <w:right w:val="none" w:sz="0" w:space="0" w:color="auto"/>
      </w:divBdr>
    </w:div>
    <w:div w:id="98326889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213057">
      <w:bodyDiv w:val="1"/>
      <w:marLeft w:val="0"/>
      <w:marRight w:val="0"/>
      <w:marTop w:val="0"/>
      <w:marBottom w:val="0"/>
      <w:divBdr>
        <w:top w:val="none" w:sz="0" w:space="0" w:color="auto"/>
        <w:left w:val="none" w:sz="0" w:space="0" w:color="auto"/>
        <w:bottom w:val="none" w:sz="0" w:space="0" w:color="auto"/>
        <w:right w:val="none" w:sz="0" w:space="0" w:color="auto"/>
      </w:divBdr>
    </w:div>
    <w:div w:id="1171719635">
      <w:bodyDiv w:val="1"/>
      <w:marLeft w:val="0"/>
      <w:marRight w:val="0"/>
      <w:marTop w:val="0"/>
      <w:marBottom w:val="0"/>
      <w:divBdr>
        <w:top w:val="none" w:sz="0" w:space="0" w:color="auto"/>
        <w:left w:val="none" w:sz="0" w:space="0" w:color="auto"/>
        <w:bottom w:val="none" w:sz="0" w:space="0" w:color="auto"/>
        <w:right w:val="none" w:sz="0" w:space="0" w:color="auto"/>
      </w:divBdr>
      <w:divsChild>
        <w:div w:id="768279694">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4552498">
      <w:bodyDiv w:val="1"/>
      <w:marLeft w:val="0"/>
      <w:marRight w:val="0"/>
      <w:marTop w:val="0"/>
      <w:marBottom w:val="0"/>
      <w:divBdr>
        <w:top w:val="none" w:sz="0" w:space="0" w:color="auto"/>
        <w:left w:val="none" w:sz="0" w:space="0" w:color="auto"/>
        <w:bottom w:val="none" w:sz="0" w:space="0" w:color="auto"/>
        <w:right w:val="none" w:sz="0" w:space="0" w:color="auto"/>
      </w:divBdr>
    </w:div>
    <w:div w:id="1380058398">
      <w:bodyDiv w:val="1"/>
      <w:marLeft w:val="0"/>
      <w:marRight w:val="0"/>
      <w:marTop w:val="0"/>
      <w:marBottom w:val="0"/>
      <w:divBdr>
        <w:top w:val="none" w:sz="0" w:space="0" w:color="auto"/>
        <w:left w:val="none" w:sz="0" w:space="0" w:color="auto"/>
        <w:bottom w:val="none" w:sz="0" w:space="0" w:color="auto"/>
        <w:right w:val="none" w:sz="0" w:space="0" w:color="auto"/>
      </w:divBdr>
    </w:div>
    <w:div w:id="139338096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407193">
      <w:bodyDiv w:val="1"/>
      <w:marLeft w:val="0"/>
      <w:marRight w:val="0"/>
      <w:marTop w:val="0"/>
      <w:marBottom w:val="0"/>
      <w:divBdr>
        <w:top w:val="none" w:sz="0" w:space="0" w:color="auto"/>
        <w:left w:val="none" w:sz="0" w:space="0" w:color="auto"/>
        <w:bottom w:val="none" w:sz="0" w:space="0" w:color="auto"/>
        <w:right w:val="none" w:sz="0" w:space="0" w:color="auto"/>
      </w:divBdr>
    </w:div>
    <w:div w:id="1434086506">
      <w:bodyDiv w:val="1"/>
      <w:marLeft w:val="0"/>
      <w:marRight w:val="0"/>
      <w:marTop w:val="0"/>
      <w:marBottom w:val="0"/>
      <w:divBdr>
        <w:top w:val="none" w:sz="0" w:space="0" w:color="auto"/>
        <w:left w:val="none" w:sz="0" w:space="0" w:color="auto"/>
        <w:bottom w:val="none" w:sz="0" w:space="0" w:color="auto"/>
        <w:right w:val="none" w:sz="0" w:space="0" w:color="auto"/>
      </w:divBdr>
    </w:div>
    <w:div w:id="143609687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2726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01652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6494580">
      <w:bodyDiv w:val="1"/>
      <w:marLeft w:val="0"/>
      <w:marRight w:val="0"/>
      <w:marTop w:val="0"/>
      <w:marBottom w:val="0"/>
      <w:divBdr>
        <w:top w:val="none" w:sz="0" w:space="0" w:color="auto"/>
        <w:left w:val="none" w:sz="0" w:space="0" w:color="auto"/>
        <w:bottom w:val="none" w:sz="0" w:space="0" w:color="auto"/>
        <w:right w:val="none" w:sz="0" w:space="0" w:color="auto"/>
      </w:divBdr>
      <w:divsChild>
        <w:div w:id="478225663">
          <w:marLeft w:val="0"/>
          <w:marRight w:val="0"/>
          <w:marTop w:val="0"/>
          <w:marBottom w:val="0"/>
          <w:divBdr>
            <w:top w:val="none" w:sz="0" w:space="0" w:color="auto"/>
            <w:left w:val="none" w:sz="0" w:space="0" w:color="auto"/>
            <w:bottom w:val="none" w:sz="0" w:space="0" w:color="auto"/>
            <w:right w:val="none" w:sz="0" w:space="0" w:color="auto"/>
          </w:divBdr>
          <w:divsChild>
            <w:div w:id="1138035430">
              <w:marLeft w:val="-225"/>
              <w:marRight w:val="-225"/>
              <w:marTop w:val="0"/>
              <w:marBottom w:val="0"/>
              <w:divBdr>
                <w:top w:val="none" w:sz="0" w:space="0" w:color="auto"/>
                <w:left w:val="none" w:sz="0" w:space="0" w:color="auto"/>
                <w:bottom w:val="none" w:sz="0" w:space="0" w:color="auto"/>
                <w:right w:val="none" w:sz="0" w:space="0" w:color="auto"/>
              </w:divBdr>
              <w:divsChild>
                <w:div w:id="18580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7877">
      <w:bodyDiv w:val="1"/>
      <w:marLeft w:val="0"/>
      <w:marRight w:val="0"/>
      <w:marTop w:val="0"/>
      <w:marBottom w:val="0"/>
      <w:divBdr>
        <w:top w:val="none" w:sz="0" w:space="0" w:color="auto"/>
        <w:left w:val="none" w:sz="0" w:space="0" w:color="auto"/>
        <w:bottom w:val="none" w:sz="0" w:space="0" w:color="auto"/>
        <w:right w:val="none" w:sz="0" w:space="0" w:color="auto"/>
      </w:divBdr>
    </w:div>
    <w:div w:id="1708991170">
      <w:bodyDiv w:val="1"/>
      <w:marLeft w:val="0"/>
      <w:marRight w:val="0"/>
      <w:marTop w:val="0"/>
      <w:marBottom w:val="0"/>
      <w:divBdr>
        <w:top w:val="none" w:sz="0" w:space="0" w:color="auto"/>
        <w:left w:val="none" w:sz="0" w:space="0" w:color="auto"/>
        <w:bottom w:val="none" w:sz="0" w:space="0" w:color="auto"/>
        <w:right w:val="none" w:sz="0" w:space="0" w:color="auto"/>
      </w:divBdr>
    </w:div>
    <w:div w:id="17417103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877">
          <w:marLeft w:val="0"/>
          <w:marRight w:val="0"/>
          <w:marTop w:val="0"/>
          <w:marBottom w:val="0"/>
          <w:divBdr>
            <w:top w:val="none" w:sz="0" w:space="0" w:color="auto"/>
            <w:left w:val="none" w:sz="0" w:space="0" w:color="auto"/>
            <w:bottom w:val="none" w:sz="0" w:space="0" w:color="auto"/>
            <w:right w:val="none" w:sz="0" w:space="0" w:color="auto"/>
          </w:divBdr>
          <w:divsChild>
            <w:div w:id="676545573">
              <w:marLeft w:val="-225"/>
              <w:marRight w:val="-225"/>
              <w:marTop w:val="0"/>
              <w:marBottom w:val="0"/>
              <w:divBdr>
                <w:top w:val="none" w:sz="0" w:space="0" w:color="auto"/>
                <w:left w:val="none" w:sz="0" w:space="0" w:color="auto"/>
                <w:bottom w:val="none" w:sz="0" w:space="0" w:color="auto"/>
                <w:right w:val="none" w:sz="0" w:space="0" w:color="auto"/>
              </w:divBdr>
              <w:divsChild>
                <w:div w:id="1478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2350299">
      <w:bodyDiv w:val="1"/>
      <w:marLeft w:val="0"/>
      <w:marRight w:val="0"/>
      <w:marTop w:val="0"/>
      <w:marBottom w:val="0"/>
      <w:divBdr>
        <w:top w:val="none" w:sz="0" w:space="0" w:color="auto"/>
        <w:left w:val="none" w:sz="0" w:space="0" w:color="auto"/>
        <w:bottom w:val="none" w:sz="0" w:space="0" w:color="auto"/>
        <w:right w:val="none" w:sz="0" w:space="0" w:color="auto"/>
      </w:divBdr>
    </w:div>
    <w:div w:id="1873954653">
      <w:bodyDiv w:val="1"/>
      <w:marLeft w:val="0"/>
      <w:marRight w:val="0"/>
      <w:marTop w:val="0"/>
      <w:marBottom w:val="0"/>
      <w:divBdr>
        <w:top w:val="none" w:sz="0" w:space="0" w:color="auto"/>
        <w:left w:val="none" w:sz="0" w:space="0" w:color="auto"/>
        <w:bottom w:val="none" w:sz="0" w:space="0" w:color="auto"/>
        <w:right w:val="none" w:sz="0" w:space="0" w:color="auto"/>
      </w:divBdr>
      <w:divsChild>
        <w:div w:id="1667897960">
          <w:marLeft w:val="0"/>
          <w:marRight w:val="0"/>
          <w:marTop w:val="0"/>
          <w:marBottom w:val="0"/>
          <w:divBdr>
            <w:top w:val="none" w:sz="0" w:space="0" w:color="auto"/>
            <w:left w:val="none" w:sz="0" w:space="0" w:color="auto"/>
            <w:bottom w:val="none" w:sz="0" w:space="0" w:color="auto"/>
            <w:right w:val="none" w:sz="0" w:space="0" w:color="auto"/>
          </w:divBdr>
          <w:divsChild>
            <w:div w:id="1423985128">
              <w:marLeft w:val="0"/>
              <w:marRight w:val="0"/>
              <w:marTop w:val="0"/>
              <w:marBottom w:val="0"/>
              <w:divBdr>
                <w:top w:val="none" w:sz="0" w:space="0" w:color="auto"/>
                <w:left w:val="none" w:sz="0" w:space="0" w:color="auto"/>
                <w:bottom w:val="none" w:sz="0" w:space="0" w:color="auto"/>
                <w:right w:val="none" w:sz="0" w:space="0" w:color="auto"/>
              </w:divBdr>
            </w:div>
          </w:divsChild>
        </w:div>
        <w:div w:id="677004295">
          <w:marLeft w:val="0"/>
          <w:marRight w:val="0"/>
          <w:marTop w:val="0"/>
          <w:marBottom w:val="0"/>
          <w:divBdr>
            <w:top w:val="none" w:sz="0" w:space="0" w:color="auto"/>
            <w:left w:val="none" w:sz="0" w:space="0" w:color="auto"/>
            <w:bottom w:val="none" w:sz="0" w:space="0" w:color="auto"/>
            <w:right w:val="none" w:sz="0" w:space="0" w:color="auto"/>
          </w:divBdr>
        </w:div>
      </w:divsChild>
    </w:div>
    <w:div w:id="1908151750">
      <w:bodyDiv w:val="1"/>
      <w:marLeft w:val="0"/>
      <w:marRight w:val="0"/>
      <w:marTop w:val="0"/>
      <w:marBottom w:val="0"/>
      <w:divBdr>
        <w:top w:val="none" w:sz="0" w:space="0" w:color="auto"/>
        <w:left w:val="none" w:sz="0" w:space="0" w:color="auto"/>
        <w:bottom w:val="none" w:sz="0" w:space="0" w:color="auto"/>
        <w:right w:val="none" w:sz="0" w:space="0" w:color="auto"/>
      </w:divBdr>
    </w:div>
    <w:div w:id="193089221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888537">
      <w:bodyDiv w:val="1"/>
      <w:marLeft w:val="0"/>
      <w:marRight w:val="0"/>
      <w:marTop w:val="0"/>
      <w:marBottom w:val="0"/>
      <w:divBdr>
        <w:top w:val="none" w:sz="0" w:space="0" w:color="auto"/>
        <w:left w:val="none" w:sz="0" w:space="0" w:color="auto"/>
        <w:bottom w:val="none" w:sz="0" w:space="0" w:color="auto"/>
        <w:right w:val="none" w:sz="0" w:space="0" w:color="auto"/>
      </w:divBdr>
    </w:div>
    <w:div w:id="2057854096">
      <w:bodyDiv w:val="1"/>
      <w:marLeft w:val="0"/>
      <w:marRight w:val="0"/>
      <w:marTop w:val="0"/>
      <w:marBottom w:val="0"/>
      <w:divBdr>
        <w:top w:val="none" w:sz="0" w:space="0" w:color="auto"/>
        <w:left w:val="none" w:sz="0" w:space="0" w:color="auto"/>
        <w:bottom w:val="none" w:sz="0" w:space="0" w:color="auto"/>
        <w:right w:val="none" w:sz="0" w:space="0" w:color="auto"/>
      </w:divBdr>
      <w:divsChild>
        <w:div w:id="1913272476">
          <w:marLeft w:val="0"/>
          <w:marRight w:val="0"/>
          <w:marTop w:val="0"/>
          <w:marBottom w:val="0"/>
          <w:divBdr>
            <w:top w:val="none" w:sz="0" w:space="0" w:color="auto"/>
            <w:left w:val="none" w:sz="0" w:space="0" w:color="auto"/>
            <w:bottom w:val="none" w:sz="0" w:space="0" w:color="auto"/>
            <w:right w:val="none" w:sz="0" w:space="0" w:color="auto"/>
          </w:divBdr>
          <w:divsChild>
            <w:div w:id="306470442">
              <w:marLeft w:val="0"/>
              <w:marRight w:val="0"/>
              <w:marTop w:val="0"/>
              <w:marBottom w:val="0"/>
              <w:divBdr>
                <w:top w:val="none" w:sz="0" w:space="0" w:color="auto"/>
                <w:left w:val="none" w:sz="0" w:space="0" w:color="auto"/>
                <w:bottom w:val="none" w:sz="0" w:space="0" w:color="auto"/>
                <w:right w:val="none" w:sz="0" w:space="0" w:color="auto"/>
              </w:divBdr>
              <w:divsChild>
                <w:div w:id="602500184">
                  <w:marLeft w:val="0"/>
                  <w:marRight w:val="0"/>
                  <w:marTop w:val="0"/>
                  <w:marBottom w:val="0"/>
                  <w:divBdr>
                    <w:top w:val="none" w:sz="0" w:space="0" w:color="auto"/>
                    <w:left w:val="none" w:sz="0" w:space="0" w:color="auto"/>
                    <w:bottom w:val="none" w:sz="0" w:space="0" w:color="auto"/>
                    <w:right w:val="none" w:sz="0" w:space="0" w:color="auto"/>
                  </w:divBdr>
                  <w:divsChild>
                    <w:div w:id="479002635">
                      <w:marLeft w:val="-225"/>
                      <w:marRight w:val="-225"/>
                      <w:marTop w:val="0"/>
                      <w:marBottom w:val="0"/>
                      <w:divBdr>
                        <w:top w:val="none" w:sz="0" w:space="0" w:color="auto"/>
                        <w:left w:val="none" w:sz="0" w:space="0" w:color="auto"/>
                        <w:bottom w:val="none" w:sz="0" w:space="0" w:color="auto"/>
                        <w:right w:val="none" w:sz="0" w:space="0" w:color="auto"/>
                      </w:divBdr>
                      <w:divsChild>
                        <w:div w:id="17025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6777">
              <w:marLeft w:val="0"/>
              <w:marRight w:val="0"/>
              <w:marTop w:val="0"/>
              <w:marBottom w:val="0"/>
              <w:divBdr>
                <w:top w:val="none" w:sz="0" w:space="0" w:color="auto"/>
                <w:left w:val="none" w:sz="0" w:space="0" w:color="auto"/>
                <w:bottom w:val="none" w:sz="0" w:space="0" w:color="auto"/>
                <w:right w:val="none" w:sz="0" w:space="0" w:color="auto"/>
              </w:divBdr>
              <w:divsChild>
                <w:div w:id="565451951">
                  <w:marLeft w:val="0"/>
                  <w:marRight w:val="0"/>
                  <w:marTop w:val="0"/>
                  <w:marBottom w:val="0"/>
                  <w:divBdr>
                    <w:top w:val="none" w:sz="0" w:space="0" w:color="auto"/>
                    <w:left w:val="none" w:sz="0" w:space="0" w:color="auto"/>
                    <w:bottom w:val="none" w:sz="0" w:space="0" w:color="auto"/>
                    <w:right w:val="none" w:sz="0" w:space="0" w:color="auto"/>
                  </w:divBdr>
                  <w:divsChild>
                    <w:div w:id="318078375">
                      <w:marLeft w:val="-225"/>
                      <w:marRight w:val="-225"/>
                      <w:marTop w:val="0"/>
                      <w:marBottom w:val="0"/>
                      <w:divBdr>
                        <w:top w:val="none" w:sz="0" w:space="0" w:color="auto"/>
                        <w:left w:val="none" w:sz="0" w:space="0" w:color="auto"/>
                        <w:bottom w:val="none" w:sz="0" w:space="0" w:color="auto"/>
                        <w:right w:val="none" w:sz="0" w:space="0" w:color="auto"/>
                      </w:divBdr>
                      <w:divsChild>
                        <w:div w:id="669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7063">
              <w:marLeft w:val="0"/>
              <w:marRight w:val="0"/>
              <w:marTop w:val="0"/>
              <w:marBottom w:val="0"/>
              <w:divBdr>
                <w:top w:val="none" w:sz="0" w:space="0" w:color="auto"/>
                <w:left w:val="none" w:sz="0" w:space="0" w:color="auto"/>
                <w:bottom w:val="none" w:sz="0" w:space="0" w:color="auto"/>
                <w:right w:val="none" w:sz="0" w:space="0" w:color="auto"/>
              </w:divBdr>
              <w:divsChild>
                <w:div w:id="452211388">
                  <w:marLeft w:val="0"/>
                  <w:marRight w:val="0"/>
                  <w:marTop w:val="0"/>
                  <w:marBottom w:val="0"/>
                  <w:divBdr>
                    <w:top w:val="none" w:sz="0" w:space="0" w:color="auto"/>
                    <w:left w:val="none" w:sz="0" w:space="0" w:color="auto"/>
                    <w:bottom w:val="none" w:sz="0" w:space="0" w:color="auto"/>
                    <w:right w:val="none" w:sz="0" w:space="0" w:color="auto"/>
                  </w:divBdr>
                  <w:divsChild>
                    <w:div w:id="1009218432">
                      <w:marLeft w:val="-225"/>
                      <w:marRight w:val="-225"/>
                      <w:marTop w:val="0"/>
                      <w:marBottom w:val="0"/>
                      <w:divBdr>
                        <w:top w:val="none" w:sz="0" w:space="0" w:color="auto"/>
                        <w:left w:val="none" w:sz="0" w:space="0" w:color="auto"/>
                        <w:bottom w:val="none" w:sz="0" w:space="0" w:color="auto"/>
                        <w:right w:val="none" w:sz="0" w:space="0" w:color="auto"/>
                      </w:divBdr>
                      <w:divsChild>
                        <w:div w:id="6992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95249">
          <w:marLeft w:val="0"/>
          <w:marRight w:val="0"/>
          <w:marTop w:val="0"/>
          <w:marBottom w:val="0"/>
          <w:divBdr>
            <w:top w:val="none" w:sz="0" w:space="0" w:color="auto"/>
            <w:left w:val="none" w:sz="0" w:space="0" w:color="auto"/>
            <w:bottom w:val="none" w:sz="0" w:space="0" w:color="auto"/>
            <w:right w:val="none" w:sz="0" w:space="0" w:color="auto"/>
          </w:divBdr>
          <w:divsChild>
            <w:div w:id="1379469894">
              <w:marLeft w:val="0"/>
              <w:marRight w:val="0"/>
              <w:marTop w:val="0"/>
              <w:marBottom w:val="0"/>
              <w:divBdr>
                <w:top w:val="none" w:sz="0" w:space="0" w:color="auto"/>
                <w:left w:val="none" w:sz="0" w:space="0" w:color="auto"/>
                <w:bottom w:val="none" w:sz="0" w:space="0" w:color="auto"/>
                <w:right w:val="none" w:sz="0" w:space="0" w:color="auto"/>
              </w:divBdr>
              <w:divsChild>
                <w:div w:id="106656928">
                  <w:marLeft w:val="0"/>
                  <w:marRight w:val="0"/>
                  <w:marTop w:val="0"/>
                  <w:marBottom w:val="0"/>
                  <w:divBdr>
                    <w:top w:val="none" w:sz="0" w:space="0" w:color="auto"/>
                    <w:left w:val="none" w:sz="0" w:space="0" w:color="auto"/>
                    <w:bottom w:val="none" w:sz="0" w:space="0" w:color="auto"/>
                    <w:right w:val="none" w:sz="0" w:space="0" w:color="auto"/>
                  </w:divBdr>
                  <w:divsChild>
                    <w:div w:id="675351226">
                      <w:marLeft w:val="-225"/>
                      <w:marRight w:val="-225"/>
                      <w:marTop w:val="0"/>
                      <w:marBottom w:val="0"/>
                      <w:divBdr>
                        <w:top w:val="none" w:sz="0" w:space="0" w:color="auto"/>
                        <w:left w:val="none" w:sz="0" w:space="0" w:color="auto"/>
                        <w:bottom w:val="none" w:sz="0" w:space="0" w:color="auto"/>
                        <w:right w:val="none" w:sz="0" w:space="0" w:color="auto"/>
                      </w:divBdr>
                      <w:divsChild>
                        <w:div w:id="12215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21103">
              <w:marLeft w:val="0"/>
              <w:marRight w:val="0"/>
              <w:marTop w:val="0"/>
              <w:marBottom w:val="0"/>
              <w:divBdr>
                <w:top w:val="none" w:sz="0" w:space="0" w:color="auto"/>
                <w:left w:val="none" w:sz="0" w:space="0" w:color="auto"/>
                <w:bottom w:val="none" w:sz="0" w:space="0" w:color="auto"/>
                <w:right w:val="none" w:sz="0" w:space="0" w:color="auto"/>
              </w:divBdr>
              <w:divsChild>
                <w:div w:id="2083946241">
                  <w:marLeft w:val="0"/>
                  <w:marRight w:val="0"/>
                  <w:marTop w:val="0"/>
                  <w:marBottom w:val="0"/>
                  <w:divBdr>
                    <w:top w:val="none" w:sz="0" w:space="0" w:color="auto"/>
                    <w:left w:val="none" w:sz="0" w:space="0" w:color="auto"/>
                    <w:bottom w:val="none" w:sz="0" w:space="0" w:color="auto"/>
                    <w:right w:val="none" w:sz="0" w:space="0" w:color="auto"/>
                  </w:divBdr>
                  <w:divsChild>
                    <w:div w:id="701439014">
                      <w:marLeft w:val="-225"/>
                      <w:marRight w:val="-225"/>
                      <w:marTop w:val="0"/>
                      <w:marBottom w:val="0"/>
                      <w:divBdr>
                        <w:top w:val="none" w:sz="0" w:space="0" w:color="auto"/>
                        <w:left w:val="none" w:sz="0" w:space="0" w:color="auto"/>
                        <w:bottom w:val="none" w:sz="0" w:space="0" w:color="auto"/>
                        <w:right w:val="none" w:sz="0" w:space="0" w:color="auto"/>
                      </w:divBdr>
                      <w:divsChild>
                        <w:div w:id="5552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4797">
              <w:marLeft w:val="0"/>
              <w:marRight w:val="0"/>
              <w:marTop w:val="0"/>
              <w:marBottom w:val="0"/>
              <w:divBdr>
                <w:top w:val="none" w:sz="0" w:space="0" w:color="auto"/>
                <w:left w:val="none" w:sz="0" w:space="0" w:color="auto"/>
                <w:bottom w:val="none" w:sz="0" w:space="0" w:color="auto"/>
                <w:right w:val="none" w:sz="0" w:space="0" w:color="auto"/>
              </w:divBdr>
              <w:divsChild>
                <w:div w:id="881867009">
                  <w:marLeft w:val="0"/>
                  <w:marRight w:val="0"/>
                  <w:marTop w:val="0"/>
                  <w:marBottom w:val="0"/>
                  <w:divBdr>
                    <w:top w:val="none" w:sz="0" w:space="0" w:color="auto"/>
                    <w:left w:val="none" w:sz="0" w:space="0" w:color="auto"/>
                    <w:bottom w:val="none" w:sz="0" w:space="0" w:color="auto"/>
                    <w:right w:val="none" w:sz="0" w:space="0" w:color="auto"/>
                  </w:divBdr>
                  <w:divsChild>
                    <w:div w:id="685837654">
                      <w:marLeft w:val="-225"/>
                      <w:marRight w:val="-225"/>
                      <w:marTop w:val="0"/>
                      <w:marBottom w:val="0"/>
                      <w:divBdr>
                        <w:top w:val="none" w:sz="0" w:space="0" w:color="auto"/>
                        <w:left w:val="none" w:sz="0" w:space="0" w:color="auto"/>
                        <w:bottom w:val="none" w:sz="0" w:space="0" w:color="auto"/>
                        <w:right w:val="none" w:sz="0" w:space="0" w:color="auto"/>
                      </w:divBdr>
                      <w:divsChild>
                        <w:div w:id="11312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17054">
      <w:bodyDiv w:val="1"/>
      <w:marLeft w:val="0"/>
      <w:marRight w:val="0"/>
      <w:marTop w:val="0"/>
      <w:marBottom w:val="0"/>
      <w:divBdr>
        <w:top w:val="none" w:sz="0" w:space="0" w:color="auto"/>
        <w:left w:val="none" w:sz="0" w:space="0" w:color="auto"/>
        <w:bottom w:val="none" w:sz="0" w:space="0" w:color="auto"/>
        <w:right w:val="none" w:sz="0" w:space="0" w:color="auto"/>
      </w:divBdr>
    </w:div>
    <w:div w:id="20794789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C8021971-9960-C542-9C95-CCB5EB983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template.dotx</Template>
  <TotalTime>72</TotalTime>
  <Pages>8</Pages>
  <Words>1636</Words>
  <Characters>9328</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10943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49</cp:revision>
  <dcterms:created xsi:type="dcterms:W3CDTF">2019-01-29T13:03:00Z</dcterms:created>
  <dcterms:modified xsi:type="dcterms:W3CDTF">2019-01-29T18:35:00Z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