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DBFD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034C53F4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23D5F5B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77FE3E1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6F45D3C1" w14:textId="48AE0C27" w:rsidR="007F1ED6" w:rsidRDefault="00EF76D9" w:rsidP="00EF76D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  <w:sz w:val="28"/>
          <w:szCs w:val="28"/>
        </w:rPr>
      </w:pPr>
      <w:r>
        <w:rPr>
          <w:rFonts w:ascii="CMU Serif Roman" w:hAnsi="CMU Serif Roman"/>
          <w:color w:val="000000"/>
          <w:sz w:val="28"/>
          <w:szCs w:val="28"/>
        </w:rPr>
        <w:t xml:space="preserve">“Evaluative Conditioning without awareness” is </w:t>
      </w:r>
      <w:r w:rsidR="008801E5">
        <w:rPr>
          <w:rFonts w:ascii="CMU Serif Roman" w:hAnsi="CMU Serif Roman"/>
          <w:color w:val="000000"/>
          <w:sz w:val="28"/>
          <w:szCs w:val="28"/>
        </w:rPr>
        <w:t>likely</w:t>
      </w:r>
      <w:r>
        <w:rPr>
          <w:rFonts w:ascii="CMU Serif Roman" w:hAnsi="CMU Serif Roman"/>
          <w:color w:val="000000"/>
          <w:sz w:val="28"/>
          <w:szCs w:val="28"/>
        </w:rPr>
        <w:t xml:space="preserve"> an artifact of failing to exclude aware participants: </w:t>
      </w:r>
    </w:p>
    <w:p w14:paraId="722024C2" w14:textId="5F83B736" w:rsidR="00585A7F" w:rsidRPr="00585A7F" w:rsidRDefault="00594BC9" w:rsidP="00EF76D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  <w:sz w:val="28"/>
          <w:szCs w:val="28"/>
          <w:lang w:val="en-IE"/>
        </w:rPr>
      </w:pPr>
      <w:r>
        <w:rPr>
          <w:rFonts w:ascii="CMU Serif Roman" w:hAnsi="CMU Serif Roman"/>
          <w:color w:val="000000"/>
          <w:sz w:val="28"/>
          <w:szCs w:val="28"/>
        </w:rPr>
        <w:t>A c</w:t>
      </w:r>
      <w:r w:rsidR="00086285">
        <w:rPr>
          <w:rFonts w:ascii="CMU Serif Roman" w:hAnsi="CMU Serif Roman"/>
          <w:color w:val="000000"/>
          <w:sz w:val="28"/>
          <w:szCs w:val="28"/>
        </w:rPr>
        <w:t>ommentary</w:t>
      </w:r>
      <w:r w:rsidR="00585A7F">
        <w:rPr>
          <w:rFonts w:ascii="CMU Serif Roman" w:hAnsi="CMU Serif Roman"/>
          <w:color w:val="000000"/>
          <w:sz w:val="28"/>
          <w:szCs w:val="28"/>
        </w:rPr>
        <w:t xml:space="preserve"> on Moran et al. (2020) </w:t>
      </w:r>
      <w:r w:rsidR="00EF76D9" w:rsidRPr="005A6BA4">
        <w:rPr>
          <w:rFonts w:ascii="CMU Serif Roman" w:hAnsi="CMU Serif Roman"/>
          <w:color w:val="000000"/>
          <w:sz w:val="28"/>
          <w:szCs w:val="28"/>
        </w:rPr>
        <w:t>‘</w:t>
      </w:r>
      <w:r w:rsidR="00585A7F" w:rsidRPr="005A6BA4">
        <w:rPr>
          <w:rFonts w:ascii="CMU Serif Roman" w:hAnsi="CMU Serif Roman"/>
          <w:color w:val="000000"/>
          <w:sz w:val="28"/>
          <w:szCs w:val="28"/>
          <w:lang w:val="en-IE"/>
        </w:rPr>
        <w:t>Incidental Attitude Formation via the Surveillance Task: A Pre-Registered Replication of Olson and Fazio (2001)</w:t>
      </w:r>
      <w:r w:rsidR="00EF76D9" w:rsidRPr="005A6BA4">
        <w:rPr>
          <w:rFonts w:ascii="CMU Serif Roman" w:hAnsi="CMU Serif Roman"/>
          <w:color w:val="000000"/>
          <w:sz w:val="28"/>
          <w:szCs w:val="28"/>
          <w:lang w:val="en-IE"/>
        </w:rPr>
        <w:t>’</w:t>
      </w:r>
    </w:p>
    <w:p w14:paraId="2C746DA6" w14:textId="104C9D3A" w:rsidR="00653FC5" w:rsidRPr="00585A7F" w:rsidRDefault="00653FC5" w:rsidP="00585A7F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MU Serif Roman" w:hAnsi="CMU Serif Roman"/>
          <w:color w:val="000000"/>
          <w:sz w:val="28"/>
          <w:szCs w:val="28"/>
          <w:lang w:val="en-IE"/>
        </w:rPr>
      </w:pPr>
      <w:bookmarkStart w:id="0" w:name="_GoBack"/>
      <w:bookmarkEnd w:id="0"/>
    </w:p>
    <w:p w14:paraId="7055F398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</w:p>
    <w:p w14:paraId="27888575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  <w:r w:rsidRPr="00653FC5">
        <w:rPr>
          <w:rFonts w:ascii="CMU Serif Roman" w:hAnsi="CMU Serif Roman"/>
          <w:color w:val="000000"/>
        </w:rPr>
        <w:t>Ian Hussey &amp; Sean Hughes</w:t>
      </w:r>
    </w:p>
    <w:p w14:paraId="3B74A076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CMU Serif Roman" w:hAnsi="CMU Serif Roman"/>
          <w:color w:val="000000"/>
        </w:rPr>
      </w:pPr>
      <w:r w:rsidRPr="00653FC5">
        <w:rPr>
          <w:rFonts w:ascii="CMU Serif Roman" w:hAnsi="CMU Serif Roman"/>
          <w:i/>
          <w:color w:val="000000"/>
        </w:rPr>
        <w:t>Ghent University</w:t>
      </w:r>
    </w:p>
    <w:p w14:paraId="20F30EB9" w14:textId="77777777" w:rsidR="00653FC5" w:rsidRP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CMU Serif Roman" w:hAnsi="CMU Serif Roman"/>
          <w:color w:val="000000"/>
        </w:rPr>
      </w:pPr>
    </w:p>
    <w:p w14:paraId="2AECC3FF" w14:textId="1B9B0E8B" w:rsidR="00BA0799" w:rsidRDefault="00E60AA4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720" w:firstLine="0"/>
        <w:jc w:val="both"/>
        <w:rPr>
          <w:rFonts w:ascii="CMU Serif Roman" w:hAnsi="CMU Serif Roman"/>
          <w:color w:val="000000"/>
          <w:sz w:val="20"/>
          <w:szCs w:val="20"/>
        </w:rPr>
      </w:pPr>
      <w:r w:rsidRPr="00C57205">
        <w:rPr>
          <w:rFonts w:ascii="CMU Serif Roman" w:hAnsi="CMU Serif Roman"/>
          <w:color w:val="000000"/>
          <w:sz w:val="20"/>
          <w:szCs w:val="20"/>
          <w:highlight w:val="yellow"/>
        </w:rPr>
        <w:t>Abstract…..</w:t>
      </w:r>
    </w:p>
    <w:p w14:paraId="7B92190D" w14:textId="3F5C0F13" w:rsidR="00993274" w:rsidRPr="00653FC5" w:rsidRDefault="00993274" w:rsidP="0099327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720" w:firstLine="0"/>
        <w:jc w:val="both"/>
        <w:rPr>
          <w:rFonts w:ascii="CMU Serif Roman" w:hAnsi="CMU Serif Roman"/>
          <w:color w:val="000000"/>
          <w:sz w:val="20"/>
          <w:szCs w:val="20"/>
        </w:rPr>
      </w:pPr>
    </w:p>
    <w:p w14:paraId="62720608" w14:textId="77777777" w:rsidR="00653FC5" w:rsidRDefault="00653FC5" w:rsidP="00653F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MU Serif Roman" w:hAnsi="CMU Serif Roman"/>
          <w:color w:val="000000"/>
        </w:rPr>
      </w:pPr>
    </w:p>
    <w:p w14:paraId="58A1EEFC" w14:textId="59C6CC38" w:rsidR="002215A3" w:rsidRDefault="002215A3" w:rsidP="00E32F63">
      <w:r w:rsidRPr="002215A3">
        <w:t xml:space="preserve">The key verbal hypothesis being tested </w:t>
      </w:r>
      <w:r w:rsidR="00422003">
        <w:t>by the RRR</w:t>
      </w:r>
      <w:r w:rsidRPr="002215A3">
        <w:t xml:space="preserve"> is whether participants can demonstrate a change in liking due to the pairing of stimuli (i.e., E</w:t>
      </w:r>
      <w:r w:rsidR="00304A64">
        <w:t>valuative Conditioning, REF</w:t>
      </w:r>
      <w:r w:rsidRPr="002215A3">
        <w:t>), when those pairing occur without awareness. Given that E</w:t>
      </w:r>
      <w:r w:rsidR="00304A64">
        <w:t xml:space="preserve">valuative </w:t>
      </w:r>
      <w:r w:rsidR="00304A64" w:rsidRPr="002215A3">
        <w:t>C</w:t>
      </w:r>
      <w:r w:rsidR="00304A64">
        <w:t xml:space="preserve">onditioning </w:t>
      </w:r>
      <w:r w:rsidRPr="002215A3">
        <w:t xml:space="preserve">is </w:t>
      </w:r>
      <w:proofErr w:type="spellStart"/>
      <w:r w:rsidRPr="002215A3">
        <w:t>uncontroversially</w:t>
      </w:r>
      <w:proofErr w:type="spellEnd"/>
      <w:r w:rsidRPr="002215A3">
        <w:t xml:space="preserve"> known to occur within awareness</w:t>
      </w:r>
      <w:r w:rsidR="00234198">
        <w:t xml:space="preserve"> (Hofmann et al., REF)</w:t>
      </w:r>
      <w:r w:rsidRPr="002215A3">
        <w:t>, test</w:t>
      </w:r>
      <w:r w:rsidR="00E32F63">
        <w:t>ing</w:t>
      </w:r>
      <w:r w:rsidRPr="002215A3">
        <w:t xml:space="preserve"> this hypothesis </w:t>
      </w:r>
      <w:r w:rsidR="00E32F63">
        <w:t xml:space="preserve">requires us to </w:t>
      </w:r>
      <w:r w:rsidRPr="002215A3">
        <w:t>successful</w:t>
      </w:r>
      <w:r w:rsidR="00E32F63">
        <w:t>ly</w:t>
      </w:r>
      <w:r w:rsidRPr="002215A3">
        <w:t xml:space="preserve"> </w:t>
      </w:r>
      <w:r w:rsidR="00E32F63">
        <w:t xml:space="preserve">measure </w:t>
      </w:r>
      <w:r w:rsidRPr="002215A3">
        <w:t>awareness</w:t>
      </w:r>
      <w:r w:rsidR="00E32F63">
        <w:t xml:space="preserve"> and exclude or control for participants who are aware</w:t>
      </w:r>
      <w:r w:rsidRPr="002215A3">
        <w:t xml:space="preserve">. </w:t>
      </w:r>
      <w:r w:rsidR="007E4519">
        <w:t>In our opinion</w:t>
      </w:r>
      <w:r w:rsidR="00E32F63">
        <w:rPr>
          <w:rStyle w:val="FootnoteReference"/>
        </w:rPr>
        <w:footnoteReference w:id="1"/>
      </w:r>
      <w:r w:rsidR="007E4519">
        <w:t xml:space="preserve">, the demonstration of a significant effect in the original RRR’s confirmatory analysis was due the </w:t>
      </w:r>
      <w:r w:rsidR="007E4519" w:rsidRPr="002215A3">
        <w:t>fail</w:t>
      </w:r>
      <w:r w:rsidR="007E4519">
        <w:t>ure</w:t>
      </w:r>
      <w:r w:rsidR="007E4519" w:rsidRPr="002215A3">
        <w:t xml:space="preserve"> </w:t>
      </w:r>
      <w:r w:rsidR="007E4519">
        <w:t xml:space="preserve">or the exclusion criterion </w:t>
      </w:r>
      <w:r w:rsidR="007E4519" w:rsidRPr="002215A3">
        <w:t>to exclude individuals who are in fact aware</w:t>
      </w:r>
      <w:r w:rsidR="007E4519">
        <w:t xml:space="preserve">, with the observed </w:t>
      </w:r>
      <w:r w:rsidR="00304A64" w:rsidRPr="002215A3">
        <w:t>E</w:t>
      </w:r>
      <w:r w:rsidR="00304A64">
        <w:t xml:space="preserve">valuative </w:t>
      </w:r>
      <w:r w:rsidR="00304A64" w:rsidRPr="002215A3">
        <w:t>C</w:t>
      </w:r>
      <w:r w:rsidR="00304A64">
        <w:t>onditioning</w:t>
      </w:r>
      <w:r w:rsidR="00304A64" w:rsidRPr="002215A3">
        <w:t xml:space="preserve"> </w:t>
      </w:r>
      <w:r w:rsidR="007E4519" w:rsidRPr="002215A3">
        <w:t xml:space="preserve">effect </w:t>
      </w:r>
      <w:r w:rsidR="007E4519">
        <w:t>therefore being driven by these participants</w:t>
      </w:r>
      <w:r w:rsidR="007E4519" w:rsidRPr="002215A3">
        <w:t>.</w:t>
      </w:r>
    </w:p>
    <w:p w14:paraId="05BDF46F" w14:textId="168AA4D7" w:rsidR="00DD6800" w:rsidRPr="00DD6800" w:rsidRDefault="00DD6800" w:rsidP="00345B03">
      <w:pPr>
        <w:pStyle w:val="Heading2"/>
      </w:pPr>
      <w:r>
        <w:t>M</w:t>
      </w:r>
      <w:r w:rsidRPr="00DD6800">
        <w:t>easur</w:t>
      </w:r>
      <w:r>
        <w:t xml:space="preserve">ing </w:t>
      </w:r>
      <w:r w:rsidRPr="00DD6800">
        <w:t>awareness</w:t>
      </w:r>
    </w:p>
    <w:p w14:paraId="358D1D9B" w14:textId="43BC9677" w:rsidR="00FB5A53" w:rsidRPr="00E32F63" w:rsidRDefault="00234198" w:rsidP="00E32F63">
      <w:r w:rsidRPr="00E32F63">
        <w:t>T</w:t>
      </w:r>
      <w:r w:rsidR="002215A3" w:rsidRPr="00E32F63">
        <w:t>he</w:t>
      </w:r>
      <w:r w:rsidRPr="00E32F63">
        <w:t xml:space="preserve"> RRR considered differences in the </w:t>
      </w:r>
      <w:r w:rsidR="00304A64" w:rsidRPr="00E32F63">
        <w:t xml:space="preserve">Evaluative Conditioning </w:t>
      </w:r>
      <w:r w:rsidRPr="00E32F63">
        <w:t xml:space="preserve">effect produced by </w:t>
      </w:r>
      <w:r w:rsidR="002215A3" w:rsidRPr="00E32F63">
        <w:t xml:space="preserve">four </w:t>
      </w:r>
      <w:r w:rsidRPr="00E32F63">
        <w:t xml:space="preserve">different </w:t>
      </w:r>
      <w:r w:rsidR="002215A3" w:rsidRPr="00E32F63">
        <w:t xml:space="preserve">awareness </w:t>
      </w:r>
      <w:r w:rsidRPr="00E32F63">
        <w:t xml:space="preserve">exclusion </w:t>
      </w:r>
      <w:r w:rsidR="002215A3" w:rsidRPr="00E32F63">
        <w:t>criteria</w:t>
      </w:r>
      <w:r w:rsidRPr="00E32F63">
        <w:t xml:space="preserve"> (“Olson &amp; Fazio, 2001”, “Olson &amp; Fazio, 2001 modified”, “Bar-Anan, De Houwer &amp; Nosek, 2010”, and “Bar-Anan, De Houwer &amp; Nosek, 2010 modified”; see </w:t>
      </w:r>
      <w:r w:rsidR="00C54EE4">
        <w:t>Moran et al., 2020,</w:t>
      </w:r>
      <w:r w:rsidRPr="00E32F63">
        <w:t xml:space="preserve"> for details). Results from the first criteria, </w:t>
      </w:r>
      <w:r w:rsidRPr="00E32F63">
        <w:lastRenderedPageBreak/>
        <w:t>which replicate those used in the original study by Olson &amp; Fazio (2001), were used as the confirmatory analysis</w:t>
      </w:r>
      <w:r w:rsidR="00D5570C" w:rsidRPr="00E32F63">
        <w:t xml:space="preserve"> in order to determine whether the effect successfully replicated or not. </w:t>
      </w:r>
      <w:r w:rsidR="00FB5A53" w:rsidRPr="00E32F63">
        <w:t xml:space="preserve">We note that a significant effect was found using this criterion (Hedges’ </w:t>
      </w:r>
      <w:r w:rsidR="00FB5A53" w:rsidRPr="00C57205">
        <w:rPr>
          <w:i/>
        </w:rPr>
        <w:t>g</w:t>
      </w:r>
      <w:r w:rsidR="00FB5A53" w:rsidRPr="00E32F63">
        <w:t xml:space="preserve"> = 0.12, 95% CI [0.05, 0.20], </w:t>
      </w:r>
      <w:r w:rsidR="00FB5A53" w:rsidRPr="00C57205">
        <w:rPr>
          <w:i/>
        </w:rPr>
        <w:t>p</w:t>
      </w:r>
      <w:r w:rsidR="00FB5A53" w:rsidRPr="00E32F63">
        <w:t xml:space="preserve"> = .002) but not the other criteria (see </w:t>
      </w:r>
      <w:r w:rsidR="00C57205">
        <w:t>Moran et al., 2020</w:t>
      </w:r>
      <w:r w:rsidR="00FB5A53" w:rsidRPr="00E32F63">
        <w:t xml:space="preserve">). </w:t>
      </w:r>
      <w:r w:rsidR="002E5126" w:rsidRPr="00E32F63">
        <w:t xml:space="preserve">However, </w:t>
      </w:r>
      <w:r w:rsidR="00D928E0">
        <w:t>Moran et al. (2020)</w:t>
      </w:r>
      <w:r w:rsidR="00FB5A53" w:rsidRPr="00E32F63">
        <w:t xml:space="preserve"> did not consider the validity of the awareness exclusion criteria. </w:t>
      </w:r>
      <w:r w:rsidR="00AD4274" w:rsidRPr="00E32F63">
        <w:t>Here</w:t>
      </w:r>
      <w:r w:rsidR="002E5126" w:rsidRPr="00E32F63">
        <w:t>,</w:t>
      </w:r>
      <w:r w:rsidR="00AD4274" w:rsidRPr="00E32F63">
        <w:t xml:space="preserve"> we provide evidence that suggests that the awareness criteria – and in particularly </w:t>
      </w:r>
      <w:r w:rsidR="002215A3" w:rsidRPr="00E32F63">
        <w:t xml:space="preserve">the </w:t>
      </w:r>
      <w:r w:rsidR="00AD4274" w:rsidRPr="00E32F63">
        <w:t xml:space="preserve">Olson &amp; Fazio, 2001 criterion used for confirmatory analyses – </w:t>
      </w:r>
      <w:r w:rsidR="002215A3" w:rsidRPr="00E32F63">
        <w:t>are</w:t>
      </w:r>
      <w:r w:rsidR="00AD4274" w:rsidRPr="00E32F63">
        <w:t xml:space="preserve"> </w:t>
      </w:r>
      <w:r w:rsidR="002215A3" w:rsidRPr="00E32F63">
        <w:t>noisy measures of awareness</w:t>
      </w:r>
      <w:r w:rsidR="00AD4274" w:rsidRPr="00E32F63">
        <w:t xml:space="preserve"> with poor validity</w:t>
      </w:r>
      <w:r w:rsidR="00D24724" w:rsidRPr="00E32F63">
        <w:t>, which may lead to incorrect inferences.</w:t>
      </w:r>
    </w:p>
    <w:p w14:paraId="37333CCA" w14:textId="303282C6" w:rsidR="002215A3" w:rsidRPr="00DF3291" w:rsidRDefault="00DF3291" w:rsidP="00345B03">
      <w:r>
        <w:t>I</w:t>
      </w:r>
      <w:r w:rsidR="00DF4864">
        <w:t xml:space="preserve">t should be noted that </w:t>
      </w:r>
      <w:r w:rsidR="002215A3" w:rsidRPr="002215A3">
        <w:t xml:space="preserve">the </w:t>
      </w:r>
      <w:r w:rsidR="00FB5A53">
        <w:t>Olson &amp; Fazio</w:t>
      </w:r>
      <w:r w:rsidR="00F376C6">
        <w:t xml:space="preserve"> (</w:t>
      </w:r>
      <w:r w:rsidR="00FB5A53">
        <w:t>2001</w:t>
      </w:r>
      <w:r w:rsidR="00F376C6">
        <w:t>)</w:t>
      </w:r>
      <w:r w:rsidR="00FB5A53">
        <w:t xml:space="preserve"> criterion used for </w:t>
      </w:r>
      <w:r w:rsidR="002215A3" w:rsidRPr="002215A3">
        <w:t>confirmatory analys</w:t>
      </w:r>
      <w:r w:rsidR="00FB5A53">
        <w:t>e</w:t>
      </w:r>
      <w:r w:rsidR="002215A3" w:rsidRPr="002215A3">
        <w:t>s</w:t>
      </w:r>
      <w:r w:rsidR="007802BA">
        <w:t>, and the only criterion under which a significant effect was foun</w:t>
      </w:r>
      <w:r w:rsidR="00F376C6">
        <w:t>d</w:t>
      </w:r>
      <w:r w:rsidR="007802BA">
        <w:t xml:space="preserve">, </w:t>
      </w:r>
      <w:r w:rsidR="002215A3" w:rsidRPr="002215A3">
        <w:t xml:space="preserve">was </w:t>
      </w:r>
      <w:r w:rsidR="007802BA">
        <w:t xml:space="preserve">also </w:t>
      </w:r>
      <w:r w:rsidR="002215A3" w:rsidRPr="002215A3">
        <w:t>the laxest criterion</w:t>
      </w:r>
      <w:r w:rsidR="00FB5A53">
        <w:t>: it</w:t>
      </w:r>
      <w:r w:rsidR="002215A3" w:rsidRPr="002215A3">
        <w:t xml:space="preserve"> exclud</w:t>
      </w:r>
      <w:r w:rsidR="00FB5A53">
        <w:t>ed</w:t>
      </w:r>
      <w:r w:rsidR="002215A3" w:rsidRPr="002215A3">
        <w:t xml:space="preserve"> only </w:t>
      </w:r>
      <w:r w:rsidR="00632A14">
        <w:t>8</w:t>
      </w:r>
      <w:r w:rsidR="002215A3" w:rsidRPr="002215A3">
        <w:t xml:space="preserve">% of participants where others excluded up to </w:t>
      </w:r>
      <w:r w:rsidR="00632A14">
        <w:t>48</w:t>
      </w:r>
      <w:r w:rsidR="002215A3" w:rsidRPr="002215A3">
        <w:t>%</w:t>
      </w:r>
      <w:r w:rsidR="00632A14">
        <w:t xml:space="preserve"> (</w:t>
      </w:r>
      <w:r w:rsidR="00632A14" w:rsidRPr="009004A5">
        <w:t>Ols</w:t>
      </w:r>
      <w:r w:rsidR="00632A14">
        <w:t>o</w:t>
      </w:r>
      <w:r w:rsidR="00632A14" w:rsidRPr="009004A5">
        <w:t>n</w:t>
      </w:r>
      <w:r w:rsidR="00632A14">
        <w:t xml:space="preserve"> &amp; F</w:t>
      </w:r>
      <w:r w:rsidR="00632A14" w:rsidRPr="009004A5">
        <w:t>azio</w:t>
      </w:r>
      <w:r w:rsidR="00632A14">
        <w:t xml:space="preserve">, 2001 </w:t>
      </w:r>
      <w:r w:rsidR="00632A14" w:rsidRPr="009004A5">
        <w:t>modified</w:t>
      </w:r>
      <w:r w:rsidR="00632A14">
        <w:t xml:space="preserve"> = </w:t>
      </w:r>
      <w:r w:rsidR="00632A14" w:rsidRPr="009004A5">
        <w:t>3</w:t>
      </w:r>
      <w:r w:rsidR="00632A14">
        <w:t xml:space="preserve">1%; </w:t>
      </w:r>
      <w:r w:rsidR="00632A14" w:rsidRPr="00427CAB">
        <w:rPr>
          <w:lang w:val="en-IE"/>
        </w:rPr>
        <w:t>Bar-Anan, De Houwer &amp; Nosek</w:t>
      </w:r>
      <w:r w:rsidR="00632A14">
        <w:rPr>
          <w:lang w:val="en-IE"/>
        </w:rPr>
        <w:t xml:space="preserve">, </w:t>
      </w:r>
      <w:r w:rsidR="00632A14" w:rsidRPr="00427CAB">
        <w:rPr>
          <w:lang w:val="en-IE"/>
        </w:rPr>
        <w:t>2010 = 48%</w:t>
      </w:r>
      <w:r w:rsidR="00632A14">
        <w:t xml:space="preserve">; </w:t>
      </w:r>
      <w:r w:rsidR="00632A14" w:rsidRPr="009004A5">
        <w:rPr>
          <w:lang w:val="en-IE"/>
        </w:rPr>
        <w:t>Bar-Anan et al.</w:t>
      </w:r>
      <w:r w:rsidR="00632A14">
        <w:rPr>
          <w:lang w:val="en-IE"/>
        </w:rPr>
        <w:t>,</w:t>
      </w:r>
      <w:r w:rsidR="00632A14" w:rsidRPr="009004A5">
        <w:rPr>
          <w:lang w:val="en-IE"/>
        </w:rPr>
        <w:t xml:space="preserve"> 2010 modified</w:t>
      </w:r>
      <w:r w:rsidR="00632A14">
        <w:rPr>
          <w:lang w:val="en-IE"/>
        </w:rPr>
        <w:t xml:space="preserve"> = </w:t>
      </w:r>
      <w:r w:rsidR="00632A14" w:rsidRPr="009004A5">
        <w:rPr>
          <w:lang w:val="en-IE"/>
        </w:rPr>
        <w:t>2</w:t>
      </w:r>
      <w:r w:rsidR="00632A14">
        <w:rPr>
          <w:lang w:val="en-IE"/>
        </w:rPr>
        <w:t>7%).</w:t>
      </w:r>
      <w:r w:rsidR="002215A3" w:rsidRPr="002215A3">
        <w:t xml:space="preserve"> </w:t>
      </w:r>
      <w:r w:rsidR="00CB1E77">
        <w:t xml:space="preserve">As well as this variability in exclusion rates between criteria, a great degree of variability in exclusion rates was also observed between </w:t>
      </w:r>
      <w:r w:rsidR="003F421D">
        <w:t xml:space="preserve">data collection </w:t>
      </w:r>
      <w:r w:rsidR="00CB1E77">
        <w:t xml:space="preserve">sites. </w:t>
      </w:r>
      <w:r w:rsidR="009D4388">
        <w:t xml:space="preserve">For example, </w:t>
      </w:r>
      <w:r w:rsidR="003F421D">
        <w:t xml:space="preserve">exclusion rates using the </w:t>
      </w:r>
      <w:r w:rsidR="001D5F0B">
        <w:t>“</w:t>
      </w:r>
      <w:r w:rsidR="009D4388" w:rsidRPr="009004A5">
        <w:t>Ols</w:t>
      </w:r>
      <w:r w:rsidR="009D4388">
        <w:t>o</w:t>
      </w:r>
      <w:r w:rsidR="009D4388" w:rsidRPr="009004A5">
        <w:t>n</w:t>
      </w:r>
      <w:r w:rsidR="009D4388">
        <w:t xml:space="preserve"> &amp; F</w:t>
      </w:r>
      <w:r w:rsidR="009D4388" w:rsidRPr="009004A5">
        <w:t>azio</w:t>
      </w:r>
      <w:r w:rsidR="009D4388">
        <w:t xml:space="preserve"> (2001) </w:t>
      </w:r>
      <w:r w:rsidR="001D5F0B">
        <w:t xml:space="preserve">modified” </w:t>
      </w:r>
      <w:r w:rsidR="009D4388">
        <w:t>criterion varied between 15% and 74% between sites.</w:t>
      </w:r>
      <w:r w:rsidR="00E52156">
        <w:t xml:space="preserve"> In order to assess whether this variation could be </w:t>
      </w:r>
      <w:r w:rsidR="00641C2E">
        <w:t xml:space="preserve">attributed to mere sampling variation or, more problematically, due to between-site heterogeneity, we conducted meta analyses of the </w:t>
      </w:r>
      <w:r w:rsidR="000B4DBF" w:rsidRPr="000B4DBF">
        <w:rPr>
          <w:lang w:val="en-IE"/>
        </w:rPr>
        <w:t xml:space="preserve">proportion of </w:t>
      </w:r>
      <w:r w:rsidR="00641C2E">
        <w:rPr>
          <w:lang w:val="en-IE"/>
        </w:rPr>
        <w:t xml:space="preserve">aware </w:t>
      </w:r>
      <w:r w:rsidR="000B4DBF" w:rsidRPr="000B4DBF">
        <w:rPr>
          <w:lang w:val="en-IE"/>
        </w:rPr>
        <w:t xml:space="preserve">participants </w:t>
      </w:r>
      <w:r w:rsidR="00641C2E">
        <w:rPr>
          <w:lang w:val="en-IE"/>
        </w:rPr>
        <w:t xml:space="preserve">between sites for each criterion </w:t>
      </w:r>
      <w:r w:rsidR="0000495C">
        <w:rPr>
          <w:lang w:val="en-IE"/>
        </w:rPr>
        <w:t>(see Supplementary Materials for full details and code)</w:t>
      </w:r>
      <w:r w:rsidR="000B4DBF" w:rsidRPr="000B4DBF">
        <w:rPr>
          <w:lang w:val="en-IE"/>
        </w:rPr>
        <w:t>.</w:t>
      </w:r>
      <w:r w:rsidR="00AE75DF">
        <w:rPr>
          <w:lang w:val="en-IE"/>
        </w:rPr>
        <w:t xml:space="preserve"> </w:t>
      </w:r>
      <w:r w:rsidR="000B4DBF" w:rsidRPr="000B4DBF">
        <w:rPr>
          <w:lang w:val="en-IE"/>
        </w:rPr>
        <w:t xml:space="preserve">Results suggested that the variation in </w:t>
      </w:r>
      <w:r w:rsidR="00353E3D">
        <w:rPr>
          <w:lang w:val="en-IE"/>
        </w:rPr>
        <w:t xml:space="preserve">awareness </w:t>
      </w:r>
      <w:r w:rsidR="000B4DBF" w:rsidRPr="000B4DBF">
        <w:rPr>
          <w:lang w:val="en-IE"/>
        </w:rPr>
        <w:t xml:space="preserve">rates between sites represented a large degree of between-site heterogeneity rather than merely sampling variation (across exclusion criteria all </w:t>
      </w:r>
      <w:r w:rsidR="000B4DBF" w:rsidRPr="000673C9">
        <w:rPr>
          <w:i/>
          <w:lang w:val="en-IE"/>
        </w:rPr>
        <w:t>I</w:t>
      </w:r>
      <w:r w:rsidR="000673C9" w:rsidRPr="007C1BC4">
        <w:rPr>
          <w:vertAlign w:val="superscript"/>
        </w:rPr>
        <w:t>2</w:t>
      </w:r>
      <w:r w:rsidR="000B4DBF" w:rsidRPr="000B4DBF">
        <w:rPr>
          <w:lang w:val="en-IE"/>
        </w:rPr>
        <w:t xml:space="preserve"> = 54.7% to 91.7%, all </w:t>
      </w:r>
      <w:r w:rsidR="000B4DBF" w:rsidRPr="000673C9">
        <w:rPr>
          <w:i/>
          <w:lang w:val="en-IE"/>
        </w:rPr>
        <w:t>H</w:t>
      </w:r>
      <w:r w:rsidR="000673C9" w:rsidRPr="007C1BC4">
        <w:rPr>
          <w:vertAlign w:val="superscript"/>
        </w:rPr>
        <w:t>2</w:t>
      </w:r>
      <w:r w:rsidR="000B4DBF" w:rsidRPr="000B4DBF">
        <w:rPr>
          <w:lang w:val="en-IE"/>
        </w:rPr>
        <w:t xml:space="preserve"> = 2.2 to 12). </w:t>
      </w:r>
      <w:r w:rsidR="001D6DF6">
        <w:rPr>
          <w:lang w:val="en-IE"/>
        </w:rPr>
        <w:t>Such heterogeneity between sites may be attributable to genuine differences in participant samples between sites. However, more problematically, it could also be due to differences in scoring methods. T</w:t>
      </w:r>
      <w:r w:rsidR="000B4DBF" w:rsidRPr="000B4DBF">
        <w:rPr>
          <w:lang w:val="en-IE"/>
        </w:rPr>
        <w:t>his seems plausible given that</w:t>
      </w:r>
      <w:r w:rsidR="001D6DF6">
        <w:rPr>
          <w:lang w:val="en-IE"/>
        </w:rPr>
        <w:t>, despite standardized instructions being provided to each site, scores were calculated from</w:t>
      </w:r>
      <w:r w:rsidR="000B4DBF" w:rsidRPr="000B4DBF">
        <w:rPr>
          <w:lang w:val="en-IE"/>
        </w:rPr>
        <w:t xml:space="preserve"> open</w:t>
      </w:r>
      <w:r w:rsidR="001D6DF6">
        <w:rPr>
          <w:lang w:val="en-IE"/>
        </w:rPr>
        <w:t>-</w:t>
      </w:r>
      <w:r w:rsidR="000B4DBF" w:rsidRPr="000B4DBF">
        <w:rPr>
          <w:lang w:val="en-IE"/>
        </w:rPr>
        <w:t xml:space="preserve">ended responses </w:t>
      </w:r>
      <w:r w:rsidR="001D6DF6">
        <w:rPr>
          <w:lang w:val="en-IE"/>
        </w:rPr>
        <w:t xml:space="preserve">that were hand-scored by </w:t>
      </w:r>
      <w:r w:rsidR="000B4DBF" w:rsidRPr="000B4DBF">
        <w:rPr>
          <w:lang w:val="en-IE"/>
        </w:rPr>
        <w:t>researchers</w:t>
      </w:r>
      <w:r w:rsidR="001D6DF6">
        <w:rPr>
          <w:lang w:val="en-IE"/>
        </w:rPr>
        <w:t xml:space="preserve"> at each site</w:t>
      </w:r>
      <w:r w:rsidR="000B4DBF" w:rsidRPr="000B4DBF">
        <w:rPr>
          <w:lang w:val="en-IE"/>
        </w:rPr>
        <w:t xml:space="preserve">, making </w:t>
      </w:r>
      <w:r w:rsidR="001D6DF6">
        <w:rPr>
          <w:lang w:val="en-IE"/>
        </w:rPr>
        <w:t xml:space="preserve">them less than </w:t>
      </w:r>
      <w:r w:rsidR="000B4DBF" w:rsidRPr="000B4DBF">
        <w:rPr>
          <w:lang w:val="en-IE"/>
        </w:rPr>
        <w:t>objective.</w:t>
      </w:r>
      <w:r w:rsidR="000824AA">
        <w:rPr>
          <w:lang w:val="en-IE"/>
        </w:rPr>
        <w:t xml:space="preserve"> In our opinion, this heterogeneity makes it highly plausible that (1) at some sites, participants who were aware were not appropriately excluded, and (2) this lead to the observed</w:t>
      </w:r>
      <w:r w:rsidR="00304A64">
        <w:rPr>
          <w:lang w:val="en-IE"/>
        </w:rPr>
        <w:t xml:space="preserve"> Evaluative Conditioning </w:t>
      </w:r>
      <w:r w:rsidR="000824AA">
        <w:rPr>
          <w:lang w:val="en-IE"/>
        </w:rPr>
        <w:t xml:space="preserve">effect, which was driven by aware participants. </w:t>
      </w:r>
      <w:r w:rsidR="003103DC">
        <w:rPr>
          <w:lang w:val="en-IE"/>
        </w:rPr>
        <w:t xml:space="preserve">In the following sections, we attempted to control for this possibility in two different ways (statistically vs. methodologically), in order to provide more severe tests of the hypothesis. </w:t>
      </w:r>
    </w:p>
    <w:p w14:paraId="5BB79912" w14:textId="45D55512" w:rsidR="009A227D" w:rsidRPr="009A227D" w:rsidRDefault="00653D74" w:rsidP="00345B03">
      <w:pPr>
        <w:pStyle w:val="Heading2"/>
      </w:pPr>
      <w:r>
        <w:t>Statistically c</w:t>
      </w:r>
      <w:r w:rsidR="008C5315">
        <w:t xml:space="preserve">ontrolling for awareness </w:t>
      </w:r>
    </w:p>
    <w:p w14:paraId="310D6811" w14:textId="568199C5" w:rsidR="0000495C" w:rsidRPr="00B92B85" w:rsidRDefault="00BF2502" w:rsidP="00345B03">
      <w:pPr>
        <w:rPr>
          <w:lang w:val="en-IE"/>
        </w:rPr>
      </w:pPr>
      <w:r>
        <w:rPr>
          <w:lang w:val="en-IE"/>
        </w:rPr>
        <w:t>In order to statistically control for inter-site differences in the scoring of awareness</w:t>
      </w:r>
      <w:r w:rsidR="000824AA">
        <w:rPr>
          <w:lang w:val="en-IE"/>
        </w:rPr>
        <w:t xml:space="preserve">, we conducted a </w:t>
      </w:r>
      <w:r w:rsidR="00B93DEA">
        <w:rPr>
          <w:lang w:val="en-IE"/>
        </w:rPr>
        <w:t xml:space="preserve">meta-analysis </w:t>
      </w:r>
      <w:r>
        <w:rPr>
          <w:lang w:val="en-IE"/>
        </w:rPr>
        <w:t>of</w:t>
      </w:r>
      <w:r w:rsidR="00304A64">
        <w:rPr>
          <w:lang w:val="en-IE"/>
        </w:rPr>
        <w:t xml:space="preserve"> Evaluative Conditioning </w:t>
      </w:r>
      <w:r>
        <w:rPr>
          <w:lang w:val="en-IE"/>
        </w:rPr>
        <w:t xml:space="preserve">effects. This </w:t>
      </w:r>
      <w:r w:rsidR="00121809">
        <w:rPr>
          <w:lang w:val="en-IE"/>
        </w:rPr>
        <w:t xml:space="preserve">was highly similar to the </w:t>
      </w:r>
      <w:r w:rsidR="000824AA">
        <w:rPr>
          <w:lang w:val="en-IE"/>
        </w:rPr>
        <w:t xml:space="preserve">confirmatory </w:t>
      </w:r>
      <w:r w:rsidR="00B93DEA">
        <w:rPr>
          <w:lang w:val="en-IE"/>
        </w:rPr>
        <w:t>meta-analysis</w:t>
      </w:r>
      <w:r w:rsidR="00121809">
        <w:rPr>
          <w:lang w:val="en-IE"/>
        </w:rPr>
        <w:t xml:space="preserve"> in </w:t>
      </w:r>
      <w:r w:rsidR="00D928E0" w:rsidRPr="00D928E0">
        <w:t>Moran et al. (2020)</w:t>
      </w:r>
      <w:r w:rsidR="00FB5A53" w:rsidRPr="00D928E0">
        <w:t xml:space="preserve"> </w:t>
      </w:r>
      <w:r>
        <w:rPr>
          <w:lang w:val="en-IE"/>
        </w:rPr>
        <w:t>but</w:t>
      </w:r>
      <w:r w:rsidR="00121809">
        <w:rPr>
          <w:lang w:val="en-IE"/>
        </w:rPr>
        <w:t xml:space="preserve"> with two modifications. First, we made no exclusions based on awareness but instead used the full </w:t>
      </w:r>
      <w:r w:rsidR="00121809">
        <w:rPr>
          <w:lang w:val="en-IE"/>
        </w:rPr>
        <w:lastRenderedPageBreak/>
        <w:t>sample (</w:t>
      </w:r>
      <w:r w:rsidR="00121809" w:rsidRPr="004B0D4B">
        <w:rPr>
          <w:i/>
          <w:lang w:val="en-IE"/>
        </w:rPr>
        <w:t>N</w:t>
      </w:r>
      <w:r w:rsidR="00121809">
        <w:rPr>
          <w:lang w:val="en-IE"/>
        </w:rPr>
        <w:t xml:space="preserve"> = 1450). Second, we controlled for the awareness rates at each site</w:t>
      </w:r>
      <w:r w:rsidR="00555291">
        <w:rPr>
          <w:lang w:val="en-IE"/>
        </w:rPr>
        <w:t>, using the Olsen &amp; Fazio (2001) criterion</w:t>
      </w:r>
      <w:r w:rsidR="00121809">
        <w:rPr>
          <w:lang w:val="en-IE"/>
        </w:rPr>
        <w:t xml:space="preserve"> (i.e., entered site awareness rate as a moderator). </w:t>
      </w:r>
      <w:r w:rsidR="00555291" w:rsidRPr="00555291">
        <w:rPr>
          <w:lang w:val="en-IE"/>
        </w:rPr>
        <w:t>Results demonstrated that</w:t>
      </w:r>
      <w:r w:rsidR="008D6DD2">
        <w:rPr>
          <w:lang w:val="en-IE"/>
        </w:rPr>
        <w:t xml:space="preserve">, </w:t>
      </w:r>
      <w:r w:rsidR="00555291">
        <w:rPr>
          <w:lang w:val="en-IE"/>
        </w:rPr>
        <w:t>when</w:t>
      </w:r>
      <w:r w:rsidR="00555291" w:rsidRPr="00555291">
        <w:rPr>
          <w:lang w:val="en-IE"/>
        </w:rPr>
        <w:t xml:space="preserve"> </w:t>
      </w:r>
      <w:r w:rsidR="00555291">
        <w:rPr>
          <w:lang w:val="en-IE"/>
        </w:rPr>
        <w:t xml:space="preserve">the </w:t>
      </w:r>
      <w:r w:rsidR="00555291" w:rsidRPr="00555291">
        <w:rPr>
          <w:lang w:val="en-IE"/>
        </w:rPr>
        <w:t>awareness rate</w:t>
      </w:r>
      <w:r w:rsidR="00555291">
        <w:rPr>
          <w:lang w:val="en-IE"/>
        </w:rPr>
        <w:t xml:space="preserve"> is </w:t>
      </w:r>
      <w:r w:rsidR="00555291" w:rsidRPr="00555291">
        <w:rPr>
          <w:lang w:val="en-IE"/>
        </w:rPr>
        <w:t xml:space="preserve">statistically </w:t>
      </w:r>
      <w:r w:rsidR="00555291">
        <w:rPr>
          <w:lang w:val="en-IE"/>
        </w:rPr>
        <w:t>set to 0% (i.e., the model intercept)</w:t>
      </w:r>
      <w:r w:rsidR="008D6DD2">
        <w:rPr>
          <w:lang w:val="en-IE"/>
        </w:rPr>
        <w:t xml:space="preserve">, </w:t>
      </w:r>
      <w:r w:rsidR="008D6DD2" w:rsidRPr="00555291">
        <w:rPr>
          <w:lang w:val="en-IE"/>
        </w:rPr>
        <w:t>the estimate of the</w:t>
      </w:r>
      <w:r w:rsidR="00304A64">
        <w:rPr>
          <w:lang w:val="en-IE"/>
        </w:rPr>
        <w:t xml:space="preserve"> Evaluative Conditioning </w:t>
      </w:r>
      <w:r w:rsidR="008D6DD2" w:rsidRPr="00555291">
        <w:rPr>
          <w:lang w:val="en-IE"/>
        </w:rPr>
        <w:t xml:space="preserve">effect </w:t>
      </w:r>
      <w:r w:rsidR="00555291" w:rsidRPr="00555291">
        <w:rPr>
          <w:lang w:val="en-IE"/>
        </w:rPr>
        <w:t>was</w:t>
      </w:r>
      <w:r w:rsidR="00555291">
        <w:rPr>
          <w:lang w:val="en-IE"/>
        </w:rPr>
        <w:t xml:space="preserve"> </w:t>
      </w:r>
      <w:r w:rsidR="00F15019">
        <w:rPr>
          <w:lang w:val="en-IE"/>
        </w:rPr>
        <w:t>non-significant and close to zero,</w:t>
      </w:r>
      <w:r w:rsidR="00555291" w:rsidRPr="00555291">
        <w:rPr>
          <w:lang w:val="en-IE"/>
        </w:rPr>
        <w:t xml:space="preserve"> Hedges’ </w:t>
      </w:r>
      <w:r w:rsidR="00555291" w:rsidRPr="00F15019">
        <w:rPr>
          <w:i/>
          <w:lang w:val="en-IE"/>
        </w:rPr>
        <w:t>g</w:t>
      </w:r>
      <w:r w:rsidR="00555291" w:rsidRPr="00555291">
        <w:rPr>
          <w:lang w:val="en-IE"/>
        </w:rPr>
        <w:t xml:space="preserve"> = -0.02, 95% CI [-0.35, 0.31]</w:t>
      </w:r>
      <w:r w:rsidR="004A6E89">
        <w:rPr>
          <w:lang w:val="en-IE"/>
        </w:rPr>
        <w:t xml:space="preserve">, </w:t>
      </w:r>
      <w:r w:rsidR="004A6E89" w:rsidRPr="004A6E89">
        <w:rPr>
          <w:i/>
          <w:lang w:val="en-IE"/>
        </w:rPr>
        <w:t>p</w:t>
      </w:r>
      <w:r w:rsidR="004A6E89">
        <w:rPr>
          <w:lang w:val="en-IE"/>
        </w:rPr>
        <w:t xml:space="preserve"> = </w:t>
      </w:r>
      <w:r w:rsidR="004A6E89" w:rsidRPr="004A6E89">
        <w:rPr>
          <w:lang w:val="en-IE"/>
        </w:rPr>
        <w:t>.223</w:t>
      </w:r>
      <w:r w:rsidR="004A6E89">
        <w:rPr>
          <w:lang w:val="en-IE"/>
        </w:rPr>
        <w:t>,</w:t>
      </w:r>
      <w:r w:rsidR="00555291" w:rsidRPr="00555291">
        <w:rPr>
          <w:lang w:val="en-IE"/>
        </w:rPr>
        <w:t xml:space="preserve"> </w:t>
      </w:r>
      <w:r w:rsidR="004A6E89">
        <w:t xml:space="preserve">and with no heterogeneity, </w:t>
      </w:r>
      <w:r w:rsidR="004A6E89" w:rsidRPr="00B77EA9">
        <w:rPr>
          <w:rFonts w:ascii="Cambria Math" w:hAnsi="Cambria Math" w:cs="Cambria Math"/>
        </w:rPr>
        <w:t>𝜏</w:t>
      </w:r>
      <w:r w:rsidR="004A6E89" w:rsidRPr="007C1BC4">
        <w:rPr>
          <w:vertAlign w:val="superscript"/>
        </w:rPr>
        <w:t>2</w:t>
      </w:r>
      <w:r w:rsidR="004A6E89" w:rsidRPr="00B77EA9">
        <w:t xml:space="preserve"> = 0</w:t>
      </w:r>
      <w:r w:rsidR="004A6E89">
        <w:t xml:space="preserve">.0, </w:t>
      </w:r>
      <w:r w:rsidR="004A6E89" w:rsidRPr="007C1BC4">
        <w:rPr>
          <w:i/>
        </w:rPr>
        <w:t>I</w:t>
      </w:r>
      <w:r w:rsidR="004A6E89" w:rsidRPr="007C1BC4">
        <w:rPr>
          <w:vertAlign w:val="superscript"/>
        </w:rPr>
        <w:t>2</w:t>
      </w:r>
      <w:r w:rsidR="004A6E89" w:rsidRPr="007C1BC4">
        <w:t xml:space="preserve"> = 0</w:t>
      </w:r>
      <w:r w:rsidR="004A6E89">
        <w:t>.0%</w:t>
      </w:r>
      <w:r w:rsidR="004A6E89" w:rsidRPr="007C1BC4">
        <w:t xml:space="preserve">, </w:t>
      </w:r>
      <w:r w:rsidR="004A6E89" w:rsidRPr="007C1BC4">
        <w:rPr>
          <w:i/>
        </w:rPr>
        <w:t>H</w:t>
      </w:r>
      <w:r w:rsidR="004A6E89" w:rsidRPr="007C1BC4">
        <w:rPr>
          <w:vertAlign w:val="superscript"/>
        </w:rPr>
        <w:t>2</w:t>
      </w:r>
      <w:r w:rsidR="004A6E89" w:rsidRPr="007C1BC4">
        <w:t xml:space="preserve"> = 1</w:t>
      </w:r>
      <w:r w:rsidR="004A6E89">
        <w:t>.0.</w:t>
      </w:r>
      <w:r w:rsidR="0049451C">
        <w:t xml:space="preserve"> </w:t>
      </w:r>
      <w:r w:rsidR="00555291" w:rsidRPr="00555291">
        <w:rPr>
          <w:lang w:val="en-IE"/>
        </w:rPr>
        <w:t>These results support the idea that (1) the observed heterogeneity in awareness rates between sites may be due to the somewhat subject</w:t>
      </w:r>
      <w:r w:rsidR="00D910AE">
        <w:rPr>
          <w:lang w:val="en-IE"/>
        </w:rPr>
        <w:t>ive</w:t>
      </w:r>
      <w:r w:rsidR="00555291" w:rsidRPr="00555291">
        <w:rPr>
          <w:lang w:val="en-IE"/>
        </w:rPr>
        <w:t xml:space="preserve"> nature of the awareness scoring criteria</w:t>
      </w:r>
      <w:r w:rsidR="00231C55">
        <w:rPr>
          <w:lang w:val="en-IE"/>
        </w:rPr>
        <w:t xml:space="preserve"> that may have differed between labs</w:t>
      </w:r>
      <w:r w:rsidR="00555291" w:rsidRPr="00555291">
        <w:rPr>
          <w:lang w:val="en-IE"/>
        </w:rPr>
        <w:t xml:space="preserve">, and therefore (2) the presence of significant meta effect size in the original confirmatory analysis </w:t>
      </w:r>
      <w:r w:rsidR="00D16D4C">
        <w:rPr>
          <w:lang w:val="en-IE"/>
        </w:rPr>
        <w:t xml:space="preserve">may have been </w:t>
      </w:r>
      <w:r w:rsidR="00555291" w:rsidRPr="00555291">
        <w:rPr>
          <w:lang w:val="en-IE"/>
        </w:rPr>
        <w:t>due to the failure of this criteria to strictly exclude aware participants.</w:t>
      </w:r>
    </w:p>
    <w:p w14:paraId="360058B3" w14:textId="76655D7C" w:rsidR="006558D3" w:rsidRDefault="008C5315" w:rsidP="00345B03">
      <w:pPr>
        <w:pStyle w:val="Heading2"/>
      </w:pPr>
      <w:r>
        <w:t>Stricter exclusion of awareness</w:t>
      </w:r>
    </w:p>
    <w:p w14:paraId="7239178E" w14:textId="494EBFD4" w:rsidR="009004A5" w:rsidRDefault="002F6D8B" w:rsidP="00345B03">
      <w:r>
        <w:t>In order to methodologically control for awareness more strictly, w</w:t>
      </w:r>
      <w:r w:rsidR="002A1A1C">
        <w:t xml:space="preserve">e </w:t>
      </w:r>
      <w:r>
        <w:t xml:space="preserve">adopted a compound </w:t>
      </w:r>
      <w:r w:rsidR="00250D20">
        <w:t xml:space="preserve">awareness exclusion criterion that represented </w:t>
      </w:r>
      <w:r w:rsidR="00557118" w:rsidRPr="002215A3">
        <w:t xml:space="preserve">a </w:t>
      </w:r>
      <w:r w:rsidR="00557118">
        <w:t xml:space="preserve">more </w:t>
      </w:r>
      <w:r w:rsidR="00557118" w:rsidRPr="002215A3">
        <w:t>severe test of the hypothesis: participant</w:t>
      </w:r>
      <w:r w:rsidR="00557118">
        <w:t>s were</w:t>
      </w:r>
      <w:r w:rsidR="00557118" w:rsidRPr="002215A3">
        <w:t xml:space="preserve"> </w:t>
      </w:r>
      <w:r w:rsidR="00557118">
        <w:t xml:space="preserve">excluded if </w:t>
      </w:r>
      <w:r w:rsidR="00557118" w:rsidRPr="000673C9">
        <w:rPr>
          <w:i/>
        </w:rPr>
        <w:t>any</w:t>
      </w:r>
      <w:r w:rsidR="00557118" w:rsidRPr="002215A3">
        <w:t xml:space="preserve"> of the four criteria </w:t>
      </w:r>
      <w:r w:rsidR="00557118">
        <w:t xml:space="preserve">scored them </w:t>
      </w:r>
      <w:r w:rsidR="00557118" w:rsidRPr="002215A3">
        <w:t>as aware.</w:t>
      </w:r>
      <w:r w:rsidR="00B322A6">
        <w:t xml:space="preserve"> </w:t>
      </w:r>
      <w:r w:rsidR="003F032F">
        <w:t xml:space="preserve">Given that a compound exclusion strategy would increase exclusion rates beyond what was originally planned, we </w:t>
      </w:r>
      <w:r w:rsidR="0017255D">
        <w:t xml:space="preserve">first </w:t>
      </w:r>
      <w:r w:rsidR="003F032F">
        <w:t xml:space="preserve">conducted power analyses to assess whether a new analysis would provide meaningful results. </w:t>
      </w:r>
      <w:r w:rsidR="00980A73">
        <w:t xml:space="preserve">The compound exclusion criterion produced an exclusion rate of </w:t>
      </w:r>
      <w:r w:rsidR="00D4731D">
        <w:t>54</w:t>
      </w:r>
      <w:r w:rsidR="00FB7EDF">
        <w:t>%</w:t>
      </w:r>
      <w:r w:rsidR="00980A73">
        <w:t xml:space="preserve">, leaving </w:t>
      </w:r>
      <w:r w:rsidR="00B2658C">
        <w:t>665</w:t>
      </w:r>
      <w:r w:rsidR="00FB7EDF">
        <w:t xml:space="preserve"> participants </w:t>
      </w:r>
      <w:r w:rsidR="00980A73">
        <w:t>in the analytic sample</w:t>
      </w:r>
      <w:r w:rsidR="00FB7EDF" w:rsidRPr="009004A5">
        <w:t>.</w:t>
      </w:r>
      <w:r w:rsidR="00FB7EDF">
        <w:t xml:space="preserve"> Using the power analysis method employed in </w:t>
      </w:r>
      <w:r w:rsidR="00980A73">
        <w:t>Moran et al. (2020)</w:t>
      </w:r>
      <w:r w:rsidR="00FB7EDF">
        <w:t xml:space="preserve">, this sample </w:t>
      </w:r>
      <w:r w:rsidR="00980A73">
        <w:t xml:space="preserve">size </w:t>
      </w:r>
      <w:r w:rsidR="00FB7EDF">
        <w:t xml:space="preserve">maintained </w:t>
      </w:r>
      <w:r w:rsidR="009D4388">
        <w:t>power &gt;.99</w:t>
      </w:r>
      <w:r w:rsidR="00FB7EDF">
        <w:t xml:space="preserve"> to detect an effect size as large as th</w:t>
      </w:r>
      <w:r w:rsidR="00CB5C51">
        <w:t>at observed in the published literature</w:t>
      </w:r>
      <w:r w:rsidR="00243C1D">
        <w:t xml:space="preserve"> (i.e., </w:t>
      </w:r>
      <w:r w:rsidR="00243C1D" w:rsidRPr="00980A73">
        <w:rPr>
          <w:i/>
        </w:rPr>
        <w:t>g</w:t>
      </w:r>
      <w:r w:rsidR="00243C1D">
        <w:t xml:space="preserve"> = 0.20, see Moran et al., 2020)</w:t>
      </w:r>
      <w:r w:rsidR="00980A73">
        <w:t xml:space="preserve">. It also </w:t>
      </w:r>
      <w:r w:rsidR="009D4388">
        <w:t>had power = .80 to detect an effect size of</w:t>
      </w:r>
      <w:r w:rsidR="00980A73">
        <w:t xml:space="preserve"> as small </w:t>
      </w:r>
      <w:r w:rsidR="00FF5BD5">
        <w:t xml:space="preserve">as </w:t>
      </w:r>
      <w:r w:rsidR="009D4388">
        <w:t>0.10.</w:t>
      </w:r>
      <w:r w:rsidR="00CB5C51">
        <w:t xml:space="preserve"> </w:t>
      </w:r>
      <w:r w:rsidR="009D5A24">
        <w:t xml:space="preserve">We also considered an additional form of power analysis that </w:t>
      </w:r>
      <w:r w:rsidR="00CB5C51">
        <w:t>acknowledge</w:t>
      </w:r>
      <w:r w:rsidR="009D5A24">
        <w:t>d</w:t>
      </w:r>
      <w:r w:rsidR="00CB5C51">
        <w:t xml:space="preserve"> the hierarchical structure </w:t>
      </w:r>
      <w:r w:rsidR="009D5A24">
        <w:t>among the data given the multi-site design. This still demonstrated p</w:t>
      </w:r>
      <w:r w:rsidR="00243C1D">
        <w:t xml:space="preserve">ower </w:t>
      </w:r>
      <w:r w:rsidR="00BC6CFC">
        <w:t xml:space="preserve">= .95 </w:t>
      </w:r>
      <w:r w:rsidR="00243C1D">
        <w:t xml:space="preserve">to detect the effect size found in the literature, </w:t>
      </w:r>
      <w:r w:rsidR="009D5A24">
        <w:t xml:space="preserve">or to detect an </w:t>
      </w:r>
      <w:r w:rsidR="0036312A">
        <w:t xml:space="preserve">effect size of </w:t>
      </w:r>
      <w:r w:rsidR="009D5A24">
        <w:t xml:space="preserve">as small as </w:t>
      </w:r>
      <w:r w:rsidR="008E3F2C">
        <w:t xml:space="preserve">0.16 </w:t>
      </w:r>
      <w:r w:rsidR="009D5A24">
        <w:t xml:space="preserve">with </w:t>
      </w:r>
      <w:r w:rsidR="0036312A">
        <w:t xml:space="preserve">power </w:t>
      </w:r>
      <w:r w:rsidR="008E3F2C">
        <w:t xml:space="preserve">= .80 (see </w:t>
      </w:r>
      <w:r w:rsidR="009D5A24">
        <w:t>S</w:t>
      </w:r>
      <w:r w:rsidR="008E3F2C">
        <w:t xml:space="preserve">upplementary </w:t>
      </w:r>
      <w:r w:rsidR="009D5A24">
        <w:t>M</w:t>
      </w:r>
      <w:r w:rsidR="008E3F2C">
        <w:t>aterials</w:t>
      </w:r>
      <w:r w:rsidR="00224BC4">
        <w:t xml:space="preserve"> for details and code</w:t>
      </w:r>
      <w:r w:rsidR="008E3F2C">
        <w:t xml:space="preserve">). </w:t>
      </w:r>
      <w:r w:rsidR="00632F49">
        <w:t xml:space="preserve">Using this </w:t>
      </w:r>
      <w:r w:rsidR="00A47F11">
        <w:t xml:space="preserve">compound </w:t>
      </w:r>
      <w:r w:rsidR="00632F49">
        <w:t>exclusion criterion</w:t>
      </w:r>
      <w:r w:rsidR="00A47F11">
        <w:t xml:space="preserve">, </w:t>
      </w:r>
      <w:r w:rsidR="00632F49">
        <w:t xml:space="preserve">a </w:t>
      </w:r>
      <w:r w:rsidR="00B93DEA">
        <w:t>second</w:t>
      </w:r>
      <w:r w:rsidR="00632F49">
        <w:t xml:space="preserve"> </w:t>
      </w:r>
      <w:r w:rsidR="00B93DEA">
        <w:t xml:space="preserve">meta-analysis </w:t>
      </w:r>
      <w:r w:rsidR="00632F49">
        <w:t xml:space="preserve">demonstrated </w:t>
      </w:r>
      <w:r w:rsidR="009004A5" w:rsidRPr="009004A5">
        <w:t xml:space="preserve">a </w:t>
      </w:r>
      <w:r w:rsidR="00B53BBE">
        <w:t xml:space="preserve">non-significant, </w:t>
      </w:r>
      <w:r w:rsidR="009004A5" w:rsidRPr="009004A5">
        <w:t>well</w:t>
      </w:r>
      <w:r w:rsidR="00632F49">
        <w:t>-</w:t>
      </w:r>
      <w:r w:rsidR="009004A5" w:rsidRPr="009004A5">
        <w:t xml:space="preserve">estimated effect size </w:t>
      </w:r>
      <w:r w:rsidR="001704F2">
        <w:t>that w</w:t>
      </w:r>
      <w:r w:rsidR="00B53BBE">
        <w:t xml:space="preserve">as </w:t>
      </w:r>
      <w:r w:rsidR="009004A5" w:rsidRPr="009004A5">
        <w:t xml:space="preserve">exceptionally close to zero, Hedges </w:t>
      </w:r>
      <w:r w:rsidR="009004A5" w:rsidRPr="00632F49">
        <w:rPr>
          <w:i/>
        </w:rPr>
        <w:t>g</w:t>
      </w:r>
      <w:r w:rsidR="009004A5" w:rsidRPr="009004A5">
        <w:t xml:space="preserve"> = 0.00, 95% CI [-0.11, 0.10], </w:t>
      </w:r>
      <w:r w:rsidR="009004A5" w:rsidRPr="007C1BC4">
        <w:rPr>
          <w:i/>
        </w:rPr>
        <w:t>p</w:t>
      </w:r>
      <w:r w:rsidR="009004A5" w:rsidRPr="009004A5">
        <w:t xml:space="preserve"> = .983</w:t>
      </w:r>
      <w:r w:rsidR="007C1BC4">
        <w:t xml:space="preserve">, </w:t>
      </w:r>
      <w:r w:rsidR="00157787">
        <w:t xml:space="preserve">and with no heterogeneity, </w:t>
      </w:r>
      <w:r w:rsidR="00B77EA9" w:rsidRPr="00B77EA9">
        <w:rPr>
          <w:rFonts w:ascii="Cambria Math" w:hAnsi="Cambria Math" w:cs="Cambria Math"/>
        </w:rPr>
        <w:t>𝜏</w:t>
      </w:r>
      <w:r w:rsidR="00B77EA9" w:rsidRPr="007C1BC4">
        <w:rPr>
          <w:vertAlign w:val="superscript"/>
        </w:rPr>
        <w:t>2</w:t>
      </w:r>
      <w:r w:rsidR="00B77EA9" w:rsidRPr="00B77EA9">
        <w:t xml:space="preserve"> = 0</w:t>
      </w:r>
      <w:r w:rsidR="00B77EA9">
        <w:t xml:space="preserve">.0, </w:t>
      </w:r>
      <w:r w:rsidR="007C1BC4" w:rsidRPr="007C1BC4">
        <w:rPr>
          <w:i/>
        </w:rPr>
        <w:t>I</w:t>
      </w:r>
      <w:r w:rsidR="007C1BC4" w:rsidRPr="007C1BC4">
        <w:rPr>
          <w:vertAlign w:val="superscript"/>
        </w:rPr>
        <w:t>2</w:t>
      </w:r>
      <w:r w:rsidR="007C1BC4" w:rsidRPr="007C1BC4">
        <w:t xml:space="preserve"> = 0</w:t>
      </w:r>
      <w:r w:rsidR="007C1BC4">
        <w:t>.0%</w:t>
      </w:r>
      <w:r w:rsidR="007C1BC4" w:rsidRPr="007C1BC4">
        <w:t xml:space="preserve">, </w:t>
      </w:r>
      <w:r w:rsidR="007C1BC4" w:rsidRPr="007C1BC4">
        <w:rPr>
          <w:i/>
        </w:rPr>
        <w:t>H</w:t>
      </w:r>
      <w:r w:rsidR="007C1BC4" w:rsidRPr="007C1BC4">
        <w:rPr>
          <w:vertAlign w:val="superscript"/>
        </w:rPr>
        <w:t>2</w:t>
      </w:r>
      <w:r w:rsidR="007C1BC4" w:rsidRPr="007C1BC4">
        <w:t xml:space="preserve"> = 1</w:t>
      </w:r>
      <w:r w:rsidR="007C1BC4">
        <w:t>.0.</w:t>
      </w:r>
    </w:p>
    <w:p w14:paraId="659BEDA9" w14:textId="10BC28A1" w:rsidR="00792289" w:rsidRPr="00792289" w:rsidRDefault="00792289" w:rsidP="00345B03">
      <w:pPr>
        <w:pStyle w:val="Heading2"/>
      </w:pPr>
      <w:r w:rsidRPr="00792289">
        <w:t>Conclusions</w:t>
      </w:r>
    </w:p>
    <w:p w14:paraId="7080B2F3" w14:textId="006F100D" w:rsidR="006453E2" w:rsidRDefault="00057C56" w:rsidP="00345B03">
      <w:pPr>
        <w:rPr>
          <w:highlight w:val="white"/>
        </w:rPr>
      </w:pPr>
      <w:r>
        <w:rPr>
          <w:highlight w:val="white"/>
        </w:rPr>
        <w:t>W</w:t>
      </w:r>
      <w:r w:rsidR="004E7ADB">
        <w:rPr>
          <w:highlight w:val="white"/>
        </w:rPr>
        <w:t xml:space="preserve">hile </w:t>
      </w:r>
      <w:r>
        <w:rPr>
          <w:highlight w:val="white"/>
        </w:rPr>
        <w:t xml:space="preserve">the RRR </w:t>
      </w:r>
      <w:r w:rsidR="00606AD7">
        <w:rPr>
          <w:highlight w:val="white"/>
        </w:rPr>
        <w:t>replicated</w:t>
      </w:r>
      <w:r w:rsidR="004E7ADB">
        <w:rPr>
          <w:highlight w:val="white"/>
        </w:rPr>
        <w:t xml:space="preserve"> the </w:t>
      </w:r>
      <w:r w:rsidR="0091712F">
        <w:rPr>
          <w:highlight w:val="white"/>
        </w:rPr>
        <w:t xml:space="preserve">original </w:t>
      </w:r>
      <w:r w:rsidR="004E7ADB" w:rsidRPr="004E7ADB">
        <w:rPr>
          <w:i/>
          <w:highlight w:val="white"/>
        </w:rPr>
        <w:t>effect</w:t>
      </w:r>
      <w:r>
        <w:rPr>
          <w:highlight w:val="white"/>
        </w:rPr>
        <w:t xml:space="preserve"> demonstrated in Olson &amp; Fazio (2001)</w:t>
      </w:r>
      <w:r w:rsidR="00606AD7">
        <w:rPr>
          <w:highlight w:val="white"/>
        </w:rPr>
        <w:t xml:space="preserve">, </w:t>
      </w:r>
      <w:r>
        <w:rPr>
          <w:highlight w:val="white"/>
        </w:rPr>
        <w:t xml:space="preserve">we argue that both </w:t>
      </w:r>
      <w:r w:rsidR="00BE4526">
        <w:rPr>
          <w:highlight w:val="white"/>
        </w:rPr>
        <w:t>O</w:t>
      </w:r>
      <w:r>
        <w:rPr>
          <w:highlight w:val="white"/>
        </w:rPr>
        <w:t xml:space="preserve">lson &amp; Fazio (2001) and </w:t>
      </w:r>
      <w:r w:rsidR="00845A8F">
        <w:rPr>
          <w:highlight w:val="white"/>
        </w:rPr>
        <w:t>the</w:t>
      </w:r>
      <w:r>
        <w:rPr>
          <w:highlight w:val="white"/>
        </w:rPr>
        <w:t xml:space="preserve"> RRR represent weak tests of the </w:t>
      </w:r>
      <w:r w:rsidR="00606AD7">
        <w:rPr>
          <w:highlight w:val="white"/>
        </w:rPr>
        <w:t xml:space="preserve">underlying verbal hypothesis </w:t>
      </w:r>
      <w:r>
        <w:rPr>
          <w:highlight w:val="white"/>
        </w:rPr>
        <w:t>that</w:t>
      </w:r>
      <w:r w:rsidR="00304A64">
        <w:rPr>
          <w:highlight w:val="white"/>
        </w:rPr>
        <w:t xml:space="preserve"> Evaluative Conditioning </w:t>
      </w:r>
      <w:r w:rsidR="00845A8F">
        <w:rPr>
          <w:highlight w:val="white"/>
        </w:rPr>
        <w:t>can be demonstrated in the absence of awareness</w:t>
      </w:r>
      <w:r w:rsidR="0080308C">
        <w:rPr>
          <w:highlight w:val="white"/>
        </w:rPr>
        <w:t xml:space="preserve"> of stimulus pairings</w:t>
      </w:r>
      <w:r>
        <w:rPr>
          <w:highlight w:val="white"/>
        </w:rPr>
        <w:t xml:space="preserve">. </w:t>
      </w:r>
      <w:r w:rsidR="006453E2">
        <w:rPr>
          <w:highlight w:val="white"/>
        </w:rPr>
        <w:t xml:space="preserve">Let us be clear: we </w:t>
      </w:r>
      <w:r w:rsidR="006453E2" w:rsidRPr="006453E2">
        <w:t>are</w:t>
      </w:r>
      <w:r w:rsidR="006453E2">
        <w:t xml:space="preserve"> not</w:t>
      </w:r>
      <w:r w:rsidR="006453E2" w:rsidRPr="006453E2">
        <w:t xml:space="preserve"> </w:t>
      </w:r>
      <w:r w:rsidR="00B047A1">
        <w:t>arguing</w:t>
      </w:r>
      <w:r w:rsidR="006453E2" w:rsidRPr="006453E2">
        <w:t xml:space="preserve"> the effect produced by this experimental setup doesn’t replicate</w:t>
      </w:r>
      <w:r w:rsidR="00B047A1">
        <w:t>. The results of the RRR indicate that it does.</w:t>
      </w:r>
      <w:r w:rsidR="006453E2" w:rsidRPr="006453E2">
        <w:t xml:space="preserve"> </w:t>
      </w:r>
      <w:r w:rsidR="00B047A1">
        <w:t>Rather, w</w:t>
      </w:r>
      <w:r w:rsidR="006453E2" w:rsidRPr="006453E2">
        <w:t>e</w:t>
      </w:r>
      <w:r w:rsidR="00B047A1">
        <w:t xml:space="preserve"> are</w:t>
      </w:r>
      <w:r w:rsidR="006453E2" w:rsidRPr="006453E2">
        <w:t xml:space="preserve"> </w:t>
      </w:r>
      <w:r w:rsidR="00B047A1">
        <w:t>arguing</w:t>
      </w:r>
      <w:r w:rsidR="006453E2" w:rsidRPr="006453E2">
        <w:t xml:space="preserve"> this experimental setup is not particularly </w:t>
      </w:r>
      <w:r w:rsidR="006453E2" w:rsidRPr="006453E2">
        <w:lastRenderedPageBreak/>
        <w:t>useful for testing the verbal hypothesis of interest</w:t>
      </w:r>
      <w:r w:rsidR="003E406E">
        <w:t xml:space="preserve">. In our opinion, this setup produces </w:t>
      </w:r>
      <w:r w:rsidR="006453E2" w:rsidRPr="006453E2">
        <w:t>replicable effects but unreplicable inferences</w:t>
      </w:r>
      <w:r w:rsidR="00B047A1">
        <w:t>.</w:t>
      </w:r>
    </w:p>
    <w:p w14:paraId="7D38A06A" w14:textId="35E70B85" w:rsidR="00345B03" w:rsidRPr="00BF6B50" w:rsidRDefault="00273F99" w:rsidP="00BF6B50">
      <w:r>
        <w:rPr>
          <w:highlight w:val="white"/>
        </w:rPr>
        <w:t>In our opinion, t</w:t>
      </w:r>
      <w:r w:rsidR="00B65C8F">
        <w:rPr>
          <w:highlight w:val="white"/>
        </w:rPr>
        <w:t xml:space="preserve">his is primarily due to the fact that the exclusion criteria appear to function as poor or noisy measures of awareness. </w:t>
      </w:r>
      <w:r w:rsidR="00401A07">
        <w:rPr>
          <w:highlight w:val="white"/>
        </w:rPr>
        <w:t>Two n</w:t>
      </w:r>
      <w:r w:rsidR="00B65C8F">
        <w:rPr>
          <w:highlight w:val="white"/>
        </w:rPr>
        <w:t>ew meta analyses</w:t>
      </w:r>
      <w:r w:rsidR="00401A07">
        <w:rPr>
          <w:highlight w:val="white"/>
        </w:rPr>
        <w:t>, which</w:t>
      </w:r>
      <w:r w:rsidR="00B65C8F">
        <w:rPr>
          <w:highlight w:val="white"/>
        </w:rPr>
        <w:t xml:space="preserve"> (a) controlled for the awareness rate between sites and (b) used stricter compound awareness criteria</w:t>
      </w:r>
      <w:r w:rsidR="00401A07">
        <w:rPr>
          <w:highlight w:val="white"/>
        </w:rPr>
        <w:t>,</w:t>
      </w:r>
      <w:r w:rsidR="00B65C8F">
        <w:rPr>
          <w:highlight w:val="white"/>
        </w:rPr>
        <w:t xml:space="preserve"> both demonstrated non-significant</w:t>
      </w:r>
      <w:r w:rsidR="00304A64">
        <w:rPr>
          <w:highlight w:val="white"/>
        </w:rPr>
        <w:t xml:space="preserve"> Evaluative Conditioning </w:t>
      </w:r>
      <w:r w:rsidR="00B65C8F">
        <w:rPr>
          <w:highlight w:val="white"/>
        </w:rPr>
        <w:t>effects that were close to zero.</w:t>
      </w:r>
      <w:r w:rsidR="001772BD">
        <w:rPr>
          <w:highlight w:val="white"/>
        </w:rPr>
        <w:t xml:space="preserve"> In our opinion, </w:t>
      </w:r>
      <w:r w:rsidR="003B31F4">
        <w:rPr>
          <w:highlight w:val="white"/>
        </w:rPr>
        <w:t>when subjected to severe</w:t>
      </w:r>
      <w:r w:rsidR="00057C56">
        <w:rPr>
          <w:highlight w:val="white"/>
        </w:rPr>
        <w:t xml:space="preserve"> test</w:t>
      </w:r>
      <w:r w:rsidR="003B31F4">
        <w:rPr>
          <w:highlight w:val="white"/>
        </w:rPr>
        <w:t xml:space="preserve">ing, </w:t>
      </w:r>
      <w:r w:rsidR="00057C56">
        <w:rPr>
          <w:highlight w:val="white"/>
        </w:rPr>
        <w:t xml:space="preserve">the </w:t>
      </w:r>
      <w:r w:rsidR="003B31F4">
        <w:rPr>
          <w:highlight w:val="white"/>
        </w:rPr>
        <w:t xml:space="preserve">key </w:t>
      </w:r>
      <w:r w:rsidR="00057C56">
        <w:rPr>
          <w:highlight w:val="white"/>
        </w:rPr>
        <w:t>hypothesis</w:t>
      </w:r>
      <w:r w:rsidR="00A6763D">
        <w:rPr>
          <w:highlight w:val="white"/>
        </w:rPr>
        <w:t xml:space="preserve"> tested by the RRR is </w:t>
      </w:r>
      <w:r w:rsidR="00606AD7">
        <w:rPr>
          <w:highlight w:val="white"/>
        </w:rPr>
        <w:t>not supported</w:t>
      </w:r>
      <w:r w:rsidR="000D0239">
        <w:rPr>
          <w:highlight w:val="white"/>
        </w:rPr>
        <w:t xml:space="preserve"> by the data</w:t>
      </w:r>
      <w:r w:rsidR="00606AD7">
        <w:rPr>
          <w:highlight w:val="white"/>
        </w:rPr>
        <w:t>.</w:t>
      </w:r>
      <w:r w:rsidR="00D72520">
        <w:rPr>
          <w:highlight w:val="white"/>
        </w:rPr>
        <w:t xml:space="preserve"> Results serve to highlight the importance of distinguishing between a replicable effect and a replicable inference</w:t>
      </w:r>
      <w:r w:rsidR="00062D86">
        <w:rPr>
          <w:highlight w:val="white"/>
        </w:rPr>
        <w:t xml:space="preserve">, as well as </w:t>
      </w:r>
      <w:r w:rsidR="005641DE">
        <w:rPr>
          <w:highlight w:val="white"/>
        </w:rPr>
        <w:t>highlight</w:t>
      </w:r>
      <w:r w:rsidR="00062D86">
        <w:rPr>
          <w:highlight w:val="white"/>
        </w:rPr>
        <w:t>ing the</w:t>
      </w:r>
      <w:r w:rsidR="005641DE">
        <w:rPr>
          <w:highlight w:val="white"/>
        </w:rPr>
        <w:t xml:space="preserve"> need within experimental psychology </w:t>
      </w:r>
      <w:r w:rsidR="00062D86">
        <w:rPr>
          <w:highlight w:val="white"/>
        </w:rPr>
        <w:t xml:space="preserve">to pay greater attention to measurement validity </w:t>
      </w:r>
      <w:r w:rsidR="008E1E6C">
        <w:rPr>
          <w:highlight w:val="white"/>
        </w:rPr>
        <w:t xml:space="preserve">if our effects and inferences are to be </w:t>
      </w:r>
      <w:r w:rsidR="00876982">
        <w:rPr>
          <w:highlight w:val="white"/>
        </w:rPr>
        <w:t xml:space="preserve">both </w:t>
      </w:r>
      <w:r w:rsidR="008E1E6C">
        <w:rPr>
          <w:highlight w:val="white"/>
        </w:rPr>
        <w:t xml:space="preserve">replicable and valid </w:t>
      </w:r>
      <w:r w:rsidR="005641DE">
        <w:rPr>
          <w:highlight w:val="white"/>
        </w:rPr>
        <w:t>(</w:t>
      </w:r>
      <w:r w:rsidR="009C726B">
        <w:rPr>
          <w:highlight w:val="white"/>
        </w:rPr>
        <w:t xml:space="preserve">see </w:t>
      </w:r>
      <w:r w:rsidR="005641DE">
        <w:rPr>
          <w:highlight w:val="white"/>
        </w:rPr>
        <w:t>Flake REF</w:t>
      </w:r>
      <w:r w:rsidR="005F78CE">
        <w:rPr>
          <w:highlight w:val="white"/>
        </w:rPr>
        <w:t>; Hussey &amp; Hughes, 2020</w:t>
      </w:r>
      <w:r w:rsidR="005641DE">
        <w:rPr>
          <w:highlight w:val="white"/>
        </w:rPr>
        <w:t xml:space="preserve">). </w:t>
      </w:r>
      <w:bookmarkStart w:id="1" w:name="_2s8eyo1" w:colFirst="0" w:colLast="0"/>
      <w:bookmarkStart w:id="2" w:name="_17dp8vu" w:colFirst="0" w:colLast="0"/>
      <w:bookmarkEnd w:id="1"/>
      <w:bookmarkEnd w:id="2"/>
      <w:r w:rsidR="00345B03">
        <w:br w:type="page"/>
      </w:r>
    </w:p>
    <w:p w14:paraId="4485C6F6" w14:textId="2E6BEB8F" w:rsidR="00BA0799" w:rsidRPr="00653FC5" w:rsidRDefault="00492C92" w:rsidP="00345B03">
      <w:pPr>
        <w:pStyle w:val="Heading2"/>
      </w:pPr>
      <w:r w:rsidRPr="00653FC5">
        <w:lastRenderedPageBreak/>
        <w:t>Author contributions</w:t>
      </w:r>
    </w:p>
    <w:p w14:paraId="4E0C705A" w14:textId="47F7C293" w:rsidR="00441B12" w:rsidRDefault="00585A7F" w:rsidP="00345B03">
      <w:bookmarkStart w:id="3" w:name="_3rdcrjn" w:colFirst="0" w:colLast="0"/>
      <w:bookmarkEnd w:id="3"/>
      <w:r>
        <w:t>IH conceptualized</w:t>
      </w:r>
      <w:r w:rsidR="00492C92" w:rsidRPr="00653FC5">
        <w:t xml:space="preserve"> the study</w:t>
      </w:r>
      <w:r>
        <w:t xml:space="preserve"> </w:t>
      </w:r>
      <w:r w:rsidR="00492C92" w:rsidRPr="00653FC5">
        <w:t xml:space="preserve">and analyzed the data. </w:t>
      </w:r>
      <w:r>
        <w:t xml:space="preserve">SH provided critical input to the design and analysis. </w:t>
      </w:r>
      <w:r w:rsidR="00492C92" w:rsidRPr="00653FC5">
        <w:t>Both authors wrote the article</w:t>
      </w:r>
      <w:r>
        <w:t xml:space="preserve"> and </w:t>
      </w:r>
      <w:r w:rsidR="00492C92" w:rsidRPr="00653FC5">
        <w:t xml:space="preserve">approved the final submitted version of the manuscript. </w:t>
      </w:r>
      <w:bookmarkStart w:id="4" w:name="_26in1rg" w:colFirst="0" w:colLast="0"/>
      <w:bookmarkStart w:id="5" w:name="_lnxbz9" w:colFirst="0" w:colLast="0"/>
      <w:bookmarkEnd w:id="4"/>
      <w:bookmarkEnd w:id="5"/>
    </w:p>
    <w:p w14:paraId="06F067FC" w14:textId="77777777" w:rsidR="00345B03" w:rsidRDefault="00345B03" w:rsidP="00345B03"/>
    <w:p w14:paraId="1853447A" w14:textId="77777777" w:rsidR="00BA0799" w:rsidRPr="00653FC5" w:rsidRDefault="00492C92" w:rsidP="00345B03">
      <w:pPr>
        <w:pStyle w:val="Heading2"/>
      </w:pPr>
      <w:r w:rsidRPr="00345B03">
        <w:t>Declaration</w:t>
      </w:r>
      <w:r w:rsidRPr="00653FC5">
        <w:t xml:space="preserve"> of Conflicting Interests</w:t>
      </w:r>
    </w:p>
    <w:p w14:paraId="4E3F1AC4" w14:textId="5F60C844" w:rsidR="00441B12" w:rsidRDefault="00492C92" w:rsidP="00345B03">
      <w:r w:rsidRPr="00653FC5">
        <w:t>IH and SH declare we have no conflicts of interest with respect to the research, authorship, and/or publication of this article.</w:t>
      </w:r>
      <w:bookmarkStart w:id="6" w:name="_35nkun2" w:colFirst="0" w:colLast="0"/>
      <w:bookmarkEnd w:id="6"/>
    </w:p>
    <w:p w14:paraId="1EEFC9C6" w14:textId="77777777" w:rsidR="00345B03" w:rsidRDefault="00345B03" w:rsidP="00345B03"/>
    <w:p w14:paraId="5ECCC510" w14:textId="77777777" w:rsidR="00BA0799" w:rsidRPr="00653FC5" w:rsidRDefault="00492C92" w:rsidP="00345B03">
      <w:pPr>
        <w:pStyle w:val="Heading2"/>
      </w:pPr>
      <w:r w:rsidRPr="00653FC5">
        <w:t>Funding</w:t>
      </w:r>
    </w:p>
    <w:p w14:paraId="4BD0F65D" w14:textId="39A19F3E" w:rsidR="00BA0799" w:rsidRPr="00653FC5" w:rsidRDefault="00492C92" w:rsidP="00A6013E">
      <w:r w:rsidRPr="00653FC5">
        <w:t>The author(s) disclosed receipt of the following financial support for the research, authorship, and/or publication of this article: This research was conducted with the support of Ghent University grant 01P05517 to IH and BOF16/MET_V/002 to Jan De Houwer.</w:t>
      </w:r>
    </w:p>
    <w:p w14:paraId="6B14F701" w14:textId="77777777" w:rsidR="00A6013E" w:rsidRDefault="00A601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jc w:val="left"/>
        <w:rPr>
          <w:color w:val="auto"/>
        </w:rPr>
      </w:pPr>
      <w:bookmarkStart w:id="7" w:name="_njzngi2pfydr" w:colFirst="0" w:colLast="0"/>
      <w:bookmarkEnd w:id="7"/>
      <w:r>
        <w:rPr>
          <w:b/>
        </w:rPr>
        <w:br w:type="page"/>
      </w:r>
    </w:p>
    <w:p w14:paraId="2A8829E0" w14:textId="0866CEB7" w:rsidR="00BA0799" w:rsidRPr="00653FC5" w:rsidRDefault="00492C92" w:rsidP="00653FC5">
      <w:pPr>
        <w:pStyle w:val="Heading1"/>
        <w:spacing w:line="240" w:lineRule="auto"/>
        <w:rPr>
          <w:rFonts w:ascii="CMU Serif Roman" w:hAnsi="CMU Serif Roman"/>
          <w:b w:val="0"/>
        </w:rPr>
      </w:pPr>
      <w:r w:rsidRPr="00653FC5">
        <w:rPr>
          <w:rFonts w:ascii="CMU Serif Roman" w:hAnsi="CMU Serif Roman"/>
          <w:b w:val="0"/>
        </w:rPr>
        <w:lastRenderedPageBreak/>
        <w:t>References</w:t>
      </w:r>
    </w:p>
    <w:p w14:paraId="29D42BB4" w14:textId="77777777" w:rsidR="00BA0799" w:rsidRPr="00653FC5" w:rsidRDefault="00BA0799" w:rsidP="00462229"/>
    <w:sectPr w:rsidR="00BA0799" w:rsidRPr="00653F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91AB" w14:textId="77777777" w:rsidR="002473BF" w:rsidRDefault="002473BF" w:rsidP="00E32F63">
      <w:r>
        <w:separator/>
      </w:r>
    </w:p>
  </w:endnote>
  <w:endnote w:type="continuationSeparator" w:id="0">
    <w:p w14:paraId="54E9C67F" w14:textId="77777777" w:rsidR="002473BF" w:rsidRDefault="002473BF" w:rsidP="00E3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4375473"/>
      <w:docPartObj>
        <w:docPartGallery w:val="Page Numbers (Bottom of Page)"/>
        <w:docPartUnique/>
      </w:docPartObj>
    </w:sdtPr>
    <w:sdtContent>
      <w:p w14:paraId="5077A4B1" w14:textId="2D2E2B90" w:rsidR="006C73CD" w:rsidRDefault="006C73CD" w:rsidP="00E972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A3326" w14:textId="77777777" w:rsidR="006C73CD" w:rsidRDefault="006C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1940361852"/>
      <w:docPartObj>
        <w:docPartGallery w:val="Page Numbers (Bottom of Page)"/>
        <w:docPartUnique/>
      </w:docPartObj>
    </w:sdtPr>
    <w:sdtEndPr>
      <w:rPr>
        <w:rStyle w:val="DefaultParagraphFont"/>
      </w:rPr>
    </w:sdtEndPr>
    <w:sdtContent>
      <w:p w14:paraId="2FD3540F" w14:textId="714BE898" w:rsidR="006C73CD" w:rsidRPr="006C73CD" w:rsidRDefault="006C73CD" w:rsidP="00BF6B50">
        <w:pPr>
          <w:ind w:firstLine="0"/>
          <w:jc w:val="center"/>
          <w:rPr>
            <w:rStyle w:val="PageNumber"/>
            <w:sz w:val="20"/>
            <w:szCs w:val="20"/>
          </w:rPr>
        </w:pPr>
        <w:r w:rsidRPr="006C73CD">
          <w:rPr>
            <w:rStyle w:val="PageNumber"/>
            <w:sz w:val="20"/>
            <w:szCs w:val="20"/>
          </w:rPr>
          <w:fldChar w:fldCharType="begin"/>
        </w:r>
        <w:r w:rsidRPr="006C73CD">
          <w:rPr>
            <w:rStyle w:val="PageNumber"/>
            <w:sz w:val="20"/>
            <w:szCs w:val="20"/>
          </w:rPr>
          <w:instrText xml:space="preserve"> PAGE </w:instrText>
        </w:r>
        <w:r w:rsidRPr="006C73CD">
          <w:rPr>
            <w:rStyle w:val="PageNumber"/>
            <w:sz w:val="20"/>
            <w:szCs w:val="20"/>
          </w:rPr>
          <w:fldChar w:fldCharType="separate"/>
        </w:r>
        <w:r w:rsidRPr="006C73CD">
          <w:rPr>
            <w:rStyle w:val="PageNumber"/>
            <w:noProof/>
            <w:sz w:val="20"/>
            <w:szCs w:val="20"/>
          </w:rPr>
          <w:t>4</w:t>
        </w:r>
        <w:r w:rsidRPr="006C73CD">
          <w:rPr>
            <w:rStyle w:val="PageNumber"/>
            <w:sz w:val="20"/>
            <w:szCs w:val="20"/>
          </w:rPr>
          <w:fldChar w:fldCharType="end"/>
        </w:r>
      </w:p>
    </w:sdtContent>
  </w:sdt>
  <w:p w14:paraId="5D9071DC" w14:textId="77777777" w:rsidR="006C73CD" w:rsidRDefault="006C73CD" w:rsidP="006C73C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94E3C" w14:textId="77777777" w:rsidR="002473BF" w:rsidRDefault="002473BF" w:rsidP="00E32F63">
      <w:r>
        <w:separator/>
      </w:r>
    </w:p>
  </w:footnote>
  <w:footnote w:type="continuationSeparator" w:id="0">
    <w:p w14:paraId="50C63033" w14:textId="77777777" w:rsidR="002473BF" w:rsidRDefault="002473BF" w:rsidP="00E32F63">
      <w:r>
        <w:continuationSeparator/>
      </w:r>
    </w:p>
  </w:footnote>
  <w:footnote w:id="1">
    <w:p w14:paraId="4894775E" w14:textId="6C06072B" w:rsidR="00E32F63" w:rsidRPr="00E32F63" w:rsidRDefault="00E32F63" w:rsidP="00E32F63">
      <w:pPr>
        <w:rPr>
          <w:sz w:val="20"/>
          <w:szCs w:val="20"/>
        </w:rPr>
      </w:pPr>
      <w:r w:rsidRPr="00E32F63">
        <w:rPr>
          <w:rStyle w:val="FootnoteReference"/>
          <w:sz w:val="20"/>
          <w:szCs w:val="20"/>
        </w:rPr>
        <w:footnoteRef/>
      </w:r>
      <w:r w:rsidRPr="00E32F63">
        <w:rPr>
          <w:sz w:val="20"/>
          <w:szCs w:val="20"/>
        </w:rPr>
        <w:t xml:space="preserve"> </w:t>
      </w:r>
      <w:r w:rsidRPr="00E32F63">
        <w:rPr>
          <w:sz w:val="20"/>
          <w:szCs w:val="20"/>
        </w:rPr>
        <w:t xml:space="preserve">It is perhaps unconventional to write a commentary on a paper which we are third and second authors of (respectively), and therefore </w:t>
      </w:r>
      <w:r w:rsidR="00720B2D">
        <w:rPr>
          <w:sz w:val="20"/>
          <w:szCs w:val="20"/>
        </w:rPr>
        <w:t xml:space="preserve">it’s </w:t>
      </w:r>
      <w:r w:rsidRPr="00E32F63">
        <w:rPr>
          <w:sz w:val="20"/>
          <w:szCs w:val="20"/>
        </w:rPr>
        <w:t xml:space="preserve">worth providing a brief explanation. This situation arose in part due to the large number of authors involved in the original RRR paper who, understandably, possess a diverse set of opinions on how its results should be interpreted. </w:t>
      </w:r>
      <w:r w:rsidR="00AA6AA3">
        <w:rPr>
          <w:sz w:val="20"/>
          <w:szCs w:val="20"/>
        </w:rPr>
        <w:t xml:space="preserve">Moran et al. (2020) </w:t>
      </w:r>
      <w:r w:rsidRPr="00E32F63">
        <w:rPr>
          <w:sz w:val="20"/>
          <w:szCs w:val="20"/>
        </w:rPr>
        <w:t xml:space="preserve">represents the consensus opinion among that study’s authors, whereas this commentary provides our own opinions on the results of that study. </w:t>
      </w:r>
    </w:p>
    <w:p w14:paraId="3A956652" w14:textId="154D1111" w:rsidR="00E32F63" w:rsidRPr="00E32F63" w:rsidRDefault="00E32F63">
      <w:pPr>
        <w:pStyle w:val="FootnoteText"/>
        <w:rPr>
          <w:lang w:val="en-I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25762" w14:textId="77777777" w:rsidR="004425FC" w:rsidRDefault="004425FC" w:rsidP="00E32F63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83482" w14:textId="77777777" w:rsidR="004425FC" w:rsidRDefault="004425FC" w:rsidP="00E32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7F971" w14:textId="134BF0E5" w:rsidR="004425FC" w:rsidRDefault="004425FC" w:rsidP="00D71AA9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right="360"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7F5BD" w14:textId="450E6AF1" w:rsidR="004425FC" w:rsidRDefault="004425FC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99"/>
    <w:rsid w:val="00001748"/>
    <w:rsid w:val="0000495C"/>
    <w:rsid w:val="00024184"/>
    <w:rsid w:val="0003765C"/>
    <w:rsid w:val="00046C4F"/>
    <w:rsid w:val="0005378F"/>
    <w:rsid w:val="00057C56"/>
    <w:rsid w:val="00062D86"/>
    <w:rsid w:val="00065785"/>
    <w:rsid w:val="000673C9"/>
    <w:rsid w:val="000824AA"/>
    <w:rsid w:val="00086285"/>
    <w:rsid w:val="00087E86"/>
    <w:rsid w:val="00090FF8"/>
    <w:rsid w:val="000A130F"/>
    <w:rsid w:val="000A6AB5"/>
    <w:rsid w:val="000B4DBF"/>
    <w:rsid w:val="000D0239"/>
    <w:rsid w:val="000F0293"/>
    <w:rsid w:val="001200A0"/>
    <w:rsid w:val="00121809"/>
    <w:rsid w:val="0013032D"/>
    <w:rsid w:val="00137A27"/>
    <w:rsid w:val="001440A4"/>
    <w:rsid w:val="00146AA2"/>
    <w:rsid w:val="00157787"/>
    <w:rsid w:val="00164DE3"/>
    <w:rsid w:val="001704F2"/>
    <w:rsid w:val="0017255D"/>
    <w:rsid w:val="001750C7"/>
    <w:rsid w:val="001772BD"/>
    <w:rsid w:val="00195773"/>
    <w:rsid w:val="001A0223"/>
    <w:rsid w:val="001B2730"/>
    <w:rsid w:val="001B655A"/>
    <w:rsid w:val="001C7F0C"/>
    <w:rsid w:val="001D5F0B"/>
    <w:rsid w:val="001D6DF6"/>
    <w:rsid w:val="001D705A"/>
    <w:rsid w:val="00210149"/>
    <w:rsid w:val="00212DB9"/>
    <w:rsid w:val="002215A3"/>
    <w:rsid w:val="00224BC4"/>
    <w:rsid w:val="002256E3"/>
    <w:rsid w:val="00231C55"/>
    <w:rsid w:val="00234198"/>
    <w:rsid w:val="00243C1D"/>
    <w:rsid w:val="002473BF"/>
    <w:rsid w:val="00250D20"/>
    <w:rsid w:val="00273F99"/>
    <w:rsid w:val="00275184"/>
    <w:rsid w:val="0028347C"/>
    <w:rsid w:val="00285FCC"/>
    <w:rsid w:val="0028725F"/>
    <w:rsid w:val="00291747"/>
    <w:rsid w:val="00293E1F"/>
    <w:rsid w:val="002A1A1C"/>
    <w:rsid w:val="002A6BCE"/>
    <w:rsid w:val="002B3DA6"/>
    <w:rsid w:val="002B59DB"/>
    <w:rsid w:val="002B735B"/>
    <w:rsid w:val="002C15F5"/>
    <w:rsid w:val="002E017B"/>
    <w:rsid w:val="002E2E7A"/>
    <w:rsid w:val="002E5126"/>
    <w:rsid w:val="002E5580"/>
    <w:rsid w:val="002E586B"/>
    <w:rsid w:val="002F052C"/>
    <w:rsid w:val="002F1D09"/>
    <w:rsid w:val="002F6D8B"/>
    <w:rsid w:val="003004FB"/>
    <w:rsid w:val="00304A64"/>
    <w:rsid w:val="00306DD3"/>
    <w:rsid w:val="003103DC"/>
    <w:rsid w:val="0031569F"/>
    <w:rsid w:val="00332807"/>
    <w:rsid w:val="00345B03"/>
    <w:rsid w:val="00353E3D"/>
    <w:rsid w:val="0036312A"/>
    <w:rsid w:val="00370EBC"/>
    <w:rsid w:val="003777FB"/>
    <w:rsid w:val="00381DD2"/>
    <w:rsid w:val="00385054"/>
    <w:rsid w:val="00396006"/>
    <w:rsid w:val="003A02B4"/>
    <w:rsid w:val="003A4EAB"/>
    <w:rsid w:val="003B31F4"/>
    <w:rsid w:val="003B3C9B"/>
    <w:rsid w:val="003C29E0"/>
    <w:rsid w:val="003C70EF"/>
    <w:rsid w:val="003D020D"/>
    <w:rsid w:val="003D593D"/>
    <w:rsid w:val="003D6E48"/>
    <w:rsid w:val="003D7048"/>
    <w:rsid w:val="003E406E"/>
    <w:rsid w:val="003F032F"/>
    <w:rsid w:val="003F11B7"/>
    <w:rsid w:val="003F421D"/>
    <w:rsid w:val="00401A07"/>
    <w:rsid w:val="00406FA6"/>
    <w:rsid w:val="00407C1B"/>
    <w:rsid w:val="00422003"/>
    <w:rsid w:val="0042505F"/>
    <w:rsid w:val="00427CAB"/>
    <w:rsid w:val="00441B12"/>
    <w:rsid w:val="004425FC"/>
    <w:rsid w:val="0044499C"/>
    <w:rsid w:val="00453D69"/>
    <w:rsid w:val="00455ED3"/>
    <w:rsid w:val="00461133"/>
    <w:rsid w:val="00462229"/>
    <w:rsid w:val="004631E5"/>
    <w:rsid w:val="00470090"/>
    <w:rsid w:val="004840B0"/>
    <w:rsid w:val="00492C92"/>
    <w:rsid w:val="004936F5"/>
    <w:rsid w:val="0049451C"/>
    <w:rsid w:val="0049619E"/>
    <w:rsid w:val="00497E49"/>
    <w:rsid w:val="004A6E89"/>
    <w:rsid w:val="004A7270"/>
    <w:rsid w:val="004B0D4B"/>
    <w:rsid w:val="004B16F2"/>
    <w:rsid w:val="004B605F"/>
    <w:rsid w:val="004C0D06"/>
    <w:rsid w:val="004D2761"/>
    <w:rsid w:val="004E7ADB"/>
    <w:rsid w:val="00500FDB"/>
    <w:rsid w:val="00527E51"/>
    <w:rsid w:val="00534CAC"/>
    <w:rsid w:val="0054122E"/>
    <w:rsid w:val="00555291"/>
    <w:rsid w:val="00557118"/>
    <w:rsid w:val="00561687"/>
    <w:rsid w:val="005641DE"/>
    <w:rsid w:val="00571367"/>
    <w:rsid w:val="00585A7F"/>
    <w:rsid w:val="00594BC9"/>
    <w:rsid w:val="005A3888"/>
    <w:rsid w:val="005A6BA4"/>
    <w:rsid w:val="005A6D38"/>
    <w:rsid w:val="005A7134"/>
    <w:rsid w:val="005D6D97"/>
    <w:rsid w:val="005D6DBB"/>
    <w:rsid w:val="005F78CE"/>
    <w:rsid w:val="00606AD7"/>
    <w:rsid w:val="00607D0C"/>
    <w:rsid w:val="00612E78"/>
    <w:rsid w:val="0061426C"/>
    <w:rsid w:val="00626515"/>
    <w:rsid w:val="00632A14"/>
    <w:rsid w:val="00632F49"/>
    <w:rsid w:val="00636A2F"/>
    <w:rsid w:val="00641C2E"/>
    <w:rsid w:val="006453E2"/>
    <w:rsid w:val="006468D5"/>
    <w:rsid w:val="0065134B"/>
    <w:rsid w:val="00653D74"/>
    <w:rsid w:val="00653FC5"/>
    <w:rsid w:val="006558D3"/>
    <w:rsid w:val="00656CA4"/>
    <w:rsid w:val="0066646C"/>
    <w:rsid w:val="006733EE"/>
    <w:rsid w:val="00683BEB"/>
    <w:rsid w:val="006A5E59"/>
    <w:rsid w:val="006A6B67"/>
    <w:rsid w:val="006A6F39"/>
    <w:rsid w:val="006A7DE8"/>
    <w:rsid w:val="006C2AF0"/>
    <w:rsid w:val="006C73CD"/>
    <w:rsid w:val="006D3DBE"/>
    <w:rsid w:val="006F02B8"/>
    <w:rsid w:val="006F310D"/>
    <w:rsid w:val="00707E4A"/>
    <w:rsid w:val="00717ABA"/>
    <w:rsid w:val="00720B2D"/>
    <w:rsid w:val="0072216A"/>
    <w:rsid w:val="0074111F"/>
    <w:rsid w:val="00742FB6"/>
    <w:rsid w:val="0074313F"/>
    <w:rsid w:val="007636F6"/>
    <w:rsid w:val="007664DC"/>
    <w:rsid w:val="00772CC5"/>
    <w:rsid w:val="007802BA"/>
    <w:rsid w:val="00782899"/>
    <w:rsid w:val="00792289"/>
    <w:rsid w:val="00793C9D"/>
    <w:rsid w:val="007941D3"/>
    <w:rsid w:val="00795E54"/>
    <w:rsid w:val="00796658"/>
    <w:rsid w:val="007B6A30"/>
    <w:rsid w:val="007C1BC4"/>
    <w:rsid w:val="007D728C"/>
    <w:rsid w:val="007E4519"/>
    <w:rsid w:val="007F1ED6"/>
    <w:rsid w:val="0080308C"/>
    <w:rsid w:val="008107CF"/>
    <w:rsid w:val="00817791"/>
    <w:rsid w:val="00827FD8"/>
    <w:rsid w:val="008331A4"/>
    <w:rsid w:val="008342ED"/>
    <w:rsid w:val="008401F5"/>
    <w:rsid w:val="00845A8F"/>
    <w:rsid w:val="00865BB9"/>
    <w:rsid w:val="00867EE4"/>
    <w:rsid w:val="008719D9"/>
    <w:rsid w:val="00876982"/>
    <w:rsid w:val="008801E5"/>
    <w:rsid w:val="00893FDF"/>
    <w:rsid w:val="008A4B9C"/>
    <w:rsid w:val="008A5C54"/>
    <w:rsid w:val="008B5B3D"/>
    <w:rsid w:val="008B650C"/>
    <w:rsid w:val="008C5315"/>
    <w:rsid w:val="008C6D80"/>
    <w:rsid w:val="008C6DB6"/>
    <w:rsid w:val="008D236C"/>
    <w:rsid w:val="008D6DD2"/>
    <w:rsid w:val="008E1BD1"/>
    <w:rsid w:val="008E1E6C"/>
    <w:rsid w:val="008E3F2C"/>
    <w:rsid w:val="008E4961"/>
    <w:rsid w:val="008E521F"/>
    <w:rsid w:val="008F6C35"/>
    <w:rsid w:val="008F75FE"/>
    <w:rsid w:val="009004A5"/>
    <w:rsid w:val="0090081A"/>
    <w:rsid w:val="00900A6E"/>
    <w:rsid w:val="009135E6"/>
    <w:rsid w:val="009148B2"/>
    <w:rsid w:val="0091712F"/>
    <w:rsid w:val="009232B0"/>
    <w:rsid w:val="009435E3"/>
    <w:rsid w:val="00943E21"/>
    <w:rsid w:val="00960D9F"/>
    <w:rsid w:val="00980A73"/>
    <w:rsid w:val="00984FBC"/>
    <w:rsid w:val="00986A79"/>
    <w:rsid w:val="00990729"/>
    <w:rsid w:val="00993274"/>
    <w:rsid w:val="00993663"/>
    <w:rsid w:val="009A01F6"/>
    <w:rsid w:val="009A227D"/>
    <w:rsid w:val="009A6B54"/>
    <w:rsid w:val="009B1CD0"/>
    <w:rsid w:val="009C726B"/>
    <w:rsid w:val="009D2782"/>
    <w:rsid w:val="009D3978"/>
    <w:rsid w:val="009D4388"/>
    <w:rsid w:val="009D5A24"/>
    <w:rsid w:val="009D6423"/>
    <w:rsid w:val="009E64C0"/>
    <w:rsid w:val="00A01B68"/>
    <w:rsid w:val="00A12454"/>
    <w:rsid w:val="00A14389"/>
    <w:rsid w:val="00A171BD"/>
    <w:rsid w:val="00A31266"/>
    <w:rsid w:val="00A32C23"/>
    <w:rsid w:val="00A40125"/>
    <w:rsid w:val="00A47F11"/>
    <w:rsid w:val="00A6013E"/>
    <w:rsid w:val="00A62F1A"/>
    <w:rsid w:val="00A6763D"/>
    <w:rsid w:val="00A84DD8"/>
    <w:rsid w:val="00A85E22"/>
    <w:rsid w:val="00A900C4"/>
    <w:rsid w:val="00AA23D3"/>
    <w:rsid w:val="00AA6AA3"/>
    <w:rsid w:val="00AA6D7A"/>
    <w:rsid w:val="00AD4274"/>
    <w:rsid w:val="00AE20EA"/>
    <w:rsid w:val="00AE75DF"/>
    <w:rsid w:val="00AF2043"/>
    <w:rsid w:val="00B047A1"/>
    <w:rsid w:val="00B04F15"/>
    <w:rsid w:val="00B2658C"/>
    <w:rsid w:val="00B3206A"/>
    <w:rsid w:val="00B322A6"/>
    <w:rsid w:val="00B32B5F"/>
    <w:rsid w:val="00B374E7"/>
    <w:rsid w:val="00B45A41"/>
    <w:rsid w:val="00B53BBE"/>
    <w:rsid w:val="00B6138A"/>
    <w:rsid w:val="00B65C8F"/>
    <w:rsid w:val="00B739EF"/>
    <w:rsid w:val="00B77EA9"/>
    <w:rsid w:val="00B92651"/>
    <w:rsid w:val="00B92B85"/>
    <w:rsid w:val="00B93DEA"/>
    <w:rsid w:val="00BA0799"/>
    <w:rsid w:val="00BB1A17"/>
    <w:rsid w:val="00BB200C"/>
    <w:rsid w:val="00BC248C"/>
    <w:rsid w:val="00BC6CFC"/>
    <w:rsid w:val="00BD38FC"/>
    <w:rsid w:val="00BE2CE9"/>
    <w:rsid w:val="00BE4526"/>
    <w:rsid w:val="00BF1AD8"/>
    <w:rsid w:val="00BF2502"/>
    <w:rsid w:val="00BF6B50"/>
    <w:rsid w:val="00C17C2C"/>
    <w:rsid w:val="00C25C1D"/>
    <w:rsid w:val="00C31D3F"/>
    <w:rsid w:val="00C32B2B"/>
    <w:rsid w:val="00C3442D"/>
    <w:rsid w:val="00C3537B"/>
    <w:rsid w:val="00C423CB"/>
    <w:rsid w:val="00C426FB"/>
    <w:rsid w:val="00C443AE"/>
    <w:rsid w:val="00C54EE4"/>
    <w:rsid w:val="00C57205"/>
    <w:rsid w:val="00C629F8"/>
    <w:rsid w:val="00C7733E"/>
    <w:rsid w:val="00C80717"/>
    <w:rsid w:val="00C85A01"/>
    <w:rsid w:val="00C94B2A"/>
    <w:rsid w:val="00CB1E77"/>
    <w:rsid w:val="00CB3EA4"/>
    <w:rsid w:val="00CB5C51"/>
    <w:rsid w:val="00CC0633"/>
    <w:rsid w:val="00CC5104"/>
    <w:rsid w:val="00CC64EA"/>
    <w:rsid w:val="00CD0263"/>
    <w:rsid w:val="00CD7E63"/>
    <w:rsid w:val="00CE5ACD"/>
    <w:rsid w:val="00D03DCE"/>
    <w:rsid w:val="00D1106D"/>
    <w:rsid w:val="00D16D4C"/>
    <w:rsid w:val="00D24724"/>
    <w:rsid w:val="00D33143"/>
    <w:rsid w:val="00D41C5E"/>
    <w:rsid w:val="00D4731D"/>
    <w:rsid w:val="00D50285"/>
    <w:rsid w:val="00D5091B"/>
    <w:rsid w:val="00D5570C"/>
    <w:rsid w:val="00D57566"/>
    <w:rsid w:val="00D65C0A"/>
    <w:rsid w:val="00D71AA9"/>
    <w:rsid w:val="00D72520"/>
    <w:rsid w:val="00D9097F"/>
    <w:rsid w:val="00D90EA2"/>
    <w:rsid w:val="00D910AE"/>
    <w:rsid w:val="00D928E0"/>
    <w:rsid w:val="00D95B5D"/>
    <w:rsid w:val="00DB16A2"/>
    <w:rsid w:val="00DC154A"/>
    <w:rsid w:val="00DD06C2"/>
    <w:rsid w:val="00DD30B2"/>
    <w:rsid w:val="00DD6800"/>
    <w:rsid w:val="00DE6087"/>
    <w:rsid w:val="00DE6AAD"/>
    <w:rsid w:val="00DF3291"/>
    <w:rsid w:val="00DF4864"/>
    <w:rsid w:val="00DF495D"/>
    <w:rsid w:val="00E06D0E"/>
    <w:rsid w:val="00E07EBC"/>
    <w:rsid w:val="00E14EF2"/>
    <w:rsid w:val="00E32F63"/>
    <w:rsid w:val="00E356FA"/>
    <w:rsid w:val="00E41FE4"/>
    <w:rsid w:val="00E52156"/>
    <w:rsid w:val="00E60AA4"/>
    <w:rsid w:val="00E63273"/>
    <w:rsid w:val="00E658FF"/>
    <w:rsid w:val="00E67886"/>
    <w:rsid w:val="00E71E90"/>
    <w:rsid w:val="00E954A9"/>
    <w:rsid w:val="00EA48AC"/>
    <w:rsid w:val="00EB6CC4"/>
    <w:rsid w:val="00ED7726"/>
    <w:rsid w:val="00ED7E79"/>
    <w:rsid w:val="00EE24EB"/>
    <w:rsid w:val="00EF5B42"/>
    <w:rsid w:val="00EF63E1"/>
    <w:rsid w:val="00EF76D9"/>
    <w:rsid w:val="00F06219"/>
    <w:rsid w:val="00F0734C"/>
    <w:rsid w:val="00F12D5F"/>
    <w:rsid w:val="00F15019"/>
    <w:rsid w:val="00F370A6"/>
    <w:rsid w:val="00F376C6"/>
    <w:rsid w:val="00F4725D"/>
    <w:rsid w:val="00F80FF0"/>
    <w:rsid w:val="00F82B49"/>
    <w:rsid w:val="00F8699B"/>
    <w:rsid w:val="00FB5A53"/>
    <w:rsid w:val="00FB7EDF"/>
    <w:rsid w:val="00FC0476"/>
    <w:rsid w:val="00FC46E7"/>
    <w:rsid w:val="00FC6D4A"/>
    <w:rsid w:val="00FD4088"/>
    <w:rsid w:val="00FD42B5"/>
    <w:rsid w:val="00FE0928"/>
    <w:rsid w:val="00FE3472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D228"/>
  <w15:docId w15:val="{FEA6F74B-BB77-904E-96C7-1E4D6ED9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F63"/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</w:pPr>
    <w:rPr>
      <w:rFonts w:ascii="CMU Serif Roman" w:hAnsi="CMU Serif Roman"/>
      <w:color w:val="000000"/>
    </w:rPr>
  </w:style>
  <w:style w:type="paragraph" w:styleId="Heading1">
    <w:name w:val="heading 1"/>
    <w:basedOn w:val="Normal1"/>
    <w:next w:val="Normal1"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rsid w:val="00345B03"/>
    <w:pPr>
      <w:keepNext/>
      <w:keepLines/>
      <w:spacing w:line="240" w:lineRule="auto"/>
      <w:ind w:firstLine="0"/>
      <w:jc w:val="both"/>
      <w:outlineLvl w:val="1"/>
    </w:pPr>
    <w:rPr>
      <w:rFonts w:ascii="CMU Serif Roman" w:hAnsi="CMU Serif Roman"/>
      <w:b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keepNext/>
      <w:keepLines/>
      <w:outlineLvl w:val="4"/>
    </w:pPr>
    <w:rPr>
      <w:i/>
    </w:rPr>
  </w:style>
  <w:style w:type="paragraph" w:styleId="Heading6">
    <w:name w:val="heading 6"/>
    <w:basedOn w:val="Normal1"/>
    <w:next w:val="Normal1"/>
    <w:pPr>
      <w:keepNext/>
      <w:keepLines/>
      <w:spacing w:before="40"/>
      <w:ind w:firstLine="0"/>
      <w:outlineLvl w:val="5"/>
    </w:pPr>
    <w:rPr>
      <w:color w:val="6E6E6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0"/>
      <w:ind w:firstLine="0"/>
      <w:jc w:val="center"/>
    </w:p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jc w:val="both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0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1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line="240" w:lineRule="auto"/>
      <w:ind w:firstLine="0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6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575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E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E4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0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1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17B"/>
  </w:style>
  <w:style w:type="paragraph" w:styleId="Footer">
    <w:name w:val="footer"/>
    <w:basedOn w:val="Normal"/>
    <w:link w:val="FooterChar"/>
    <w:uiPriority w:val="99"/>
    <w:unhideWhenUsed/>
    <w:rsid w:val="002E01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17B"/>
  </w:style>
  <w:style w:type="character" w:styleId="PageNumber">
    <w:name w:val="page number"/>
    <w:basedOn w:val="DefaultParagraphFont"/>
    <w:uiPriority w:val="99"/>
    <w:semiHidden/>
    <w:unhideWhenUsed/>
    <w:rsid w:val="002E017B"/>
  </w:style>
  <w:style w:type="character" w:styleId="EndnoteReference">
    <w:name w:val="endnote reference"/>
    <w:basedOn w:val="DefaultParagraphFont"/>
    <w:uiPriority w:val="99"/>
    <w:semiHidden/>
    <w:unhideWhenUsed/>
    <w:rsid w:val="001B655A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1B65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345B03"/>
    <w:rPr>
      <w:rFonts w:ascii="CMU Serif Roman" w:hAnsi="CMU Serif Roman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2F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F63"/>
    <w:rPr>
      <w:rFonts w:ascii="CMU Serif Roman" w:hAnsi="CMU Serif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222</cp:revision>
  <dcterms:created xsi:type="dcterms:W3CDTF">2019-06-03T18:47:00Z</dcterms:created>
  <dcterms:modified xsi:type="dcterms:W3CDTF">2020-02-26T18:28:00Z</dcterms:modified>
</cp:coreProperties>
</file>