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A2E992" w14:textId="294BC4A2" w:rsidR="00EB051D" w:rsidRDefault="00EB051D" w:rsidP="001A6F17">
      <w:pPr>
        <w:ind w:firstLine="0"/>
        <w:jc w:val="center"/>
      </w:pPr>
      <w:r w:rsidRPr="00F127E2">
        <w:t xml:space="preserve">Incidental Attitude Formation via the Surveillance Task: A </w:t>
      </w:r>
      <w:r w:rsidR="002F2323">
        <w:t>R</w:t>
      </w:r>
      <w:r w:rsidRPr="002F2323">
        <w:t>egistered Replication</w:t>
      </w:r>
      <w:r w:rsidRPr="00F127E2">
        <w:t xml:space="preserve"> </w:t>
      </w:r>
      <w:r w:rsidR="002F2323">
        <w:t xml:space="preserve">Report </w:t>
      </w:r>
      <w:r w:rsidRPr="00F127E2">
        <w:t>of Olson and Fazio (2001)</w:t>
      </w:r>
    </w:p>
    <w:p w14:paraId="433687F9" w14:textId="6BB5054F" w:rsidR="0047478C" w:rsidRDefault="0047478C" w:rsidP="009D536E">
      <w:pPr>
        <w:ind w:firstLine="0"/>
        <w:jc w:val="center"/>
      </w:pPr>
      <w:r>
        <w:t xml:space="preserve">Supplementary Online Materials </w:t>
      </w:r>
      <w:r w:rsidR="00104403">
        <w:t>–</w:t>
      </w:r>
      <w:r>
        <w:t xml:space="preserve"> Reviewed</w:t>
      </w:r>
    </w:p>
    <w:p w14:paraId="7F7AFFCF" w14:textId="6176223D" w:rsidR="00104403" w:rsidRDefault="00104403" w:rsidP="00104403">
      <w:pPr>
        <w:pStyle w:val="Heading1"/>
      </w:pPr>
      <w:r>
        <w:t xml:space="preserve">Additional </w:t>
      </w:r>
      <w:r w:rsidR="00D435D1">
        <w:t>details of methods</w:t>
      </w:r>
    </w:p>
    <w:p w14:paraId="722EE2CF" w14:textId="2976973C" w:rsidR="00104403" w:rsidRPr="003709C4" w:rsidRDefault="00104403" w:rsidP="00A140D5">
      <w:pPr>
        <w:pStyle w:val="Heading2"/>
      </w:pPr>
      <w:r w:rsidRPr="003709C4">
        <w:t xml:space="preserve">Sample Size and Characteristics </w:t>
      </w:r>
    </w:p>
    <w:p w14:paraId="0BC01477" w14:textId="1E89766D" w:rsidR="00104403" w:rsidRDefault="00104403" w:rsidP="00104403">
      <w:r w:rsidRPr="00844CCE">
        <w:t xml:space="preserve">Table S1 </w:t>
      </w:r>
      <w:r>
        <w:t xml:space="preserve">below </w:t>
      </w:r>
      <w:r w:rsidRPr="00844CCE">
        <w:t>details the sample size</w:t>
      </w:r>
      <w:r>
        <w:t xml:space="preserve"> and </w:t>
      </w:r>
      <w:r w:rsidRPr="00844CCE">
        <w:t>sample characteristics</w:t>
      </w:r>
      <w:r>
        <w:t xml:space="preserve"> at each site and percent of exclusions for each of the contingency awareness/recollective memory exclusion criteria. </w:t>
      </w:r>
      <w:r w:rsidRPr="00F32498">
        <w:t>We initially planned that each lab would collect data from a minimum of 100 participants and a maximum of 150 participants based on their local resources.</w:t>
      </w:r>
      <w:r>
        <w:t xml:space="preserve"> </w:t>
      </w:r>
      <w:r w:rsidRPr="00F32498">
        <w:t>Three labs collected data from more than 150 participants</w:t>
      </w:r>
      <w:r>
        <w:t>. O</w:t>
      </w:r>
      <w:r w:rsidRPr="00F32498">
        <w:t>ne lab collected fewer than 100 participants</w:t>
      </w:r>
      <w:r>
        <w:t xml:space="preserve">. </w:t>
      </w:r>
      <w:r w:rsidRPr="00193EB1">
        <w:t xml:space="preserve">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8" w:history="1">
        <w:r w:rsidRPr="00A37B20">
          <w:rPr>
            <w:rStyle w:val="Hyperlink"/>
            <w:color w:val="auto"/>
          </w:rPr>
          <w:t>osf.io/uyng7</w:t>
        </w:r>
      </w:hyperlink>
      <w:r w:rsidRPr="00C2132E">
        <w:rPr>
          <w:rStyle w:val="Hyperlink"/>
          <w:color w:val="auto"/>
          <w:u w:val="none"/>
        </w:rPr>
        <w:t xml:space="preserve"> for the addition to the preregistration</w:t>
      </w:r>
      <w:r w:rsidRPr="00193EB1">
        <w:t>). This choice was deemed compatible with our meta</w:t>
      </w:r>
      <w:r>
        <w:t>-</w:t>
      </w:r>
      <w:r w:rsidRPr="00193EB1">
        <w:t>analytic approach.</w:t>
      </w:r>
    </w:p>
    <w:p w14:paraId="1A90FBC2" w14:textId="6AAF7A98" w:rsidR="00A23976" w:rsidRDefault="00A23976" w:rsidP="009D536E">
      <w:pPr>
        <w:pStyle w:val="Heading2"/>
      </w:pPr>
      <w:r>
        <w:t xml:space="preserve">Treatment of </w:t>
      </w:r>
      <w:r w:rsidR="009D536E">
        <w:t>Missing Data</w:t>
      </w:r>
    </w:p>
    <w:p w14:paraId="57868703" w14:textId="73BEA4E1" w:rsidR="00A23976" w:rsidRDefault="00A23976" w:rsidP="009D536E">
      <w:pPr>
        <w:ind w:firstLine="0"/>
      </w:pPr>
      <w:r>
        <w:tab/>
        <w:t>Our (preregistered) data processing code excludes participants with missing</w:t>
      </w:r>
      <w:r w:rsidR="007939FF">
        <w:t xml:space="preserve">, partial or incomplete data. However, this exclusion was not explicated in the </w:t>
      </w:r>
      <w:r w:rsidR="00784CB3">
        <w:t xml:space="preserve">written </w:t>
      </w:r>
      <w:r w:rsidR="007939FF">
        <w:t xml:space="preserve">preregistration. </w:t>
      </w:r>
    </w:p>
    <w:p w14:paraId="62DDD70B" w14:textId="77777777" w:rsidR="00104403" w:rsidRDefault="00104403" w:rsidP="00A140D5">
      <w:pPr>
        <w:pStyle w:val="Heading2"/>
      </w:pPr>
      <w:r>
        <w:t xml:space="preserve">Pretesting of </w:t>
      </w:r>
      <w:r w:rsidRPr="00F32498">
        <w:t xml:space="preserve">Conditioned </w:t>
      </w:r>
      <w:r>
        <w:t>S</w:t>
      </w:r>
      <w:r w:rsidRPr="00F32498">
        <w:t>timuli</w:t>
      </w:r>
    </w:p>
    <w:p w14:paraId="738FBB93" w14:textId="4C2E3283" w:rsidR="00104403" w:rsidRDefault="00104403" w:rsidP="00104403">
      <w:r w:rsidRPr="00F32498">
        <w:t xml:space="preserve">For the conditioned stimuli, the original authors recommended that we not use the CSs from their original (2001) study because these items may be relatively familiar to modern samples (see Jones et al., 2009). Instead they advised us to select stimuli that would be relatively novel and neutral to the sample population. Based on this recommendation we generated a set of sixty Pokémon characters. We pretested these characters along two dimensions (valence and familiarity) using a separate sample of 155 participants on the </w:t>
      </w:r>
      <w:r w:rsidRPr="00F32498">
        <w:lastRenderedPageBreak/>
        <w:t xml:space="preserve">Prolific Academic website (https://prolific.ac) (see </w:t>
      </w:r>
      <w:hyperlink r:id="rId9" w:history="1">
        <w:r w:rsidRPr="007A115A">
          <w:rPr>
            <w:rStyle w:val="Hyperlink"/>
          </w:rPr>
          <w:t>osf.io/4ecx5</w:t>
        </w:r>
      </w:hyperlink>
      <w:r w:rsidRPr="00F32498">
        <w:t xml:space="preserve">). On the basis of this pretest we then selected those twenty characters that were rated as most neutral and least familiar. Participating labs were instructed to further pretest these twenty characters onsite in order to identify the nine characters that are most neutral and least familiar to participants at that specific lab. The two characters that (a) were most neutral and least familiar, and (b) which differed least in valence and familiarity served as CSs (see </w:t>
      </w:r>
      <w:hyperlink r:id="rId10" w:history="1">
        <w:r w:rsidRPr="007A115A">
          <w:rPr>
            <w:rStyle w:val="Hyperlink"/>
          </w:rPr>
          <w:t>osf.io/a3qj9</w:t>
        </w:r>
      </w:hyperlink>
      <w:r w:rsidRPr="00F32498">
        <w:t xml:space="preserve"> for the results of the pretest conducted at each lab). One lab </w:t>
      </w:r>
      <w:r>
        <w:t>(</w:t>
      </w:r>
      <w:r w:rsidR="00D55CC3" w:rsidRPr="008312CB">
        <w:rPr>
          <w:highlight w:val="white"/>
        </w:rPr>
        <w:t>Bar-Anan</w:t>
      </w:r>
      <w:r>
        <w:t xml:space="preserve">) </w:t>
      </w:r>
      <w:r w:rsidRPr="00F32498">
        <w:t xml:space="preserve">was unable to carry out such a pretest and therefore used the nine characters derived from </w:t>
      </w:r>
      <w:r>
        <w:t>the online</w:t>
      </w:r>
      <w:r w:rsidRPr="00F32498">
        <w:t xml:space="preserve"> initial pretest.</w:t>
      </w:r>
    </w:p>
    <w:p w14:paraId="45854FC0" w14:textId="09C1D27F" w:rsidR="00A140D5" w:rsidRPr="00104403" w:rsidRDefault="00960DFE" w:rsidP="00A140D5">
      <w:pPr>
        <w:pStyle w:val="Heading2"/>
        <w:rPr>
          <w:bCs/>
        </w:rPr>
      </w:pPr>
      <w:r>
        <w:t xml:space="preserve">Awareness </w:t>
      </w:r>
      <w:r w:rsidR="009D536E">
        <w:t>E</w:t>
      </w:r>
      <w:r w:rsidR="00A140D5">
        <w:t xml:space="preserve">xclusion </w:t>
      </w:r>
      <w:r w:rsidR="009D536E">
        <w:t>Criteria</w:t>
      </w:r>
    </w:p>
    <w:p w14:paraId="109C3A56" w14:textId="3D51C35A" w:rsidR="00104403" w:rsidRPr="007F3EB4" w:rsidRDefault="00104403" w:rsidP="00A140D5">
      <w:pPr>
        <w:rPr>
          <w:lang w:val="en-IE" w:bidi="ar-SA"/>
        </w:rPr>
      </w:pPr>
      <w:r w:rsidRPr="006E6F5D">
        <w:rPr>
          <w:b/>
          <w:lang w:val="en-IE" w:bidi="ar-SA"/>
        </w:rPr>
        <w:t xml:space="preserve">Primary </w:t>
      </w:r>
      <w:r w:rsidR="00A140D5">
        <w:rPr>
          <w:b/>
          <w:lang w:val="en-IE" w:bidi="ar-SA"/>
        </w:rPr>
        <w:t>c</w:t>
      </w:r>
      <w:r w:rsidRPr="006E6F5D">
        <w:rPr>
          <w:b/>
          <w:lang w:val="en-IE" w:bidi="ar-SA"/>
        </w:rPr>
        <w:t>riterion</w:t>
      </w:r>
      <w:r w:rsidRPr="00A95EFE">
        <w:rPr>
          <w:b/>
          <w:i/>
          <w:lang w:val="en-IE" w:bidi="ar-SA"/>
        </w:rPr>
        <w:t xml:space="preserve"> </w:t>
      </w:r>
      <w:r w:rsidRPr="00A140D5">
        <w:rPr>
          <w:b/>
          <w:lang w:val="en-IE" w:bidi="ar-SA"/>
        </w:rPr>
        <w:t>(Olson &amp; Fazio, 2001)</w:t>
      </w:r>
      <w:r w:rsidR="00A140D5">
        <w:rPr>
          <w:lang w:val="en-IE" w:bidi="ar-SA"/>
        </w:rPr>
        <w:t xml:space="preserve">. </w:t>
      </w:r>
      <w:r>
        <w:rPr>
          <w:lang w:val="en-IE" w:bidi="ar-SA"/>
        </w:rPr>
        <w:t>A</w:t>
      </w:r>
      <w:r w:rsidRPr="007F3EB4">
        <w:rPr>
          <w:lang w:val="en-IE" w:bidi="ar-SA"/>
        </w:rPr>
        <w:t xml:space="preserve"> score </w:t>
      </w:r>
      <w:r>
        <w:rPr>
          <w:lang w:val="en-IE" w:bidi="ar-SA"/>
        </w:rPr>
        <w:t xml:space="preserve">was computed </w:t>
      </w:r>
      <w:r w:rsidRPr="007F3EB4">
        <w:rPr>
          <w:lang w:val="en-IE" w:bidi="ar-SA"/>
        </w:rPr>
        <w:t xml:space="preserve">following the original authors’ recommendations to closely replicate their original study. This score was based on participants’ open-ended responses to </w:t>
      </w:r>
      <w:r>
        <w:rPr>
          <w:lang w:val="en-IE" w:bidi="ar-SA"/>
        </w:rPr>
        <w:t xml:space="preserve">the original Olson and Fazio’s </w:t>
      </w:r>
      <w:r>
        <w:rPr>
          <w:color w:val="231F20"/>
          <w:lang w:val="en-IE" w:bidi="ar-SA"/>
        </w:rPr>
        <w:t xml:space="preserve">post-experiment question </w:t>
      </w:r>
      <w:r w:rsidRPr="007F3EB4">
        <w:rPr>
          <w:lang w:val="en-IE" w:bidi="ar-SA"/>
        </w:rPr>
        <w:t>1 (</w:t>
      </w:r>
      <w:r w:rsidRPr="00187DAA">
        <w:rPr>
          <w:i/>
          <w:iCs/>
          <w:lang w:val="en-IE" w:bidi="ar-SA"/>
        </w:rPr>
        <w:t>Think back to the very first part of the experiment. Did you notice anything out of the ordinary in the way the words and pictures were presented during the surveillance tasks?</w:t>
      </w:r>
      <w:r w:rsidRPr="007F3EB4">
        <w:rPr>
          <w:lang w:val="en-IE" w:bidi="ar-SA"/>
        </w:rPr>
        <w:t xml:space="preserve">) and </w:t>
      </w:r>
      <w:r>
        <w:rPr>
          <w:color w:val="231F20"/>
          <w:lang w:val="en-IE" w:bidi="ar-SA"/>
        </w:rPr>
        <w:t xml:space="preserve">post-experiment question </w:t>
      </w:r>
      <w:r w:rsidRPr="007F3EB4">
        <w:rPr>
          <w:lang w:val="en-IE" w:bidi="ar-SA"/>
        </w:rPr>
        <w:t>2 (</w:t>
      </w:r>
      <w:r w:rsidRPr="000E0681">
        <w:rPr>
          <w:i/>
          <w:iCs/>
          <w:lang w:val="en-IE" w:bidi="ar-SA"/>
        </w:rPr>
        <w:t>Did you notice anything systematic about how particular words and images appeared together during the surveillance tasks?</w:t>
      </w:r>
      <w:r w:rsidRPr="007F3EB4">
        <w:rPr>
          <w:lang w:val="en-IE" w:bidi="ar-SA"/>
        </w:rPr>
        <w:t xml:space="preserve">). Two independent </w:t>
      </w:r>
      <w:proofErr w:type="spellStart"/>
      <w:r w:rsidRPr="007F3EB4">
        <w:rPr>
          <w:lang w:val="en-IE" w:bidi="ar-SA"/>
        </w:rPr>
        <w:t>raters</w:t>
      </w:r>
      <w:proofErr w:type="spellEnd"/>
      <w:r w:rsidRPr="007F3EB4">
        <w:rPr>
          <w:lang w:val="en-IE" w:bidi="ar-SA"/>
        </w:rPr>
        <w:t xml:space="preserve">, who were blinded to one another’s ratings, evaluated responses to </w:t>
      </w:r>
      <w:r>
        <w:rPr>
          <w:lang w:val="en-IE" w:bidi="ar-SA"/>
        </w:rPr>
        <w:t>these two questions</w:t>
      </w:r>
      <w:r w:rsidRPr="007F3EB4">
        <w:rPr>
          <w:lang w:val="en-IE" w:bidi="ar-SA"/>
        </w:rPr>
        <w:t xml:space="preserve">, and treated responses </w:t>
      </w:r>
      <w:r>
        <w:rPr>
          <w:lang w:val="en-IE" w:bidi="ar-SA"/>
        </w:rPr>
        <w:t xml:space="preserve">on </w:t>
      </w:r>
      <w:r w:rsidRPr="007F3EB4">
        <w:rPr>
          <w:lang w:val="en-IE" w:bidi="ar-SA"/>
        </w:rPr>
        <w:t>both questions as one (compound) text response</w:t>
      </w:r>
      <w:r>
        <w:rPr>
          <w:lang w:val="en-IE" w:bidi="ar-SA"/>
        </w:rPr>
        <w:t xml:space="preserve"> (see </w:t>
      </w:r>
      <w:hyperlink r:id="rId11" w:history="1">
        <w:r w:rsidRPr="006E62A3">
          <w:rPr>
            <w:rStyle w:val="Hyperlink"/>
          </w:rPr>
          <w:t>osf.io/2dm6u</w:t>
        </w:r>
      </w:hyperlink>
      <w:r w:rsidRPr="008312CB">
        <w:rPr>
          <w:rStyle w:val="Hyperlink"/>
          <w:color w:val="auto"/>
          <w:u w:val="none"/>
        </w:rPr>
        <w:t xml:space="preserve"> for </w:t>
      </w:r>
      <w:r>
        <w:rPr>
          <w:lang w:bidi="ar-SA"/>
        </w:rPr>
        <w:t xml:space="preserve">the </w:t>
      </w:r>
      <w:r w:rsidRPr="007F3EB4">
        <w:rPr>
          <w:lang w:val="en-IE" w:bidi="ar-SA"/>
        </w:rPr>
        <w:t>exact</w:t>
      </w:r>
      <w:r>
        <w:rPr>
          <w:lang w:val="en-IE" w:bidi="ar-SA"/>
        </w:rPr>
        <w:t xml:space="preserve"> coding</w:t>
      </w:r>
      <w:r w:rsidRPr="007F3EB4">
        <w:rPr>
          <w:lang w:val="en-IE" w:bidi="ar-SA"/>
        </w:rPr>
        <w:t xml:space="preserve"> instructions </w:t>
      </w:r>
      <w:r w:rsidRPr="00F74F10">
        <w:rPr>
          <w:lang w:val="en-IE" w:bidi="ar-SA"/>
        </w:rPr>
        <w:t xml:space="preserve">provided to the </w:t>
      </w:r>
      <w:r w:rsidRPr="006E62A3">
        <w:rPr>
          <w:lang w:val="en-IE" w:bidi="ar-SA"/>
        </w:rPr>
        <w:t>data collection sites</w:t>
      </w:r>
      <w:r>
        <w:rPr>
          <w:lang w:val="en-IE" w:bidi="ar-SA"/>
        </w:rPr>
        <w:t>)</w:t>
      </w:r>
      <w:r w:rsidRPr="007F3EB4">
        <w:rPr>
          <w:lang w:val="en-IE" w:bidi="ar-SA"/>
        </w:rPr>
        <w:t xml:space="preserve">. Specifically, they scored participants as being ‘aware’ if their responses to </w:t>
      </w:r>
      <w:r>
        <w:rPr>
          <w:lang w:val="en-IE" w:bidi="ar-SA"/>
        </w:rPr>
        <w:t>either of these two questions</w:t>
      </w:r>
      <w:r w:rsidRPr="007F3EB4">
        <w:rPr>
          <w:lang w:val="en-IE" w:bidi="ar-SA"/>
        </w:rPr>
        <w:t xml:space="preserve"> made correct reference to </w:t>
      </w:r>
      <w:r w:rsidRPr="007F3EB4">
        <w:rPr>
          <w:i/>
          <w:iCs/>
          <w:lang w:val="en-IE" w:bidi="ar-SA"/>
        </w:rPr>
        <w:t>both</w:t>
      </w:r>
      <w:r w:rsidRPr="007F3EB4">
        <w:rPr>
          <w:lang w:val="en-IE" w:bidi="ar-SA"/>
        </w:rPr>
        <w:t xml:space="preserve"> of the CS-US pairings. In other words, they were scored as ‘aware’ if they wrote that CS</w:t>
      </w:r>
      <w:r w:rsidRPr="000E0681">
        <w:rPr>
          <w:vertAlign w:val="subscript"/>
          <w:lang w:val="en-IE" w:bidi="ar-SA"/>
        </w:rPr>
        <w:t>pos</w:t>
      </w:r>
      <w:r w:rsidRPr="007F3EB4">
        <w:rPr>
          <w:lang w:val="en-IE" w:bidi="ar-SA"/>
        </w:rPr>
        <w:t xml:space="preserve"> (either its name or a description of its appearance) appeared during the task together with positively valenced words/images </w:t>
      </w:r>
      <w:r w:rsidRPr="007F3EB4">
        <w:rPr>
          <w:i/>
          <w:iCs/>
          <w:lang w:val="en-IE" w:bidi="ar-SA"/>
        </w:rPr>
        <w:t>and</w:t>
      </w:r>
      <w:r w:rsidRPr="007F3EB4">
        <w:rPr>
          <w:lang w:val="en-IE" w:bidi="ar-SA"/>
        </w:rPr>
        <w:t xml:space="preserve"> that CS</w:t>
      </w:r>
      <w:r w:rsidRPr="000E0681">
        <w:rPr>
          <w:vertAlign w:val="subscript"/>
          <w:lang w:val="en-IE" w:bidi="ar-SA"/>
        </w:rPr>
        <w:t>neg</w:t>
      </w:r>
      <w:r w:rsidRPr="007F3EB4">
        <w:rPr>
          <w:lang w:val="en-IE" w:bidi="ar-SA"/>
        </w:rPr>
        <w:t xml:space="preserve"> (its name or a description of its appearance) appeared during the task together with negative words/images. If they failed to meet this criterion for any reason then they were scored as </w:t>
      </w:r>
      <w:r w:rsidRPr="007F3EB4">
        <w:rPr>
          <w:lang w:val="en-IE" w:bidi="ar-SA"/>
        </w:rPr>
        <w:lastRenderedPageBreak/>
        <w:t xml:space="preserve">‘unaware’. This included (a) identifying only one of the two CS-US pairings, (b) identifying the CS-US pairings incorrectly (i.e., reversed), (c) identifying that the two CS </w:t>
      </w:r>
      <w:r>
        <w:rPr>
          <w:lang w:val="en-IE" w:bidi="ar-SA"/>
        </w:rPr>
        <w:t>were paired with</w:t>
      </w:r>
      <w:r w:rsidRPr="007F3EB4">
        <w:rPr>
          <w:lang w:val="en-IE" w:bidi="ar-SA"/>
        </w:rPr>
        <w:t xml:space="preserve"> US stimuli but not specifying which was paired with which, or (d) not identifying CS-US pairings at all. Scores were then compared between </w:t>
      </w:r>
      <w:proofErr w:type="spellStart"/>
      <w:r w:rsidRPr="007F3EB4">
        <w:rPr>
          <w:lang w:val="en-IE" w:bidi="ar-SA"/>
        </w:rPr>
        <w:t>raters</w:t>
      </w:r>
      <w:proofErr w:type="spellEnd"/>
      <w:r w:rsidRPr="007F3EB4">
        <w:rPr>
          <w:lang w:val="en-IE" w:bidi="ar-SA"/>
        </w:rPr>
        <w:t xml:space="preserve"> to assign each participant a single score. Participants were only scored as ‘aware’ if they were scored by both </w:t>
      </w:r>
      <w:proofErr w:type="spellStart"/>
      <w:r w:rsidRPr="007F3EB4">
        <w:rPr>
          <w:lang w:val="en-IE" w:bidi="ar-SA"/>
        </w:rPr>
        <w:t>raters</w:t>
      </w:r>
      <w:proofErr w:type="spellEnd"/>
      <w:r w:rsidRPr="007F3EB4">
        <w:rPr>
          <w:lang w:val="en-IE" w:bidi="ar-SA"/>
        </w:rPr>
        <w:t xml:space="preserve"> as being ‘aware’. </w:t>
      </w:r>
    </w:p>
    <w:p w14:paraId="6A9A6554" w14:textId="0517F296" w:rsidR="00104403" w:rsidRPr="00313455" w:rsidRDefault="00104403" w:rsidP="00313455">
      <w:pPr>
        <w:rPr>
          <w:b/>
          <w:lang w:val="en-IE" w:bidi="ar-SA"/>
        </w:rPr>
      </w:pPr>
      <w:r w:rsidRPr="00313455">
        <w:rPr>
          <w:b/>
          <w:lang w:val="en-IE" w:bidi="ar-SA"/>
        </w:rPr>
        <w:t xml:space="preserve">Secondary </w:t>
      </w:r>
      <w:r w:rsidR="00313455">
        <w:rPr>
          <w:b/>
          <w:lang w:val="en-IE" w:bidi="ar-SA"/>
        </w:rPr>
        <w:t>c</w:t>
      </w:r>
      <w:r>
        <w:rPr>
          <w:b/>
          <w:lang w:val="en-IE" w:bidi="ar-SA"/>
        </w:rPr>
        <w:t>riteria</w:t>
      </w:r>
      <w:r w:rsidR="00313455">
        <w:rPr>
          <w:b/>
          <w:lang w:val="en-IE" w:bidi="ar-SA"/>
        </w:rPr>
        <w:t xml:space="preserve">. </w:t>
      </w:r>
      <w:r w:rsidRPr="007F3EB4">
        <w:rPr>
          <w:lang w:val="en-IE" w:bidi="ar-SA"/>
        </w:rPr>
        <w:t xml:space="preserve">We considered that the original authors’ criterion may have scored individuals who were actually aware of/remembered the contingencies as ‘unaware’. Therefore we </w:t>
      </w:r>
      <w:r>
        <w:rPr>
          <w:lang w:val="en-IE" w:bidi="ar-SA"/>
        </w:rPr>
        <w:t>preregister</w:t>
      </w:r>
      <w:r w:rsidRPr="007F3EB4">
        <w:rPr>
          <w:lang w:val="en-IE" w:bidi="ar-SA"/>
        </w:rPr>
        <w:t xml:space="preserve">ed three additional </w:t>
      </w:r>
      <w:r>
        <w:rPr>
          <w:lang w:val="en-IE" w:bidi="ar-SA"/>
        </w:rPr>
        <w:t>secondary</w:t>
      </w:r>
      <w:r w:rsidRPr="007F3EB4">
        <w:rPr>
          <w:lang w:val="en-IE" w:bidi="ar-SA"/>
        </w:rPr>
        <w:t xml:space="preserve"> exclusion criteria that allowed us to examine if evidence for EC effects in this task were robust to or depended on the specific way in which contingency awareness/recollective memory was measured.</w:t>
      </w:r>
      <w:r>
        <w:rPr>
          <w:lang w:val="en-IE" w:bidi="ar-SA"/>
        </w:rPr>
        <w:t xml:space="preserve"> </w:t>
      </w: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modified’ criteria can be found at</w:t>
      </w:r>
      <w:r w:rsidRPr="006E62A3">
        <w:t xml:space="preserve"> </w:t>
      </w:r>
      <w:hyperlink r:id="rId12" w:history="1">
        <w:r w:rsidRPr="006E62A3">
          <w:rPr>
            <w:rStyle w:val="Hyperlink"/>
          </w:rPr>
          <w:t>osf.io/2dm6u</w:t>
        </w:r>
      </w:hyperlink>
      <w:r w:rsidRPr="00735D64">
        <w:rPr>
          <w:lang w:val="en-IE"/>
        </w:rPr>
        <w:t xml:space="preserve">. Data processing for the ‘Bar-Anan et al. (2010)’ and ‘Bar-Anan et al. (2010) modified’ criteria required no hand scoring and were performed </w:t>
      </w:r>
      <w:r>
        <w:rPr>
          <w:lang w:val="en-IE"/>
        </w:rPr>
        <w:t xml:space="preserve">algorithmically </w:t>
      </w:r>
      <w:r w:rsidRPr="00735D64">
        <w:rPr>
          <w:lang w:val="en-IE"/>
        </w:rPr>
        <w:t xml:space="preserve">(see </w:t>
      </w:r>
      <w:hyperlink r:id="rId13" w:history="1">
        <w:r w:rsidRPr="00735D64">
          <w:rPr>
            <w:rStyle w:val="Hyperlink"/>
          </w:rPr>
          <w:t>osf.io/k9nrf</w:t>
        </w:r>
      </w:hyperlink>
      <w:r>
        <w:rPr>
          <w:lang w:val="en-IE"/>
        </w:rPr>
        <w:t xml:space="preserve"> for R script)</w:t>
      </w:r>
      <w:r w:rsidRPr="00735D64">
        <w:rPr>
          <w:lang w:val="en-IE"/>
        </w:rPr>
        <w:t xml:space="preserve">. </w:t>
      </w:r>
    </w:p>
    <w:p w14:paraId="402E3237" w14:textId="77777777" w:rsidR="00104403" w:rsidRPr="00567AD4" w:rsidRDefault="00104403" w:rsidP="00104403">
      <w:pPr>
        <w:rPr>
          <w:rFonts w:ascii="Helvetica" w:hAnsi="Helvetica" w:cs="Helvetica"/>
          <w:color w:val="333333"/>
          <w:sz w:val="21"/>
          <w:szCs w:val="21"/>
        </w:rPr>
      </w:pPr>
      <w:r w:rsidRPr="00313455">
        <w:rPr>
          <w:b/>
          <w:i/>
          <w:iCs/>
          <w:lang w:val="en-IE" w:bidi="ar-SA"/>
        </w:rPr>
        <w:t>Secondary criterion 1 (Olson &amp; Fazio 2001 modified).</w:t>
      </w:r>
      <w:r w:rsidRPr="007F3EB4">
        <w:rPr>
          <w:lang w:val="en-IE" w:bidi="ar-SA"/>
        </w:rPr>
        <w:t xml:space="preserve"> This criterion was identical to the Olson and Fazio (2001) criterion with one modification: participants were scored as ‘aware’ if their responses to </w:t>
      </w:r>
      <w:r>
        <w:rPr>
          <w:lang w:val="en-IE" w:bidi="ar-SA"/>
        </w:rPr>
        <w:t>the two questions</w:t>
      </w:r>
      <w:r w:rsidRPr="007F3EB4">
        <w:rPr>
          <w:lang w:val="en-IE" w:bidi="ar-SA"/>
        </w:rPr>
        <w:t xml:space="preserve"> referred to </w:t>
      </w:r>
      <w:r>
        <w:rPr>
          <w:i/>
          <w:iCs/>
          <w:lang w:val="en-IE" w:bidi="ar-SA"/>
        </w:rPr>
        <w:t xml:space="preserve">any form of systematic pairing </w:t>
      </w:r>
      <w:r w:rsidRPr="00C903E3">
        <w:rPr>
          <w:iCs/>
          <w:lang w:val="en-IE" w:bidi="ar-SA"/>
        </w:rPr>
        <w:t>between the</w:t>
      </w:r>
      <w:r>
        <w:rPr>
          <w:i/>
          <w:iCs/>
          <w:lang w:val="en-IE" w:bidi="ar-SA"/>
        </w:rPr>
        <w:t xml:space="preserve"> </w:t>
      </w:r>
      <w:r w:rsidRPr="007F3EB4">
        <w:rPr>
          <w:lang w:val="en-IE" w:bidi="ar-SA"/>
        </w:rPr>
        <w:t>CS</w:t>
      </w:r>
      <w:r>
        <w:rPr>
          <w:lang w:val="en-IE" w:bidi="ar-SA"/>
        </w:rPr>
        <w:t xml:space="preserve"> and </w:t>
      </w:r>
      <w:r w:rsidRPr="007F3EB4">
        <w:rPr>
          <w:lang w:val="en-IE" w:bidi="ar-SA"/>
        </w:rPr>
        <w:t>US</w:t>
      </w:r>
      <w:r>
        <w:rPr>
          <w:lang w:val="en-IE" w:bidi="ar-SA"/>
        </w:rPr>
        <w:t xml:space="preserve"> stimuli, regardless of whether specific pairings were described</w:t>
      </w:r>
      <w:r w:rsidRPr="007F3EB4">
        <w:rPr>
          <w:lang w:val="en-IE" w:bidi="ar-SA"/>
        </w:rPr>
        <w:t>.</w:t>
      </w:r>
      <w:r>
        <w:rPr>
          <w:lang w:val="en-IE" w:bidi="ar-SA"/>
        </w:rPr>
        <w:t xml:space="preserve"> </w:t>
      </w:r>
      <w:r w:rsidRPr="00567AD4">
        <w:rPr>
          <w:lang w:val="en-IE" w:bidi="ar-SA"/>
        </w:rPr>
        <w:t>Specifically, participants were coded as “aware” if they (a) identified only one of the two CS-US pairings, (</w:t>
      </w:r>
      <w:r>
        <w:rPr>
          <w:lang w:val="en-IE" w:bidi="ar-SA"/>
        </w:rPr>
        <w:t>b</w:t>
      </w:r>
      <w:r w:rsidRPr="00567AD4">
        <w:rPr>
          <w:lang w:val="en-IE" w:bidi="ar-SA"/>
        </w:rPr>
        <w:t xml:space="preserve">) identified that the two CS were paired with US stimuli but not specifying </w:t>
      </w:r>
      <w:r w:rsidRPr="00567AD4">
        <w:rPr>
          <w:color w:val="333333"/>
        </w:rPr>
        <w:t xml:space="preserve">the specific way in which the CSs and USs were paired. Participants were coded as “unaware” only if their answer did not contain any mention of a systematic pairing between CSs and USs. </w:t>
      </w:r>
      <w:r w:rsidRPr="00567AD4">
        <w:rPr>
          <w:lang w:val="en-IE" w:bidi="ar-SA"/>
        </w:rPr>
        <w:t xml:space="preserve">In cases of disagreement between the two </w:t>
      </w:r>
      <w:proofErr w:type="spellStart"/>
      <w:r w:rsidRPr="00567AD4">
        <w:rPr>
          <w:lang w:val="en-IE" w:bidi="ar-SA"/>
        </w:rPr>
        <w:t>raters</w:t>
      </w:r>
      <w:proofErr w:type="spellEnd"/>
      <w:r w:rsidRPr="00567AD4">
        <w:rPr>
          <w:lang w:val="en-IE" w:bidi="ar-SA"/>
        </w:rPr>
        <w:t xml:space="preserve">, the participant’s responses were scored </w:t>
      </w:r>
      <w:r w:rsidRPr="00567AD4">
        <w:rPr>
          <w:lang w:val="en-IE" w:bidi="ar-SA"/>
        </w:rPr>
        <w:lastRenderedPageBreak/>
        <w:t xml:space="preserve">by a third </w:t>
      </w:r>
      <w:proofErr w:type="spellStart"/>
      <w:r w:rsidRPr="00567AD4">
        <w:rPr>
          <w:lang w:val="en-IE" w:bidi="ar-SA"/>
        </w:rPr>
        <w:t>rater</w:t>
      </w:r>
      <w:proofErr w:type="spellEnd"/>
      <w:r w:rsidRPr="00567AD4">
        <w:rPr>
          <w:lang w:val="en-IE" w:bidi="ar-SA"/>
        </w:rPr>
        <w:t>. The participant was scored as ‘aware’ or ‘unaware’ based on the majority judgment.</w:t>
      </w:r>
    </w:p>
    <w:p w14:paraId="474934A2" w14:textId="77777777" w:rsidR="00104403" w:rsidRDefault="00104403" w:rsidP="00104403">
      <w:pPr>
        <w:rPr>
          <w:color w:val="231F20"/>
          <w:lang w:val="en-IE" w:bidi="ar-SA"/>
        </w:rPr>
      </w:pPr>
      <w:r w:rsidRPr="00313455">
        <w:rPr>
          <w:b/>
          <w:i/>
          <w:iCs/>
          <w:lang w:val="en-IE" w:bidi="ar-SA"/>
        </w:rPr>
        <w:t>Secondary criterion 2</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w:t>
      </w:r>
      <w:r w:rsidRPr="005D3334">
        <w:rPr>
          <w:color w:val="231F20"/>
        </w:rPr>
        <w:t xml:space="preserve"> </w:t>
      </w:r>
      <w:r w:rsidRPr="007F3EB4">
        <w:rPr>
          <w:lang w:val="en-IE" w:bidi="ar-SA"/>
        </w:rPr>
        <w:t>Th</w:t>
      </w:r>
      <w:r>
        <w:rPr>
          <w:lang w:val="en-IE" w:bidi="ar-SA"/>
        </w:rPr>
        <w:t xml:space="preserve">is criterion </w:t>
      </w:r>
      <w:r w:rsidRPr="007F3EB4">
        <w:rPr>
          <w:lang w:val="en-IE" w:bidi="ar-SA"/>
        </w:rPr>
        <w:t>was computed based on Bar-Anan et al.’s (2010) criterion. Here participants were</w:t>
      </w:r>
      <w:r>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Pr>
          <w:color w:val="231F20"/>
          <w:lang w:val="en-IE" w:bidi="ar-SA"/>
        </w:rPr>
        <w:t xml:space="preserve"> (Question 1 from the Bar-Anan et al. protocol)</w:t>
      </w:r>
      <w:r w:rsidRPr="007F3EB4">
        <w:rPr>
          <w:color w:val="231F20"/>
          <w:lang w:val="en-IE" w:bidi="ar-SA"/>
        </w:rPr>
        <w:t xml:space="preserve">. They were scored as </w:t>
      </w:r>
      <w:r>
        <w:rPr>
          <w:color w:val="231F20"/>
          <w:lang w:val="en-IE" w:bidi="ar-SA"/>
        </w:rPr>
        <w:t>‘</w:t>
      </w:r>
      <w:r w:rsidRPr="007F3EB4">
        <w:rPr>
          <w:color w:val="231F20"/>
          <w:lang w:val="en-IE" w:bidi="ar-SA"/>
        </w:rPr>
        <w:t>aware</w:t>
      </w:r>
      <w:r>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Pr>
          <w:color w:val="231F20"/>
          <w:lang w:val="en-IE" w:bidi="ar-SA"/>
        </w:rPr>
        <w:t>.</w:t>
      </w:r>
    </w:p>
    <w:p w14:paraId="5E74FDB9" w14:textId="77777777" w:rsidR="00104403" w:rsidRPr="00F32498" w:rsidRDefault="00104403" w:rsidP="00104403">
      <w:r w:rsidRPr="00313455">
        <w:rPr>
          <w:b/>
          <w:i/>
          <w:iCs/>
          <w:lang w:val="en-IE" w:bidi="ar-SA"/>
        </w:rPr>
        <w:t>Secondary criterion 3</w:t>
      </w:r>
      <w:r w:rsidRPr="00313455">
        <w:rPr>
          <w:i/>
        </w:rPr>
        <w:t xml:space="preserve"> </w:t>
      </w:r>
      <w:r w:rsidRPr="00313455">
        <w:rPr>
          <w:b/>
          <w:bCs w:val="0"/>
          <w:i/>
          <w:iCs/>
        </w:rPr>
        <w:t>(</w:t>
      </w:r>
      <w:r w:rsidRPr="00313455">
        <w:rPr>
          <w:b/>
          <w:bCs w:val="0"/>
          <w:i/>
          <w:iCs/>
          <w:color w:val="231F20"/>
        </w:rPr>
        <w:t>Bar-Anan</w:t>
      </w:r>
      <w:r w:rsidRPr="00313455">
        <w:rPr>
          <w:b/>
          <w:bCs w:val="0"/>
          <w:i/>
          <w:iCs/>
          <w:color w:val="231F20"/>
          <w:lang w:bidi="ar-SA"/>
        </w:rPr>
        <w:t xml:space="preserve"> et al.,</w:t>
      </w:r>
      <w:r w:rsidRPr="00313455">
        <w:rPr>
          <w:b/>
          <w:bCs w:val="0"/>
          <w:i/>
          <w:iCs/>
          <w:color w:val="231F20"/>
        </w:rPr>
        <w:t xml:space="preserve"> 2010 modified)</w:t>
      </w:r>
      <w:r w:rsidRPr="00313455">
        <w:rPr>
          <w:b/>
          <w:bCs w:val="0"/>
          <w:i/>
          <w:color w:val="231F20"/>
        </w:rPr>
        <w:t>.</w:t>
      </w:r>
      <w:r w:rsidRPr="00F74F10">
        <w:rPr>
          <w:color w:val="231F20"/>
        </w:rPr>
        <w:t xml:space="preserve"> </w:t>
      </w:r>
      <w:r w:rsidRPr="007F3EB4">
        <w:rPr>
          <w:color w:val="231F20"/>
          <w:lang w:val="en-IE" w:bidi="ar-SA"/>
        </w:rPr>
        <w:t>Th</w:t>
      </w:r>
      <w:r>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Pr>
          <w:color w:val="231F20"/>
          <w:lang w:val="en-IE" w:bidi="ar-SA"/>
        </w:rPr>
        <w:t>(</w:t>
      </w:r>
      <w:r w:rsidRPr="007F3EB4">
        <w:rPr>
          <w:color w:val="231F20"/>
          <w:lang w:val="en-IE" w:bidi="ar-SA"/>
        </w:rPr>
        <w:t xml:space="preserve">on </w:t>
      </w:r>
      <w:r>
        <w:rPr>
          <w:color w:val="231F20"/>
          <w:lang w:val="en-IE" w:bidi="ar-SA"/>
        </w:rPr>
        <w:t>post-experiment questions</w:t>
      </w:r>
      <w:r w:rsidRPr="007F3EB4">
        <w:rPr>
          <w:color w:val="231F20"/>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color w:val="231F20"/>
          <w:lang w:val="en-IE" w:bidi="ar-SA"/>
        </w:rPr>
        <w:t>the valence of the USs with which each of the two CSs appeared.</w:t>
      </w:r>
      <w:r w:rsidRPr="007F3EB4">
        <w:rPr>
          <w:lang w:val="en-IE" w:bidi="ar-SA"/>
        </w:rPr>
        <w:t xml:space="preserve"> Specifically, </w:t>
      </w:r>
      <w:r>
        <w:rPr>
          <w:color w:val="231F20"/>
          <w:lang w:val="en-IE" w:bidi="ar-SA"/>
        </w:rPr>
        <w:t>post-experiment questions</w:t>
      </w:r>
      <w:r w:rsidRPr="007F3EB4" w:rsidDel="00C903E3">
        <w:rPr>
          <w:lang w:val="en-IE" w:bidi="ar-SA"/>
        </w:rPr>
        <w:t xml:space="preserve"> </w:t>
      </w:r>
      <w:r>
        <w:rPr>
          <w:color w:val="231F20"/>
          <w:lang w:val="en-IE" w:bidi="ar-SA"/>
        </w:rPr>
        <w:t>2</w:t>
      </w:r>
      <w:r w:rsidRPr="007F3EB4">
        <w:rPr>
          <w:color w:val="231F20"/>
          <w:lang w:val="en-IE" w:bidi="ar-SA"/>
        </w:rPr>
        <w:t xml:space="preserve"> and </w:t>
      </w:r>
      <w:r>
        <w:rPr>
          <w:color w:val="231F20"/>
          <w:lang w:val="en-IE" w:bidi="ar-SA"/>
        </w:rPr>
        <w:t xml:space="preserve">3 from the Bar-Anan et al. protocol </w:t>
      </w:r>
      <w:r w:rsidRPr="007F3EB4">
        <w:rPr>
          <w:lang w:val="en-IE" w:bidi="ar-SA"/>
        </w:rPr>
        <w:t>presented participants with images of the two CS</w:t>
      </w:r>
      <w:r>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Pokémon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C1C8F9F" w14:textId="77777777" w:rsidR="00460446" w:rsidRDefault="00460446" w:rsidP="00585695">
      <w:pPr>
        <w:pStyle w:val="Heading1"/>
      </w:pPr>
    </w:p>
    <w:p w14:paraId="3D4FFD3A" w14:textId="77777777" w:rsidR="00460446" w:rsidRDefault="00460446" w:rsidP="00585695">
      <w:pPr>
        <w:pStyle w:val="Heading1"/>
      </w:pPr>
    </w:p>
    <w:p w14:paraId="1A1DF76C" w14:textId="77777777" w:rsidR="00460446" w:rsidRDefault="00460446" w:rsidP="00585695">
      <w:pPr>
        <w:pStyle w:val="Heading1"/>
      </w:pPr>
    </w:p>
    <w:p w14:paraId="553B414D" w14:textId="40B27ACE" w:rsidR="00F55374" w:rsidRPr="003148AF" w:rsidRDefault="00F55374" w:rsidP="00585695">
      <w:pPr>
        <w:pStyle w:val="Heading1"/>
      </w:pPr>
      <w:r w:rsidRPr="003148AF">
        <w:lastRenderedPageBreak/>
        <w:t xml:space="preserve">Deviations </w:t>
      </w:r>
      <w:r w:rsidR="001C1186" w:rsidRPr="003148AF">
        <w:t>f</w:t>
      </w:r>
      <w:r w:rsidRPr="003148AF">
        <w:t>rom the Preregistration</w:t>
      </w:r>
    </w:p>
    <w:p w14:paraId="6E804E27" w14:textId="5C40BDB4" w:rsidR="003148AF" w:rsidRDefault="003148AF" w:rsidP="00842AAE">
      <w:r>
        <w:t xml:space="preserve">In order to maximize evidential value and transparency, we document all divergences from </w:t>
      </w:r>
      <w:r w:rsidR="0074064D">
        <w:t xml:space="preserve">the </w:t>
      </w:r>
      <w:r>
        <w:t xml:space="preserve">preregistration/Stage 1 </w:t>
      </w:r>
      <w:r w:rsidR="00C2132E">
        <w:t xml:space="preserve">accepted manuscript (see </w:t>
      </w:r>
      <w:hyperlink r:id="rId14" w:history="1">
        <w:r w:rsidR="00C2132E">
          <w:rPr>
            <w:rStyle w:val="Hyperlink"/>
          </w:rPr>
          <w:t>osf.io/</w:t>
        </w:r>
        <w:proofErr w:type="spellStart"/>
        <w:r w:rsidR="00C2132E">
          <w:rPr>
            <w:rStyle w:val="Hyperlink"/>
          </w:rPr>
          <w:t>kzchq</w:t>
        </w:r>
        <w:proofErr w:type="spellEnd"/>
        <w:r w:rsidR="00C2132E">
          <w:rPr>
            <w:rStyle w:val="Hyperlink"/>
          </w:rPr>
          <w:t>/</w:t>
        </w:r>
      </w:hyperlink>
      <w:r w:rsidR="00C2132E">
        <w:t xml:space="preserve">) </w:t>
      </w:r>
      <w:r w:rsidR="0074064D">
        <w:t xml:space="preserve">to Stage 2 manuscript </w:t>
      </w:r>
      <w:r>
        <w:t>below.</w:t>
      </w:r>
    </w:p>
    <w:p w14:paraId="15EDA47D" w14:textId="17C6D63C" w:rsidR="003148AF" w:rsidRPr="003148AF" w:rsidRDefault="003148AF" w:rsidP="00711DDA">
      <w:pPr>
        <w:pStyle w:val="Heading2"/>
      </w:pPr>
      <w:r w:rsidRPr="003148AF">
        <w:t xml:space="preserve">Change in </w:t>
      </w:r>
      <w:r w:rsidR="009D536E">
        <w:t>T</w:t>
      </w:r>
      <w:r w:rsidR="009D536E" w:rsidRPr="003148AF">
        <w:t xml:space="preserve">erminology </w:t>
      </w:r>
      <w:r w:rsidRPr="003148AF">
        <w:t>from ‘</w:t>
      </w:r>
      <w:r w:rsidR="009D536E">
        <w:t>C</w:t>
      </w:r>
      <w:r w:rsidR="009D536E" w:rsidRPr="003148AF">
        <w:t>onfirmatory’</w:t>
      </w:r>
      <w:r w:rsidRPr="003148AF">
        <w:t>/‘</w:t>
      </w:r>
      <w:r w:rsidR="009D536E">
        <w:t>E</w:t>
      </w:r>
      <w:r w:rsidR="009D536E" w:rsidRPr="003148AF">
        <w:t xml:space="preserve">xploratory’ </w:t>
      </w:r>
      <w:r w:rsidRPr="003148AF">
        <w:t>to ‘</w:t>
      </w:r>
      <w:r w:rsidR="009D536E">
        <w:t>P</w:t>
      </w:r>
      <w:r w:rsidR="009D536E" w:rsidRPr="003148AF">
        <w:t>rimary’</w:t>
      </w:r>
      <w:r w:rsidRPr="003148AF">
        <w:t>/‘</w:t>
      </w:r>
      <w:r w:rsidR="009D536E">
        <w:t>S</w:t>
      </w:r>
      <w:r w:rsidR="009D536E" w:rsidRPr="003148AF">
        <w:t xml:space="preserve">econdary’ </w:t>
      </w:r>
      <w:r w:rsidR="009D536E">
        <w:t>A</w:t>
      </w:r>
      <w:r w:rsidR="009D536E" w:rsidRPr="003148AF">
        <w:t>nalyses</w:t>
      </w:r>
    </w:p>
    <w:p w14:paraId="5F298BD5" w14:textId="567E05BF" w:rsidR="0062303D" w:rsidRPr="00F94CC8" w:rsidRDefault="003148AF" w:rsidP="00F94CC8">
      <w:r w:rsidRPr="003148AF">
        <w:t xml:space="preserve">After writing the Stage 2 manuscript and soliciting comments from </w:t>
      </w:r>
      <w:r w:rsidR="004D5697">
        <w:t xml:space="preserve">the </w:t>
      </w:r>
      <w:r w:rsidRPr="003148AF">
        <w:t xml:space="preserve">co-authors, there was consensus that the terminology of ‘confirmatory’ vs. ‘exploratory’ analyses was confusing given that all analyses were preregistered (both descriptions and the code implementing them). However, we were also acutely aware of the potential pitfalls of relabeling these analyses given the Registered Report format. We therefore sought advice from Christ Chambers, creator of the Registered Report format and editor for a large number of RR articles to date, about the relative benefits and costs of changing vs. not changing this terminology. His expert opinion was that the term </w:t>
      </w:r>
      <w:r w:rsidR="004D5697">
        <w:t>‘</w:t>
      </w:r>
      <w:r w:rsidRPr="003148AF">
        <w:t>exploratory</w:t>
      </w:r>
      <w:r w:rsidR="004D5697">
        <w:t>’</w:t>
      </w:r>
      <w:r w:rsidRPr="003148AF">
        <w:t xml:space="preserve"> should not be employed within a preregistered analysis. As such, we have changed the Stage 2 manuscript to refer to ‘primary’ analyses (i.e., those that most directly replicate the original Fazio &amp; Olson, 2001 study) versus ‘secondary’ analyses (i.e., those that test the robustness of </w:t>
      </w:r>
      <w:r w:rsidR="00CD5DE6">
        <w:t>the</w:t>
      </w:r>
      <w:r w:rsidR="00CD5DE6" w:rsidRPr="003148AF">
        <w:t xml:space="preserve"> </w:t>
      </w:r>
      <w:r w:rsidRPr="003148AF">
        <w:t xml:space="preserve">EC effect to other exclusion criteria). We felt </w:t>
      </w:r>
      <w:r w:rsidR="00CD5DE6">
        <w:t>that</w:t>
      </w:r>
      <w:r w:rsidR="00CD5DE6" w:rsidRPr="003148AF">
        <w:t xml:space="preserve"> </w:t>
      </w:r>
      <w:r w:rsidRPr="003148AF">
        <w:t xml:space="preserve">this modification to the Stage 1 accepted manuscript was justified on the basis of improving clarity and readability. This change, along with reference to this document, is now footnoted in the manuscript. </w:t>
      </w:r>
    </w:p>
    <w:p w14:paraId="784FCACA" w14:textId="71AB9509" w:rsidR="00223679" w:rsidRPr="0062303D" w:rsidRDefault="007129B9" w:rsidP="0062303D">
      <w:pPr>
        <w:pStyle w:val="Heading2"/>
      </w:pPr>
      <w:r>
        <w:t xml:space="preserve">Interpretation of the </w:t>
      </w:r>
      <w:r w:rsidR="009D536E">
        <w:t xml:space="preserve">Results </w:t>
      </w:r>
    </w:p>
    <w:p w14:paraId="0B74D1CE" w14:textId="7EADC35B" w:rsidR="00223679" w:rsidRDefault="00A6517A" w:rsidP="007129B9">
      <w:pPr>
        <w:rPr>
          <w:lang w:val="en-IE"/>
        </w:rPr>
      </w:pPr>
      <w:r>
        <w:rPr>
          <w:lang w:val="en-IE"/>
        </w:rPr>
        <w:t xml:space="preserve">When we came to the </w:t>
      </w:r>
      <w:r w:rsidR="00223679">
        <w:rPr>
          <w:lang w:val="en-IE"/>
        </w:rPr>
        <w:t>interpret</w:t>
      </w:r>
      <w:r>
        <w:rPr>
          <w:lang w:val="en-IE"/>
        </w:rPr>
        <w:t>ation</w:t>
      </w:r>
      <w:r w:rsidR="00223679">
        <w:rPr>
          <w:lang w:val="en-IE"/>
        </w:rPr>
        <w:t xml:space="preserve"> </w:t>
      </w:r>
      <w:r>
        <w:rPr>
          <w:lang w:val="en-IE"/>
        </w:rPr>
        <w:t xml:space="preserve">of </w:t>
      </w:r>
      <w:r w:rsidR="00223679">
        <w:rPr>
          <w:lang w:val="en-IE"/>
        </w:rPr>
        <w:t xml:space="preserve">the results </w:t>
      </w:r>
      <w:r>
        <w:rPr>
          <w:lang w:val="en-IE"/>
        </w:rPr>
        <w:t xml:space="preserve">based on </w:t>
      </w:r>
      <w:r w:rsidR="00223679">
        <w:rPr>
          <w:lang w:val="en-IE"/>
        </w:rPr>
        <w:t xml:space="preserve">our preregistered criteria, we realised that </w:t>
      </w:r>
      <w:r w:rsidR="001E1F08">
        <w:rPr>
          <w:lang w:val="en-IE"/>
        </w:rPr>
        <w:t xml:space="preserve">there was </w:t>
      </w:r>
      <w:r>
        <w:rPr>
          <w:lang w:val="en-IE"/>
        </w:rPr>
        <w:t xml:space="preserve">an </w:t>
      </w:r>
      <w:r w:rsidR="00CE7B91">
        <w:rPr>
          <w:lang w:val="en-IE"/>
        </w:rPr>
        <w:t xml:space="preserve">incongruence </w:t>
      </w:r>
      <w:r w:rsidR="001E1F08">
        <w:rPr>
          <w:lang w:val="en-IE"/>
        </w:rPr>
        <w:t xml:space="preserve">between the analyses </w:t>
      </w:r>
      <w:r>
        <w:rPr>
          <w:lang w:val="en-IE"/>
        </w:rPr>
        <w:t xml:space="preserve">we had pre-registered </w:t>
      </w:r>
      <w:r w:rsidR="001E1F08">
        <w:rPr>
          <w:lang w:val="en-IE"/>
        </w:rPr>
        <w:t>and interpretations of these analyses</w:t>
      </w:r>
      <w:r>
        <w:rPr>
          <w:lang w:val="en-IE"/>
        </w:rPr>
        <w:t xml:space="preserve"> that we had pre-registered.</w:t>
      </w:r>
      <w:r w:rsidR="00CE7B91">
        <w:rPr>
          <w:lang w:val="en-IE"/>
        </w:rPr>
        <w:t xml:space="preserve"> </w:t>
      </w:r>
      <w:r>
        <w:rPr>
          <w:lang w:val="en-IE"/>
        </w:rPr>
        <w:t xml:space="preserve">At this point we realized that </w:t>
      </w:r>
      <w:r w:rsidR="00CE7B91">
        <w:rPr>
          <w:lang w:val="en-IE"/>
        </w:rPr>
        <w:t>a deviation from preregistration of some form was unavoidable</w:t>
      </w:r>
      <w:r w:rsidR="001E1F08">
        <w:rPr>
          <w:lang w:val="en-IE"/>
        </w:rPr>
        <w:t xml:space="preserve">. Given that the interpretation of </w:t>
      </w:r>
      <w:r w:rsidR="001E1F08">
        <w:rPr>
          <w:lang w:val="en-IE"/>
        </w:rPr>
        <w:lastRenderedPageBreak/>
        <w:t xml:space="preserve">results is central to the </w:t>
      </w:r>
      <w:r w:rsidR="00CE7B91">
        <w:rPr>
          <w:lang w:val="en-IE"/>
        </w:rPr>
        <w:t xml:space="preserve">article, we therefore describe here a) what the Stage 1 Accepted manuscript stated, b) the incompatibility between our stated plans for analysis and interpretation, c) our priorities and goals when considering how to resolve this issue, and d) the strategy we adopted to do so. </w:t>
      </w:r>
    </w:p>
    <w:p w14:paraId="39E71A5D" w14:textId="17044F68" w:rsidR="00F41447" w:rsidRDefault="00F427AE" w:rsidP="00F427AE">
      <w:pPr>
        <w:rPr>
          <w:lang w:val="en-IE"/>
        </w:rPr>
      </w:pPr>
      <w:r w:rsidRPr="00F427AE">
        <w:rPr>
          <w:b/>
          <w:lang w:val="en-IE"/>
        </w:rPr>
        <w:t xml:space="preserve">Plan as stated in </w:t>
      </w:r>
      <w:r w:rsidR="007129B9" w:rsidRPr="00F427AE">
        <w:rPr>
          <w:b/>
          <w:lang w:val="en-IE"/>
        </w:rPr>
        <w:t xml:space="preserve">Stage 1 Accepted </w:t>
      </w:r>
      <w:r w:rsidR="00CE7B91" w:rsidRPr="00F427AE">
        <w:rPr>
          <w:b/>
          <w:lang w:val="en-IE"/>
        </w:rPr>
        <w:t>m</w:t>
      </w:r>
      <w:r w:rsidR="007129B9" w:rsidRPr="00F427AE">
        <w:rPr>
          <w:b/>
          <w:lang w:val="en-IE"/>
        </w:rPr>
        <w:t>anuscript</w:t>
      </w:r>
      <w:r>
        <w:rPr>
          <w:b/>
          <w:lang w:val="en-IE"/>
        </w:rPr>
        <w:t>.</w:t>
      </w:r>
      <w:r w:rsidR="003C2C96">
        <w:rPr>
          <w:b/>
          <w:lang w:val="en-IE"/>
        </w:rPr>
        <w:t xml:space="preserve"> </w:t>
      </w:r>
      <w:r w:rsidR="003C2C96" w:rsidRPr="003C2C96">
        <w:rPr>
          <w:lang w:val="en-IE"/>
        </w:rPr>
        <w:t xml:space="preserve">Note that the below quotes are verbatim, retaining the original language of </w:t>
      </w:r>
      <w:r w:rsidR="00982CB6">
        <w:rPr>
          <w:lang w:val="en-IE"/>
        </w:rPr>
        <w:t>‘</w:t>
      </w:r>
      <w:r w:rsidR="003C2C96" w:rsidRPr="003C2C96">
        <w:rPr>
          <w:lang w:val="en-IE"/>
        </w:rPr>
        <w:t>confirmatory</w:t>
      </w:r>
      <w:r w:rsidR="00982CB6">
        <w:rPr>
          <w:lang w:val="en-IE"/>
        </w:rPr>
        <w:t>’</w:t>
      </w:r>
      <w:r w:rsidR="003C2C96" w:rsidRPr="003C2C96">
        <w:rPr>
          <w:lang w:val="en-IE"/>
        </w:rPr>
        <w:t xml:space="preserve"> vs. </w:t>
      </w:r>
      <w:r w:rsidR="00982CB6">
        <w:rPr>
          <w:lang w:val="en-IE"/>
        </w:rPr>
        <w:t>‘</w:t>
      </w:r>
      <w:r w:rsidR="003C2C96" w:rsidRPr="003C2C96">
        <w:rPr>
          <w:lang w:val="en-IE"/>
        </w:rPr>
        <w:t>exploratory</w:t>
      </w:r>
      <w:r w:rsidR="00982CB6">
        <w:rPr>
          <w:lang w:val="en-IE"/>
        </w:rPr>
        <w:t>’</w:t>
      </w:r>
      <w:r w:rsidR="003C2C96" w:rsidRPr="003C2C96">
        <w:rPr>
          <w:lang w:val="en-IE"/>
        </w:rPr>
        <w:t xml:space="preserve"> </w:t>
      </w:r>
      <w:r w:rsidR="003C2C96">
        <w:rPr>
          <w:lang w:val="en-IE"/>
        </w:rPr>
        <w:t>analyses and hypotheses</w:t>
      </w:r>
      <w:r w:rsidR="003C2C96" w:rsidRPr="005D701C">
        <w:rPr>
          <w:lang w:val="en-IE"/>
        </w:rPr>
        <w:t>.</w:t>
      </w:r>
      <w:r w:rsidR="005D701C" w:rsidRPr="005D701C">
        <w:rPr>
          <w:lang w:val="en-IE"/>
        </w:rPr>
        <w:t xml:space="preserve"> However, we list them under the headings of what the article now refers to as </w:t>
      </w:r>
      <w:r w:rsidR="00982CB6">
        <w:rPr>
          <w:lang w:val="en-IE"/>
        </w:rPr>
        <w:t>‘</w:t>
      </w:r>
      <w:r w:rsidR="005D701C" w:rsidRPr="005D701C">
        <w:rPr>
          <w:lang w:val="en-IE"/>
        </w:rPr>
        <w:t>primary</w:t>
      </w:r>
      <w:r w:rsidR="00982CB6">
        <w:rPr>
          <w:lang w:val="en-IE"/>
        </w:rPr>
        <w:t>’</w:t>
      </w:r>
      <w:r w:rsidR="005D701C" w:rsidRPr="005D701C">
        <w:rPr>
          <w:lang w:val="en-IE"/>
        </w:rPr>
        <w:t xml:space="preserve"> vs. </w:t>
      </w:r>
      <w:r w:rsidR="00982CB6">
        <w:rPr>
          <w:lang w:val="en-IE"/>
        </w:rPr>
        <w:t>‘</w:t>
      </w:r>
      <w:r w:rsidR="005D701C" w:rsidRPr="005D701C">
        <w:rPr>
          <w:lang w:val="en-IE"/>
        </w:rPr>
        <w:t>secondary</w:t>
      </w:r>
      <w:r w:rsidR="00982CB6">
        <w:rPr>
          <w:lang w:val="en-IE"/>
        </w:rPr>
        <w:t>’</w:t>
      </w:r>
      <w:r w:rsidR="005D701C" w:rsidRPr="005D701C">
        <w:rPr>
          <w:lang w:val="en-IE"/>
        </w:rPr>
        <w:t xml:space="preserve"> analyses</w:t>
      </w:r>
      <w:r w:rsidR="005D701C">
        <w:rPr>
          <w:lang w:val="en-IE"/>
        </w:rPr>
        <w:t xml:space="preserve"> (see above).</w:t>
      </w:r>
    </w:p>
    <w:p w14:paraId="301272EF" w14:textId="517145B4" w:rsidR="00E31ED1" w:rsidRPr="00F94CC8" w:rsidRDefault="0092029E" w:rsidP="00F94CC8">
      <w:pPr>
        <w:rPr>
          <w:b/>
          <w:i/>
          <w:lang w:val="en-IE"/>
        </w:rPr>
      </w:pPr>
      <w:r w:rsidRPr="0092029E">
        <w:rPr>
          <w:b/>
          <w:i/>
          <w:lang w:val="en-IE"/>
        </w:rPr>
        <w:t>Primary analyses</w:t>
      </w:r>
      <w:r>
        <w:rPr>
          <w:b/>
          <w:i/>
          <w:lang w:val="en-IE"/>
        </w:rPr>
        <w:t xml:space="preserve"> and hypotheses</w:t>
      </w:r>
      <w:r w:rsidRPr="0092029E">
        <w:rPr>
          <w:b/>
          <w:i/>
          <w:lang w:val="en-IE"/>
        </w:rPr>
        <w:t>.</w:t>
      </w:r>
      <w:r w:rsidR="00F94CC8">
        <w:rPr>
          <w:b/>
          <w:i/>
          <w:lang w:val="en-IE"/>
        </w:rPr>
        <w:t xml:space="preserve"> </w:t>
      </w:r>
      <w:r w:rsidR="00E31ED1" w:rsidRPr="006D5385">
        <w:rPr>
          <w:i/>
          <w:lang w:val="en-IE"/>
        </w:rPr>
        <w:t>“</w:t>
      </w:r>
      <w:r w:rsidR="00E31ED1" w:rsidRPr="006D5385">
        <w:rPr>
          <w:i/>
        </w:rPr>
        <w:t>To determine if EC effects emerge in the absence of contingency</w:t>
      </w:r>
      <w:r w:rsidR="00132F45" w:rsidRPr="006D5385">
        <w:rPr>
          <w:i/>
        </w:rPr>
        <w:t xml:space="preserve"> </w:t>
      </w:r>
      <w:r w:rsidR="00E31ED1" w:rsidRPr="006D5385">
        <w:rPr>
          <w:i/>
        </w:rPr>
        <w:t>awareness/recollective memory, according to the original authors criteria, we will compute the EC effect size (Hedges’ g) from the mean and standard deviation of the self-reported preference score in the ‘unaware’ group. Thereafter we will meta-analyze these effect sizes in a meta-analysis using a random-effects model, using an alpha value of 0.05. Although all participating labs will use similar materials, differences may be introduced by the translation of materials, selection of stimuli, or characteristics of the samples. In order to account for this within the analyses, we will employ random effects meta-analysis models (specifically, using the Restricted Maximum Likelihood method).”</w:t>
      </w:r>
      <w:r w:rsidR="00E31ED1">
        <w:t xml:space="preserve"> (p.14)</w:t>
      </w:r>
    </w:p>
    <w:p w14:paraId="0829CF24" w14:textId="3CDE9752" w:rsidR="000D7094" w:rsidRDefault="000D7094" w:rsidP="002F2323">
      <w:pPr>
        <w:rPr>
          <w:lang w:val="en-IE"/>
        </w:rPr>
      </w:pPr>
      <w:r>
        <w:rPr>
          <w:lang w:val="en-IE"/>
        </w:rPr>
        <w:t>R code implementing this exact meta</w:t>
      </w:r>
      <w:r w:rsidR="00FF3DD3">
        <w:rPr>
          <w:lang w:val="en-IE"/>
        </w:rPr>
        <w:t>-</w:t>
      </w:r>
      <w:r>
        <w:rPr>
          <w:lang w:val="en-IE"/>
        </w:rPr>
        <w:t>analytic model was preregistered with the Stage 1 Accepted Manuscript</w:t>
      </w:r>
      <w:r w:rsidR="007B7B0A">
        <w:rPr>
          <w:lang w:val="en-IE"/>
        </w:rPr>
        <w:t xml:space="preserve"> </w:t>
      </w:r>
      <w:r w:rsidR="0060313A">
        <w:rPr>
          <w:lang w:val="en-IE"/>
        </w:rPr>
        <w:t xml:space="preserve">and was not subsequently </w:t>
      </w:r>
      <w:r w:rsidR="0060313A" w:rsidRPr="0016577B">
        <w:rPr>
          <w:lang w:val="en-IE"/>
        </w:rPr>
        <w:t xml:space="preserve">changed </w:t>
      </w:r>
      <w:r w:rsidR="007B7B0A" w:rsidRPr="0016577B">
        <w:rPr>
          <w:lang w:val="en-IE"/>
        </w:rPr>
        <w:t xml:space="preserve">(see </w:t>
      </w:r>
      <w:hyperlink r:id="rId15" w:history="1">
        <w:r w:rsidR="0016577B" w:rsidRPr="0016577B">
          <w:rPr>
            <w:rStyle w:val="Hyperlink"/>
          </w:rPr>
          <w:t>osf.io/3hjpf</w:t>
        </w:r>
      </w:hyperlink>
      <w:r w:rsidR="0016577B" w:rsidRPr="0016577B">
        <w:rPr>
          <w:lang w:val="en-IE"/>
        </w:rPr>
        <w:t xml:space="preserve"> f</w:t>
      </w:r>
      <w:r w:rsidR="00156302" w:rsidRPr="0016577B">
        <w:rPr>
          <w:lang w:val="en-IE"/>
        </w:rPr>
        <w:t xml:space="preserve">or all preregistered code, and </w:t>
      </w:r>
      <w:hyperlink r:id="rId16" w:history="1">
        <w:r w:rsidR="00AF0D85">
          <w:rPr>
            <w:rStyle w:val="Hyperlink"/>
          </w:rPr>
          <w:t>osf.io/qga5j/</w:t>
        </w:r>
      </w:hyperlink>
      <w:r w:rsidR="00AF0D85" w:rsidRPr="0016577B">
        <w:rPr>
          <w:lang w:val="en-IE"/>
        </w:rPr>
        <w:t xml:space="preserve"> </w:t>
      </w:r>
      <w:r w:rsidR="00156302" w:rsidRPr="0016577B">
        <w:rPr>
          <w:lang w:val="en-IE"/>
        </w:rPr>
        <w:t>for all finalized code</w:t>
      </w:r>
      <w:r w:rsidR="007B7B0A" w:rsidRPr="0016577B">
        <w:rPr>
          <w:lang w:val="en-IE"/>
        </w:rPr>
        <w:t>)</w:t>
      </w:r>
      <w:r w:rsidRPr="0016577B">
        <w:rPr>
          <w:lang w:val="en-IE"/>
        </w:rPr>
        <w:t>, i.e</w:t>
      </w:r>
      <w:r>
        <w:rPr>
          <w:lang w:val="en-IE"/>
        </w:rPr>
        <w:t xml:space="preserve">., </w:t>
      </w:r>
    </w:p>
    <w:p w14:paraId="21C3575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0C33255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rma</w:t>
      </w:r>
      <w:proofErr w:type="spellEnd"/>
      <w:r w:rsidRPr="00E63EAF">
        <w:rPr>
          <w:rFonts w:ascii="Monaco" w:eastAsia="Times New Roman" w:hAnsi="Monaco" w:cs="Courier New"/>
          <w:bCs w:val="0"/>
          <w:color w:val="CCCCCC"/>
          <w:sz w:val="18"/>
          <w:szCs w:val="18"/>
          <w:shd w:val="clear" w:color="auto" w:fill="auto"/>
          <w:lang w:val="en-IE" w:bidi="ar-SA"/>
        </w:rPr>
        <w:t>(</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212D34DB"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sei  = </w:t>
      </w:r>
      <w:proofErr w:type="spellStart"/>
      <w:r w:rsidRPr="00E63EAF">
        <w:rPr>
          <w:rFonts w:ascii="Monaco" w:eastAsia="Times New Roman" w:hAnsi="Monaco" w:cs="Courier New"/>
          <w:bCs w:val="0"/>
          <w:color w:val="CCCCCC"/>
          <w:sz w:val="18"/>
          <w:szCs w:val="18"/>
          <w:shd w:val="clear" w:color="auto" w:fill="auto"/>
          <w:lang w:val="en-IE" w:bidi="ar-SA"/>
        </w:rPr>
        <w:t>hedges_g_se</w:t>
      </w:r>
      <w:proofErr w:type="spellEnd"/>
      <w:r w:rsidRPr="00E63EAF">
        <w:rPr>
          <w:rFonts w:ascii="Monaco" w:eastAsia="Times New Roman" w:hAnsi="Monaco" w:cs="Courier New"/>
          <w:bCs w:val="0"/>
          <w:color w:val="CCCCCC"/>
          <w:sz w:val="18"/>
          <w:szCs w:val="18"/>
          <w:shd w:val="clear" w:color="auto" w:fill="auto"/>
          <w:lang w:val="en-IE" w:bidi="ar-SA"/>
        </w:rPr>
        <w:t>,</w:t>
      </w:r>
    </w:p>
    <w:p w14:paraId="5E5187C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2E7AB1B4" w14:textId="25C8411D"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3BC33BB7" w14:textId="77777777" w:rsidR="000D7094" w:rsidRPr="00E31ED1" w:rsidRDefault="000D7094" w:rsidP="00E63EAF">
      <w:pPr>
        <w:spacing w:line="240" w:lineRule="auto"/>
        <w:ind w:firstLine="0"/>
        <w:rPr>
          <w:lang w:val="en-IE"/>
        </w:rPr>
      </w:pPr>
    </w:p>
    <w:p w14:paraId="43F4A80F" w14:textId="0E7C32C7" w:rsidR="009A5B66" w:rsidRDefault="009A5B66" w:rsidP="00D550D4">
      <w:pPr>
        <w:rPr>
          <w:lang w:val="en-IE"/>
        </w:rPr>
      </w:pPr>
      <w:r w:rsidRPr="006D5385">
        <w:rPr>
          <w:i/>
          <w:lang w:val="en-IE"/>
        </w:rPr>
        <w:t>“Based on the above analyses, these findings [replicate/do not replicate] the original authors findings.”</w:t>
      </w:r>
      <w:r>
        <w:rPr>
          <w:lang w:val="en-IE"/>
        </w:rPr>
        <w:t xml:space="preserve"> (p.14)</w:t>
      </w:r>
    </w:p>
    <w:p w14:paraId="5EADEF98" w14:textId="104B9D4C" w:rsidR="003C2C96" w:rsidRDefault="0092029E" w:rsidP="00F06BD1">
      <w:pPr>
        <w:rPr>
          <w:rFonts w:eastAsia="Times New Roman"/>
          <w:highlight w:val="white"/>
        </w:rPr>
      </w:pPr>
      <w:r>
        <w:rPr>
          <w:b/>
          <w:i/>
          <w:lang w:val="en-IE"/>
        </w:rPr>
        <w:lastRenderedPageBreak/>
        <w:t>Secondary</w:t>
      </w:r>
      <w:r w:rsidRPr="0092029E">
        <w:rPr>
          <w:b/>
          <w:i/>
          <w:lang w:val="en-IE"/>
        </w:rPr>
        <w:t xml:space="preserve"> analyses</w:t>
      </w:r>
      <w:r>
        <w:rPr>
          <w:b/>
          <w:i/>
          <w:lang w:val="en-IE"/>
        </w:rPr>
        <w:t xml:space="preserve"> and hypotheses</w:t>
      </w:r>
      <w:r>
        <w:rPr>
          <w:rFonts w:eastAsia="Times New Roman"/>
          <w:highlight w:val="white"/>
        </w:rPr>
        <w:t xml:space="preserve">. </w:t>
      </w:r>
      <w:r w:rsidR="00F43168" w:rsidRPr="006D5385">
        <w:rPr>
          <w:rFonts w:eastAsia="Times New Roman"/>
          <w:i/>
          <w:highlight w:val="white"/>
        </w:rPr>
        <w:t>“</w:t>
      </w:r>
      <w:r w:rsidR="003C2C96" w:rsidRPr="006D5385">
        <w:rPr>
          <w:rFonts w:eastAsia="Times New Roman"/>
          <w:i/>
          <w:highlight w:val="white"/>
        </w:rPr>
        <w:t xml:space="preserve">Three different groups will be created (i.e., those based on the modification to the original authors’ criteria, those based on the original Bar-Anan et al., criteria, and those based on the modified Bar-Anan et al. criteria). For each group </w:t>
      </w:r>
      <w:r w:rsidR="003C2C96" w:rsidRPr="006D5385">
        <w:rPr>
          <w:rFonts w:eastAsia="Times New Roman"/>
          <w:i/>
        </w:rPr>
        <w:t xml:space="preserve">(in each lab) </w:t>
      </w:r>
      <w:r w:rsidR="003C2C96" w:rsidRPr="006D5385">
        <w:rPr>
          <w:rFonts w:eastAsia="Times New Roman"/>
          <w:i/>
          <w:highlight w:val="white"/>
        </w:rPr>
        <w:t xml:space="preserve">we will </w:t>
      </w:r>
      <w:r w:rsidR="003C2C96" w:rsidRPr="006D5385">
        <w:rPr>
          <w:rFonts w:eastAsia="Times New Roman"/>
          <w:i/>
        </w:rPr>
        <w:t>compute the EC effect size</w:t>
      </w:r>
      <w:r w:rsidR="003C2C96" w:rsidRPr="006D5385">
        <w:rPr>
          <w:rFonts w:eastAsia="Times New Roman"/>
          <w:i/>
          <w:color w:val="500050"/>
          <w:highlight w:val="white"/>
        </w:rPr>
        <w:t xml:space="preserve"> </w:t>
      </w:r>
      <w:r w:rsidR="003C2C96" w:rsidRPr="006D5385">
        <w:rPr>
          <w:rFonts w:eastAsia="Times New Roman"/>
          <w:i/>
          <w:highlight w:val="white"/>
        </w:rPr>
        <w:t>(Hedges’ g) from the mean and standard deviation of the self-reported preference score. Thereafter we will meta-analyze these effect sizes in three independent meta-analyses using a random-effects model.</w:t>
      </w:r>
      <w:r w:rsidR="00F43168" w:rsidRPr="006D5385">
        <w:rPr>
          <w:rFonts w:eastAsia="Times New Roman"/>
          <w:i/>
          <w:highlight w:val="white"/>
        </w:rPr>
        <w:t>”</w:t>
      </w:r>
      <w:r w:rsidR="00017578">
        <w:rPr>
          <w:rFonts w:eastAsia="Times New Roman"/>
          <w:highlight w:val="white"/>
        </w:rPr>
        <w:t xml:space="preserve"> (pp.14-15)</w:t>
      </w:r>
    </w:p>
    <w:p w14:paraId="1229BF2D" w14:textId="3A9F0BD8" w:rsidR="00723D49" w:rsidRDefault="00723D49" w:rsidP="003C2C96">
      <w:r>
        <w:t xml:space="preserve">R code to implement these analyses was also preregistered. Specifically, the same R code used for the primary analysis above was employed, changing only the data being passed to the </w:t>
      </w:r>
      <w:r w:rsidR="00000C7C">
        <w:t xml:space="preserve">same </w:t>
      </w:r>
      <w:r>
        <w:t>function.</w:t>
      </w:r>
    </w:p>
    <w:p w14:paraId="041DB26F" w14:textId="1E764611" w:rsidR="00104403" w:rsidRPr="008E3D79" w:rsidRDefault="00F43168" w:rsidP="008E3D79">
      <w:r w:rsidRPr="006D5385">
        <w:rPr>
          <w:i/>
        </w:rPr>
        <w:t>“</w:t>
      </w:r>
      <w:r w:rsidR="003C2C96" w:rsidRPr="006D5385">
        <w:rPr>
          <w:i/>
        </w:rPr>
        <w:t>Finally, to investigate if the effect sizes computed based on the four awareness/recollective memory criteria differ from one another, we used a multilevel meta-analysis with the type of criteria as a moderator, adding a random intercept for laboratory to account for the statistical dependency between effect sizes coming from related samples.</w:t>
      </w:r>
      <w:r w:rsidR="006D5385">
        <w:rPr>
          <w:i/>
        </w:rPr>
        <w:t>”</w:t>
      </w:r>
      <w:r w:rsidR="006463E8">
        <w:t xml:space="preserve"> </w:t>
      </w:r>
      <w:r w:rsidR="003C2C96">
        <w:t>(p.</w:t>
      </w:r>
      <w:r w:rsidR="00017578">
        <w:t>16</w:t>
      </w:r>
      <w:r w:rsidR="003C2C96">
        <w:t>)</w:t>
      </w:r>
    </w:p>
    <w:p w14:paraId="2BABC534" w14:textId="08A38478" w:rsidR="00E63EAF" w:rsidRPr="00E63EAF" w:rsidRDefault="00827148" w:rsidP="005679A5">
      <w:pPr>
        <w:rPr>
          <w:lang w:val="en-IE"/>
        </w:rPr>
      </w:pPr>
      <w:r>
        <w:rPr>
          <w:lang w:val="en-IE"/>
        </w:rPr>
        <w:t>R code implementing this exact meta</w:t>
      </w:r>
      <w:r w:rsidR="00FF3DD3">
        <w:rPr>
          <w:lang w:val="en-IE"/>
        </w:rPr>
        <w:t>-</w:t>
      </w:r>
      <w:r>
        <w:rPr>
          <w:lang w:val="en-IE"/>
        </w:rPr>
        <w:t xml:space="preserve">analytic model was preregistered with the Stage 1 Accepted Manuscript and was not subsequently changed, i.e., </w:t>
      </w:r>
    </w:p>
    <w:p w14:paraId="4B81D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fitted_model</w:t>
      </w:r>
      <w:proofErr w:type="spellEnd"/>
      <w:r w:rsidRPr="00E63EAF">
        <w:rPr>
          <w:rFonts w:ascii="Monaco" w:eastAsia="Times New Roman" w:hAnsi="Monaco" w:cs="Courier New"/>
          <w:bCs w:val="0"/>
          <w:color w:val="CCCCCC"/>
          <w:sz w:val="18"/>
          <w:szCs w:val="18"/>
          <w:shd w:val="clear" w:color="auto" w:fill="auto"/>
          <w:lang w:val="en-IE" w:bidi="ar-SA"/>
        </w:rPr>
        <w:t xml:space="preserve"> &lt;- </w:t>
      </w:r>
    </w:p>
    <w:p w14:paraId="5046B60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rma.mv(</w:t>
      </w:r>
      <w:proofErr w:type="spellStart"/>
      <w:r w:rsidRPr="00E63EAF">
        <w:rPr>
          <w:rFonts w:ascii="Monaco" w:eastAsia="Times New Roman" w:hAnsi="Monaco" w:cs="Courier New"/>
          <w:bCs w:val="0"/>
          <w:color w:val="CCCCCC"/>
          <w:sz w:val="18"/>
          <w:szCs w:val="18"/>
          <w:shd w:val="clear" w:color="auto" w:fill="auto"/>
          <w:lang w:val="en-IE" w:bidi="ar-SA"/>
        </w:rPr>
        <w:t>yi</w:t>
      </w:r>
      <w:proofErr w:type="spellEnd"/>
      <w:r w:rsidRPr="00E63EAF">
        <w:rPr>
          <w:rFonts w:ascii="Monaco" w:eastAsia="Times New Roman" w:hAnsi="Monaco" w:cs="Courier New"/>
          <w:bCs w:val="0"/>
          <w:color w:val="CCCCCC"/>
          <w:sz w:val="18"/>
          <w:szCs w:val="18"/>
          <w:shd w:val="clear" w:color="auto" w:fill="auto"/>
          <w:lang w:val="en-IE" w:bidi="ar-SA"/>
        </w:rPr>
        <w:t xml:space="preserve">     = </w:t>
      </w:r>
      <w:proofErr w:type="spellStart"/>
      <w:r w:rsidRPr="00E63EAF">
        <w:rPr>
          <w:rFonts w:ascii="Monaco" w:eastAsia="Times New Roman" w:hAnsi="Monaco" w:cs="Courier New"/>
          <w:bCs w:val="0"/>
          <w:color w:val="CCCCCC"/>
          <w:sz w:val="18"/>
          <w:szCs w:val="18"/>
          <w:shd w:val="clear" w:color="auto" w:fill="auto"/>
          <w:lang w:val="en-IE" w:bidi="ar-SA"/>
        </w:rPr>
        <w:t>hedges_g</w:t>
      </w:r>
      <w:proofErr w:type="spellEnd"/>
      <w:r w:rsidRPr="00E63EAF">
        <w:rPr>
          <w:rFonts w:ascii="Monaco" w:eastAsia="Times New Roman" w:hAnsi="Monaco" w:cs="Courier New"/>
          <w:bCs w:val="0"/>
          <w:color w:val="CCCCCC"/>
          <w:sz w:val="18"/>
          <w:szCs w:val="18"/>
          <w:shd w:val="clear" w:color="auto" w:fill="auto"/>
          <w:lang w:val="en-IE" w:bidi="ar-SA"/>
        </w:rPr>
        <w:t>,</w:t>
      </w:r>
    </w:p>
    <w:p w14:paraId="43C322A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V      = hedges_g_se^2,</w:t>
      </w:r>
    </w:p>
    <w:p w14:paraId="3016671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mods   = ~ awareness,</w:t>
      </w:r>
    </w:p>
    <w:p w14:paraId="667ED80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random = ~ 1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2B32F849"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data   = </w:t>
      </w:r>
      <w:proofErr w:type="spellStart"/>
      <w:r w:rsidRPr="00E63EAF">
        <w:rPr>
          <w:rFonts w:ascii="Monaco" w:eastAsia="Times New Roman" w:hAnsi="Monaco" w:cs="Courier New"/>
          <w:bCs w:val="0"/>
          <w:color w:val="CCCCCC"/>
          <w:sz w:val="18"/>
          <w:szCs w:val="18"/>
          <w:shd w:val="clear" w:color="auto" w:fill="auto"/>
          <w:lang w:val="en-IE" w:bidi="ar-SA"/>
        </w:rPr>
        <w:t>data_effect_sizes</w:t>
      </w:r>
      <w:proofErr w:type="spellEnd"/>
      <w:r w:rsidRPr="00E63EAF">
        <w:rPr>
          <w:rFonts w:ascii="Monaco" w:eastAsia="Times New Roman" w:hAnsi="Monaco" w:cs="Courier New"/>
          <w:bCs w:val="0"/>
          <w:color w:val="CCCCCC"/>
          <w:sz w:val="18"/>
          <w:szCs w:val="18"/>
          <w:shd w:val="clear" w:color="auto" w:fill="auto"/>
          <w:lang w:val="en-IE" w:bidi="ar-SA"/>
        </w:rPr>
        <w:t>,</w:t>
      </w:r>
    </w:p>
    <w:p w14:paraId="42DA7FB7" w14:textId="5D6BDDA3"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slab   = </w:t>
      </w:r>
      <w:proofErr w:type="spellStart"/>
      <w:r w:rsidRPr="00E63EAF">
        <w:rPr>
          <w:rFonts w:ascii="Monaco" w:eastAsia="Times New Roman" w:hAnsi="Monaco" w:cs="Courier New"/>
          <w:bCs w:val="0"/>
          <w:color w:val="CCCCCC"/>
          <w:sz w:val="18"/>
          <w:szCs w:val="18"/>
          <w:shd w:val="clear" w:color="auto" w:fill="auto"/>
          <w:lang w:val="en-IE" w:bidi="ar-SA"/>
        </w:rPr>
        <w:t>data_collection_site</w:t>
      </w:r>
      <w:proofErr w:type="spellEnd"/>
      <w:r w:rsidRPr="00E63EAF">
        <w:rPr>
          <w:rFonts w:ascii="Monaco" w:eastAsia="Times New Roman" w:hAnsi="Monaco" w:cs="Courier New"/>
          <w:bCs w:val="0"/>
          <w:color w:val="CCCCCC"/>
          <w:sz w:val="18"/>
          <w:szCs w:val="18"/>
          <w:shd w:val="clear" w:color="auto" w:fill="auto"/>
          <w:lang w:val="en-IE" w:bidi="ar-SA"/>
        </w:rPr>
        <w:t>)</w:t>
      </w:r>
    </w:p>
    <w:p w14:paraId="5DDAE496" w14:textId="77777777" w:rsidR="00827148" w:rsidRPr="003C2C96" w:rsidRDefault="00827148" w:rsidP="00827148">
      <w:pPr>
        <w:ind w:firstLine="0"/>
      </w:pPr>
    </w:p>
    <w:p w14:paraId="77C0447A" w14:textId="35546EE9" w:rsidR="007129B9" w:rsidRPr="006D5385" w:rsidRDefault="009A5B66" w:rsidP="00D550D4">
      <w:pPr>
        <w:rPr>
          <w:i/>
          <w:lang w:val="en-IE"/>
        </w:rPr>
      </w:pPr>
      <w:r w:rsidRPr="006D5385">
        <w:rPr>
          <w:i/>
          <w:lang w:val="en-IE"/>
        </w:rPr>
        <w:t>“</w:t>
      </w:r>
      <w:r w:rsidR="007129B9" w:rsidRPr="006D5385">
        <w:rPr>
          <w:i/>
          <w:lang w:val="en-IE"/>
        </w:rPr>
        <w:t>There are three outcomes that we have </w:t>
      </w:r>
      <w:r w:rsidR="007129B9" w:rsidRPr="006D5385">
        <w:rPr>
          <w:i/>
          <w:iCs/>
          <w:lang w:val="en-IE"/>
        </w:rPr>
        <w:t>a priori</w:t>
      </w:r>
      <w:r w:rsidR="007129B9" w:rsidRPr="006D5385">
        <w:rPr>
          <w:i/>
          <w:lang w:val="en-IE"/>
        </w:rPr>
        <w:t> hypotheses for.</w:t>
      </w:r>
      <w:r w:rsidRPr="006D5385">
        <w:rPr>
          <w:i/>
          <w:lang w:val="en-IE"/>
        </w:rPr>
        <w:t xml:space="preserve"> </w:t>
      </w:r>
      <w:r w:rsidR="007129B9" w:rsidRPr="006D5385">
        <w:rPr>
          <w:i/>
          <w:lang w:val="en-IE"/>
        </w:rPr>
        <w:t xml:space="preserve">The first is a situation where the multilevel meta-analysis returns a significant overall EC effect, but no significant effect for the type of criteria. In this case, we will conclude that EC effects do emerge in the surveillance task and do not depend on the specific way in which contingency awareness/recollective memory is measured. The second is where we find no evidence for an </w:t>
      </w:r>
      <w:r w:rsidR="007129B9" w:rsidRPr="006D5385">
        <w:rPr>
          <w:i/>
          <w:lang w:val="en-IE"/>
        </w:rPr>
        <w:lastRenderedPageBreak/>
        <w:t>overall EC effect and the type of criteria also fails to moderate the size of EC. In this case, we will conclude that EC effects do not emerge in the surveillance task. The third is where we find a significant effect of type of criteria in the multilevel meta-analysis and the individual univariate meta-analysis reveal significant evidence for EC with the original authors' criteria but with none of the other three criteria. In this case, we will conclude that EC effects in the surveillance task strongly depend on the way that the original authors chose to assess contingency awareness/recollective memory.”</w:t>
      </w:r>
      <w:r w:rsidRPr="006D5385">
        <w:rPr>
          <w:i/>
          <w:lang w:val="en-IE"/>
        </w:rPr>
        <w:t xml:space="preserve"> </w:t>
      </w:r>
      <w:r w:rsidRPr="006D5385">
        <w:rPr>
          <w:lang w:val="en-IE"/>
        </w:rPr>
        <w:t>(p.17)</w:t>
      </w:r>
    </w:p>
    <w:p w14:paraId="4F4D049A" w14:textId="5A4F0F9F" w:rsidR="00D95F07" w:rsidRDefault="008E089B" w:rsidP="00101D1A">
      <w:pPr>
        <w:rPr>
          <w:lang w:val="en-IE"/>
        </w:rPr>
      </w:pPr>
      <w:r>
        <w:rPr>
          <w:b/>
          <w:lang w:val="en-IE"/>
        </w:rPr>
        <w:t>Incompatibilities detected in the preparation of the Stage 2 manuscript</w:t>
      </w:r>
      <w:r w:rsidR="008858EC" w:rsidRPr="008858EC">
        <w:rPr>
          <w:b/>
          <w:lang w:val="en-IE"/>
        </w:rPr>
        <w:t>.</w:t>
      </w:r>
      <w:r w:rsidR="000D7094">
        <w:rPr>
          <w:b/>
          <w:lang w:val="en-IE"/>
        </w:rPr>
        <w:t xml:space="preserve"> </w:t>
      </w:r>
      <w:r w:rsidR="00A6517A" w:rsidRPr="00331F97">
        <w:rPr>
          <w:lang w:val="en-IE"/>
        </w:rPr>
        <w:t>Critically,</w:t>
      </w:r>
      <w:r w:rsidR="00A6517A">
        <w:rPr>
          <w:b/>
          <w:lang w:val="en-IE"/>
        </w:rPr>
        <w:t xml:space="preserve"> </w:t>
      </w:r>
      <w:r w:rsidR="00101D1A">
        <w:rPr>
          <w:lang w:val="en-IE"/>
        </w:rPr>
        <w:t>the previous</w:t>
      </w:r>
      <w:r w:rsidR="00A6517A">
        <w:rPr>
          <w:lang w:val="en-IE"/>
        </w:rPr>
        <w:t>ly</w:t>
      </w:r>
      <w:r w:rsidR="00101D1A">
        <w:rPr>
          <w:lang w:val="en-IE"/>
        </w:rPr>
        <w:t xml:space="preserve"> quoted paragraph, which describes how results of the individual meta-analyses and the multilevel moderator meta-analysis will be integrated, refers to results that </w:t>
      </w:r>
      <w:r w:rsidR="00A6517A">
        <w:rPr>
          <w:lang w:val="en-IE"/>
        </w:rPr>
        <w:t xml:space="preserve">our pre-registered </w:t>
      </w:r>
      <w:r w:rsidR="00101D1A">
        <w:rPr>
          <w:lang w:val="en-IE"/>
        </w:rPr>
        <w:t>model do</w:t>
      </w:r>
      <w:r w:rsidR="00F3598A">
        <w:rPr>
          <w:lang w:val="en-IE"/>
        </w:rPr>
        <w:t>es</w:t>
      </w:r>
      <w:r w:rsidR="00101D1A">
        <w:rPr>
          <w:lang w:val="en-IE"/>
        </w:rPr>
        <w:t xml:space="preserve"> not produce. </w:t>
      </w:r>
      <w:r w:rsidR="00A019FD">
        <w:rPr>
          <w:lang w:val="en-IE"/>
        </w:rPr>
        <w:t xml:space="preserve">Specifically, </w:t>
      </w:r>
      <w:r w:rsidR="00F67C07">
        <w:rPr>
          <w:lang w:val="en-IE"/>
        </w:rPr>
        <w:t>a</w:t>
      </w:r>
      <w:r w:rsidR="00A019FD">
        <w:rPr>
          <w:lang w:val="en-IE"/>
        </w:rPr>
        <w:t xml:space="preserve"> </w:t>
      </w:r>
      <w:r w:rsidR="006A244C" w:rsidRPr="009A5B66">
        <w:rPr>
          <w:lang w:val="en-IE"/>
        </w:rPr>
        <w:t xml:space="preserve">multilevel </w:t>
      </w:r>
      <w:r w:rsidR="006A244C">
        <w:rPr>
          <w:lang w:val="en-IE"/>
        </w:rPr>
        <w:t xml:space="preserve">moderator </w:t>
      </w:r>
      <w:r w:rsidR="006A244C" w:rsidRPr="009A5B66">
        <w:rPr>
          <w:lang w:val="en-IE"/>
        </w:rPr>
        <w:t xml:space="preserve">meta-analysis </w:t>
      </w:r>
      <w:r w:rsidR="00F50BD4">
        <w:rPr>
          <w:lang w:val="en-IE"/>
        </w:rPr>
        <w:t xml:space="preserve">model </w:t>
      </w:r>
      <w:r w:rsidR="00A019FD">
        <w:rPr>
          <w:lang w:val="en-IE"/>
        </w:rPr>
        <w:t xml:space="preserve">does not </w:t>
      </w:r>
      <w:r w:rsidR="00F50BD4">
        <w:rPr>
          <w:lang w:val="en-IE"/>
        </w:rPr>
        <w:t xml:space="preserve">produce </w:t>
      </w:r>
      <w:r w:rsidR="00A019FD">
        <w:rPr>
          <w:lang w:val="en-IE"/>
        </w:rPr>
        <w:t>an estimat</w:t>
      </w:r>
      <w:r w:rsidR="0008279B">
        <w:rPr>
          <w:lang w:val="en-IE"/>
        </w:rPr>
        <w:t>e</w:t>
      </w:r>
      <w:r w:rsidR="00A019FD">
        <w:rPr>
          <w:lang w:val="en-IE"/>
        </w:rPr>
        <w:t xml:space="preserve"> of an “</w:t>
      </w:r>
      <w:r w:rsidR="00A019FD" w:rsidRPr="009A5B66">
        <w:rPr>
          <w:lang w:val="en-IE"/>
        </w:rPr>
        <w:t>overall EC effect</w:t>
      </w:r>
      <w:r w:rsidR="00A019FD">
        <w:rPr>
          <w:lang w:val="en-IE"/>
        </w:rPr>
        <w:t>”</w:t>
      </w:r>
      <w:r w:rsidR="001B4A25">
        <w:rPr>
          <w:lang w:val="en-IE"/>
        </w:rPr>
        <w:t xml:space="preserve">, but rather four separate </w:t>
      </w:r>
      <w:r w:rsidR="00A019FD">
        <w:rPr>
          <w:lang w:val="en-IE"/>
        </w:rPr>
        <w:t>estimate</w:t>
      </w:r>
      <w:r w:rsidR="001B4A25">
        <w:rPr>
          <w:lang w:val="en-IE"/>
        </w:rPr>
        <w:t>s</w:t>
      </w:r>
      <w:r w:rsidR="00A019FD">
        <w:rPr>
          <w:lang w:val="en-IE"/>
        </w:rPr>
        <w:t xml:space="preserve"> of the EC effect </w:t>
      </w:r>
      <w:r w:rsidR="001B4A25">
        <w:rPr>
          <w:lang w:val="en-IE"/>
        </w:rPr>
        <w:t xml:space="preserve">using </w:t>
      </w:r>
      <w:r w:rsidR="00A019FD">
        <w:rPr>
          <w:lang w:val="en-IE"/>
        </w:rPr>
        <w:t xml:space="preserve">each of the four exclusion criteria. </w:t>
      </w:r>
    </w:p>
    <w:p w14:paraId="3C1DDCCD" w14:textId="4C6230A5" w:rsidR="003F443E" w:rsidRDefault="00D95F07" w:rsidP="000A61A6">
      <w:pPr>
        <w:rPr>
          <w:lang w:val="en-IE"/>
        </w:rPr>
      </w:pPr>
      <w:r>
        <w:rPr>
          <w:lang w:val="en-IE"/>
        </w:rPr>
        <w:t xml:space="preserve">To recount the logic </w:t>
      </w:r>
      <w:r w:rsidR="001316E3">
        <w:rPr>
          <w:lang w:val="en-IE"/>
        </w:rPr>
        <w:t xml:space="preserve">and action </w:t>
      </w:r>
      <w:r>
        <w:rPr>
          <w:lang w:val="en-IE"/>
        </w:rPr>
        <w:t xml:space="preserve">of the method here, a standard univariate meta-analytic model is effectively an intercept-only model (in terms of its ‘fixed’ effects). When extended to a moderator meta-analysis model, an additional fixed effect is added to the model. The standard coding strategy to implement this is to treat one of the levels of the moderator (i.e., the exclusion criteria) as the intercept (i.e., as a reference category), with the other levels of the moderator estimated as main effects. Our preregistered code defined the Olson and Fazio (2001) criterion as the intercept. The meta-effect size for any of the three criteria is therefore calculated as intercept + main effect for that criterion. </w:t>
      </w:r>
      <w:r w:rsidR="000A61A6">
        <w:rPr>
          <w:lang w:val="en-IE"/>
        </w:rPr>
        <w:t xml:space="preserve">The key point to be appreciate here is that no ‘overall’ effect is estimated: estimates are made for each of the exclusion criteria. </w:t>
      </w:r>
      <w:r w:rsidR="00E63EAF">
        <w:rPr>
          <w:lang w:val="en-IE"/>
        </w:rPr>
        <w:t>This is perhaps best understood by seeing the output itself:</w:t>
      </w:r>
    </w:p>
    <w:p w14:paraId="6DF10008" w14:textId="77777777" w:rsidR="003F443E" w:rsidRDefault="003F443E">
      <w:pPr>
        <w:spacing w:after="160" w:line="259" w:lineRule="auto"/>
        <w:ind w:firstLine="0"/>
        <w:outlineLvl w:val="9"/>
        <w:rPr>
          <w:lang w:val="en-IE"/>
        </w:rPr>
      </w:pPr>
      <w:r>
        <w:rPr>
          <w:lang w:val="en-IE"/>
        </w:rPr>
        <w:br w:type="page"/>
      </w:r>
    </w:p>
    <w:p w14:paraId="6F2A7F4A" w14:textId="77777777" w:rsidR="00101D1A" w:rsidRDefault="00101D1A" w:rsidP="000A61A6">
      <w:pPr>
        <w:rPr>
          <w:lang w:val="en-IE"/>
        </w:rPr>
      </w:pPr>
    </w:p>
    <w:p w14:paraId="2CDA8A8E"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Model Results:</w:t>
      </w:r>
    </w:p>
    <w:p w14:paraId="57023B42"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0BA82C5F"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 xml:space="preserve">                             estimate      se     </w:t>
      </w:r>
      <w:proofErr w:type="spellStart"/>
      <w:r w:rsidRPr="00E63EAF">
        <w:rPr>
          <w:rFonts w:ascii="Monaco" w:eastAsia="Times New Roman" w:hAnsi="Monaco" w:cs="Courier New"/>
          <w:bCs w:val="0"/>
          <w:color w:val="CCCCCC"/>
          <w:sz w:val="18"/>
          <w:szCs w:val="18"/>
          <w:shd w:val="clear" w:color="auto" w:fill="auto"/>
          <w:lang w:val="en-IE" w:bidi="ar-SA"/>
        </w:rPr>
        <w:t>zval</w:t>
      </w:r>
      <w:proofErr w:type="spellEnd"/>
      <w:r w:rsidRPr="00E63EAF">
        <w:rPr>
          <w:rFonts w:ascii="Monaco" w:eastAsia="Times New Roman" w:hAnsi="Monaco" w:cs="Courier New"/>
          <w:bCs w:val="0"/>
          <w:color w:val="CCCCCC"/>
          <w:sz w:val="18"/>
          <w:szCs w:val="18"/>
          <w:shd w:val="clear" w:color="auto" w:fill="auto"/>
          <w:lang w:val="en-IE" w:bidi="ar-SA"/>
        </w:rPr>
        <w:t xml:space="preserve">    </w:t>
      </w:r>
      <w:proofErr w:type="spellStart"/>
      <w:r w:rsidRPr="00E63EAF">
        <w:rPr>
          <w:rFonts w:ascii="Monaco" w:eastAsia="Times New Roman" w:hAnsi="Monaco" w:cs="Courier New"/>
          <w:bCs w:val="0"/>
          <w:color w:val="CCCCCC"/>
          <w:sz w:val="18"/>
          <w:szCs w:val="18"/>
          <w:shd w:val="clear" w:color="auto" w:fill="auto"/>
          <w:lang w:val="en-IE" w:bidi="ar-SA"/>
        </w:rPr>
        <w:t>pval</w:t>
      </w:r>
      <w:proofErr w:type="spellEnd"/>
      <w:r w:rsidRPr="00E63EAF">
        <w:rPr>
          <w:rFonts w:ascii="Monaco" w:eastAsia="Times New Roman" w:hAnsi="Monaco" w:cs="Courier New"/>
          <w:bCs w:val="0"/>
          <w:color w:val="CCCCCC"/>
          <w:sz w:val="18"/>
          <w:szCs w:val="18"/>
          <w:shd w:val="clear" w:color="auto" w:fill="auto"/>
          <w:lang w:val="en-IE" w:bidi="ar-SA"/>
        </w:rPr>
        <w:t xml:space="preserve">    ci.lb   </w:t>
      </w:r>
      <w:proofErr w:type="spellStart"/>
      <w:r w:rsidRPr="00E63EAF">
        <w:rPr>
          <w:rFonts w:ascii="Monaco" w:eastAsia="Times New Roman" w:hAnsi="Monaco" w:cs="Courier New"/>
          <w:bCs w:val="0"/>
          <w:color w:val="CCCCCC"/>
          <w:sz w:val="18"/>
          <w:szCs w:val="18"/>
          <w:shd w:val="clear" w:color="auto" w:fill="auto"/>
          <w:lang w:val="en-IE" w:bidi="ar-SA"/>
        </w:rPr>
        <w:t>ci.ub</w:t>
      </w:r>
      <w:proofErr w:type="spellEnd"/>
      <w:r w:rsidRPr="00E63EAF">
        <w:rPr>
          <w:rFonts w:ascii="Monaco" w:eastAsia="Times New Roman" w:hAnsi="Monaco" w:cs="Courier New"/>
          <w:bCs w:val="0"/>
          <w:color w:val="CCCCCC"/>
          <w:sz w:val="18"/>
          <w:szCs w:val="18"/>
          <w:shd w:val="clear" w:color="auto" w:fill="auto"/>
          <w:lang w:val="en-IE" w:bidi="ar-SA"/>
        </w:rPr>
        <w:t xml:space="preserve"> </w:t>
      </w:r>
    </w:p>
    <w:p w14:paraId="4DBAE060"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intrcpt</w:t>
      </w:r>
      <w:proofErr w:type="spellEnd"/>
      <w:r w:rsidRPr="00E63EAF">
        <w:rPr>
          <w:rFonts w:ascii="Monaco" w:eastAsia="Times New Roman" w:hAnsi="Monaco" w:cs="Courier New"/>
          <w:bCs w:val="0"/>
          <w:color w:val="CCCCCC"/>
          <w:sz w:val="18"/>
          <w:szCs w:val="18"/>
          <w:shd w:val="clear" w:color="auto" w:fill="auto"/>
          <w:lang w:val="en-IE" w:bidi="ar-SA"/>
        </w:rPr>
        <w:t xml:space="preserve">                        0.1240  0.0403   3.0774  0.0021   0.0450  0.2029  ** </w:t>
      </w:r>
    </w:p>
    <w:p w14:paraId="153E8EA1"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awarenessO&amp;F</w:t>
      </w:r>
      <w:proofErr w:type="spellEnd"/>
      <w:r w:rsidRPr="00E63EAF">
        <w:rPr>
          <w:rFonts w:ascii="Monaco" w:eastAsia="Times New Roman" w:hAnsi="Monaco" w:cs="Courier New"/>
          <w:bCs w:val="0"/>
          <w:color w:val="CCCCCC"/>
          <w:sz w:val="18"/>
          <w:szCs w:val="18"/>
          <w:shd w:val="clear" w:color="auto" w:fill="auto"/>
          <w:lang w:val="en-IE" w:bidi="ar-SA"/>
        </w:rPr>
        <w:t xml:space="preserve"> modified         -0.0743  0.0586  -1.2678  0.2049  -0.1892  0.0406     </w:t>
      </w:r>
    </w:p>
    <w:p w14:paraId="1BF28278"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-0.0872  0.0638  -1.3682  0.1712  -0.2122  0.0377     </w:t>
      </w:r>
    </w:p>
    <w:p w14:paraId="4183F01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awarenessBA,</w:t>
      </w:r>
      <w:proofErr w:type="spellStart"/>
      <w:r w:rsidRPr="00E63EAF">
        <w:rPr>
          <w:rFonts w:ascii="Monaco" w:eastAsia="Times New Roman" w:hAnsi="Monaco" w:cs="Courier New"/>
          <w:bCs w:val="0"/>
          <w:color w:val="CCCCCC"/>
          <w:sz w:val="18"/>
          <w:szCs w:val="18"/>
          <w:shd w:val="clear" w:color="auto" w:fill="auto"/>
          <w:lang w:val="en-IE" w:bidi="ar-SA"/>
        </w:rPr>
        <w:t>DeH</w:t>
      </w:r>
      <w:proofErr w:type="spellEnd"/>
      <w:r w:rsidRPr="00E63EAF">
        <w:rPr>
          <w:rFonts w:ascii="Monaco" w:eastAsia="Times New Roman" w:hAnsi="Monaco" w:cs="Courier New"/>
          <w:bCs w:val="0"/>
          <w:color w:val="CCCCCC"/>
          <w:sz w:val="18"/>
          <w:szCs w:val="18"/>
          <w:shd w:val="clear" w:color="auto" w:fill="auto"/>
          <w:lang w:val="en-IE" w:bidi="ar-SA"/>
        </w:rPr>
        <w:t xml:space="preserve">,&amp;N modified   -0.0712  0.0577  -1.2334  0.2174  -0.1844  0.0419     </w:t>
      </w:r>
    </w:p>
    <w:p w14:paraId="7D9F5D0D"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
    <w:p w14:paraId="65C1B7BA"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r w:rsidRPr="00E63EAF">
        <w:rPr>
          <w:rFonts w:ascii="Monaco" w:eastAsia="Times New Roman" w:hAnsi="Monaco" w:cs="Courier New"/>
          <w:bCs w:val="0"/>
          <w:color w:val="CCCCCC"/>
          <w:sz w:val="18"/>
          <w:szCs w:val="18"/>
          <w:shd w:val="clear" w:color="auto" w:fill="auto"/>
          <w:lang w:val="en-IE" w:bidi="ar-SA"/>
        </w:rPr>
        <w:t>---</w:t>
      </w:r>
    </w:p>
    <w:p w14:paraId="53B24C16" w14:textId="77777777" w:rsidR="00E63EAF" w:rsidRPr="00E63EAF" w:rsidRDefault="00E63EAF" w:rsidP="00E63EAF">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rPr>
          <w:rFonts w:ascii="Monaco" w:eastAsia="Times New Roman" w:hAnsi="Monaco" w:cs="Courier New"/>
          <w:bCs w:val="0"/>
          <w:color w:val="CCCCCC"/>
          <w:sz w:val="18"/>
          <w:szCs w:val="18"/>
          <w:shd w:val="clear" w:color="auto" w:fill="auto"/>
          <w:lang w:val="en-IE" w:bidi="ar-SA"/>
        </w:rPr>
      </w:pPr>
      <w:proofErr w:type="spellStart"/>
      <w:r w:rsidRPr="00E63EAF">
        <w:rPr>
          <w:rFonts w:ascii="Monaco" w:eastAsia="Times New Roman" w:hAnsi="Monaco" w:cs="Courier New"/>
          <w:bCs w:val="0"/>
          <w:color w:val="CCCCCC"/>
          <w:sz w:val="18"/>
          <w:szCs w:val="18"/>
          <w:shd w:val="clear" w:color="auto" w:fill="auto"/>
          <w:lang w:val="en-IE" w:bidi="ar-SA"/>
        </w:rPr>
        <w:t>Signif</w:t>
      </w:r>
      <w:proofErr w:type="spellEnd"/>
      <w:r w:rsidRPr="00E63EAF">
        <w:rPr>
          <w:rFonts w:ascii="Monaco" w:eastAsia="Times New Roman" w:hAnsi="Monaco" w:cs="Courier New"/>
          <w:bCs w:val="0"/>
          <w:color w:val="CCCCCC"/>
          <w:sz w:val="18"/>
          <w:szCs w:val="18"/>
          <w:shd w:val="clear" w:color="auto" w:fill="auto"/>
          <w:lang w:val="en-IE" w:bidi="ar-SA"/>
        </w:rPr>
        <w:t>. codes:  0 ‘***’ 0.001 ‘**’ 0.01 ‘*’ 0.05 ‘.’ 0.1 ‘ ’ 1</w:t>
      </w:r>
    </w:p>
    <w:p w14:paraId="437659BB" w14:textId="4D258ED7" w:rsidR="00E63EAF" w:rsidRDefault="00E63EAF" w:rsidP="00E63EAF">
      <w:pPr>
        <w:ind w:firstLine="0"/>
        <w:rPr>
          <w:lang w:val="en-IE"/>
        </w:rPr>
      </w:pPr>
    </w:p>
    <w:p w14:paraId="34E5B907" w14:textId="008EA074" w:rsidR="000A61A6" w:rsidRDefault="000A61A6" w:rsidP="00E63EAF">
      <w:pPr>
        <w:ind w:firstLine="0"/>
        <w:rPr>
          <w:lang w:val="en-IE"/>
        </w:rPr>
      </w:pPr>
      <w:r>
        <w:rPr>
          <w:lang w:val="en-IE"/>
        </w:rPr>
        <w:tab/>
      </w:r>
      <w:r w:rsidRPr="00E6787C">
        <w:rPr>
          <w:b/>
          <w:lang w:val="en-IE"/>
        </w:rPr>
        <w:t>How did this error arise?</w:t>
      </w:r>
      <w:r>
        <w:rPr>
          <w:lang w:val="en-IE"/>
        </w:rPr>
        <w:t xml:space="preserve"> </w:t>
      </w:r>
      <w:r w:rsidR="0022696B">
        <w:rPr>
          <w:lang w:val="en-IE"/>
        </w:rPr>
        <w:t>While we cannot fully account for this oversight, we think it is likely that this error in planned interpretation arose through an incorrect analogy with ANOVA results</w:t>
      </w:r>
      <w:r w:rsidR="00E916D1">
        <w:rPr>
          <w:lang w:val="en-IE"/>
        </w:rPr>
        <w:t xml:space="preserve"> when writing this section of text</w:t>
      </w:r>
      <w:r w:rsidR="0022696B">
        <w:rPr>
          <w:lang w:val="en-IE"/>
        </w:rPr>
        <w:t xml:space="preserve">. Specifically, “moderation” in the context of ANOVA is typically quantified through separate “main” and “interaction” effects. Output from such tests therefore typically provides the researcher with </w:t>
      </w:r>
      <w:r w:rsidR="00E916D1">
        <w:rPr>
          <w:lang w:val="en-IE"/>
        </w:rPr>
        <w:t xml:space="preserve">an understanding of what could be called the ‘overall’ effect and also its moderation by another variable (i.e., in the interaction effect). </w:t>
      </w:r>
    </w:p>
    <w:p w14:paraId="2632935A" w14:textId="62D4C97F" w:rsidR="00415238" w:rsidRDefault="00E916D1" w:rsidP="00415238">
      <w:pPr>
        <w:ind w:firstLine="0"/>
        <w:rPr>
          <w:lang w:val="en-IE"/>
        </w:rPr>
      </w:pPr>
      <w:r>
        <w:rPr>
          <w:lang w:val="en-IE"/>
        </w:rPr>
        <w:tab/>
      </w:r>
      <w:r w:rsidRPr="00E6787C">
        <w:rPr>
          <w:b/>
          <w:lang w:val="en-IE"/>
        </w:rPr>
        <w:t>What are its implications?</w:t>
      </w:r>
      <w:r>
        <w:rPr>
          <w:lang w:val="en-IE"/>
        </w:rPr>
        <w:t xml:space="preserve"> </w:t>
      </w:r>
      <w:r w:rsidR="00415238">
        <w:rPr>
          <w:lang w:val="en-IE"/>
        </w:rPr>
        <w:t xml:space="preserve">Two of the three combinations of outcomes from the multilevel and univariate meta-analyses referred to situations in which a “significant overall EC effect”, when in fact this meta-analysis model does not quantify any such effect. </w:t>
      </w:r>
      <w:r w:rsidR="00415238" w:rsidRPr="00415238">
        <w:rPr>
          <w:lang w:val="en-IE"/>
        </w:rPr>
        <w:t>Specifically, outcome combinations 1 (</w:t>
      </w:r>
      <w:r w:rsidRPr="00415238">
        <w:rPr>
          <w:lang w:val="en-IE"/>
        </w:rPr>
        <w:t xml:space="preserve">significant overall EC effect </w:t>
      </w:r>
      <w:r w:rsidR="00415238" w:rsidRPr="00415238">
        <w:rPr>
          <w:lang w:val="en-IE"/>
        </w:rPr>
        <w:t xml:space="preserve">&amp; </w:t>
      </w:r>
      <w:r w:rsidRPr="00415238">
        <w:rPr>
          <w:lang w:val="en-IE"/>
        </w:rPr>
        <w:t>non-significant moderation by criterion</w:t>
      </w:r>
      <w:r w:rsidR="00415238" w:rsidRPr="00415238">
        <w:rPr>
          <w:lang w:val="en-IE"/>
        </w:rPr>
        <w:t>) and 2 (</w:t>
      </w:r>
      <w:r w:rsidRPr="00415238">
        <w:rPr>
          <w:lang w:val="en-IE"/>
        </w:rPr>
        <w:t>no</w:t>
      </w:r>
      <w:r w:rsidR="008B3C2C" w:rsidRPr="00415238">
        <w:rPr>
          <w:lang w:val="en-IE"/>
        </w:rPr>
        <w:t xml:space="preserve">n-significant </w:t>
      </w:r>
      <w:r w:rsidRPr="00415238">
        <w:rPr>
          <w:lang w:val="en-IE"/>
        </w:rPr>
        <w:t>overall EC effect &amp; non-significant moderation by criterion</w:t>
      </w:r>
      <w:r w:rsidR="00415238">
        <w:rPr>
          <w:lang w:val="en-IE"/>
        </w:rPr>
        <w:t>; see above for full quotes and p.17 of Stage 1 Accepted manuscript). These criteria could therefore not be fulfilled when interpreting the results. The third outcome combination specified (</w:t>
      </w:r>
      <w:r w:rsidR="008B3C2C" w:rsidRPr="00E916D1">
        <w:rPr>
          <w:lang w:val="en-IE"/>
        </w:rPr>
        <w:t>significant</w:t>
      </w:r>
      <w:r w:rsidR="008B3C2C">
        <w:rPr>
          <w:lang w:val="en-IE"/>
        </w:rPr>
        <w:t xml:space="preserve"> moderation by criterion</w:t>
      </w:r>
      <w:r w:rsidR="00415238">
        <w:rPr>
          <w:lang w:val="en-IE"/>
        </w:rPr>
        <w:t xml:space="preserve"> </w:t>
      </w:r>
      <w:r w:rsidR="008B3C2C">
        <w:rPr>
          <w:lang w:val="en-IE"/>
        </w:rPr>
        <w:t xml:space="preserve">&amp; </w:t>
      </w:r>
      <w:r w:rsidRPr="00E916D1">
        <w:rPr>
          <w:lang w:val="en-IE"/>
        </w:rPr>
        <w:t xml:space="preserve">significant evidence </w:t>
      </w:r>
      <w:r w:rsidR="00415238">
        <w:rPr>
          <w:lang w:val="en-IE"/>
        </w:rPr>
        <w:t xml:space="preserve">for </w:t>
      </w:r>
      <w:r w:rsidRPr="00E916D1">
        <w:rPr>
          <w:lang w:val="en-IE"/>
        </w:rPr>
        <w:t xml:space="preserve">EC </w:t>
      </w:r>
      <w:r w:rsidR="008B3C2C">
        <w:rPr>
          <w:lang w:val="en-IE"/>
        </w:rPr>
        <w:t xml:space="preserve">effect </w:t>
      </w:r>
      <w:r w:rsidR="00415238">
        <w:rPr>
          <w:lang w:val="en-IE"/>
        </w:rPr>
        <w:t xml:space="preserve">using Olson &amp; Fazio 2001 criterion and non-significant EC effect using the other </w:t>
      </w:r>
      <w:r w:rsidRPr="00E916D1">
        <w:rPr>
          <w:lang w:val="en-IE"/>
        </w:rPr>
        <w:t>three criteria</w:t>
      </w:r>
      <w:r w:rsidR="00415238">
        <w:rPr>
          <w:lang w:val="en-IE"/>
        </w:rPr>
        <w:t>) was not met by the results</w:t>
      </w:r>
      <w:r w:rsidR="004C1906">
        <w:rPr>
          <w:lang w:val="en-IE"/>
        </w:rPr>
        <w:t xml:space="preserve"> (i.e., no moderation by criterion was found). </w:t>
      </w:r>
    </w:p>
    <w:p w14:paraId="0FB48392" w14:textId="1E722B4D" w:rsidR="00294C83" w:rsidRPr="00415238" w:rsidRDefault="000F5DC0" w:rsidP="00294C83">
      <w:pPr>
        <w:rPr>
          <w:lang w:val="en-IE"/>
        </w:rPr>
      </w:pPr>
      <w:r w:rsidRPr="00E6787C">
        <w:rPr>
          <w:b/>
          <w:lang w:val="en-IE"/>
        </w:rPr>
        <w:t>What was our solution?</w:t>
      </w:r>
      <w:r w:rsidRPr="000F5DC0">
        <w:rPr>
          <w:b/>
          <w:lang w:val="en-IE"/>
        </w:rPr>
        <w:t xml:space="preserve"> </w:t>
      </w:r>
      <w:r w:rsidRPr="000F5DC0">
        <w:rPr>
          <w:lang w:val="en-IE"/>
        </w:rPr>
        <w:t>Our solution was</w:t>
      </w:r>
      <w:r w:rsidR="00294C83">
        <w:rPr>
          <w:lang w:val="en-IE"/>
        </w:rPr>
        <w:t xml:space="preserve"> </w:t>
      </w:r>
      <w:r w:rsidRPr="000F5DC0">
        <w:rPr>
          <w:lang w:val="en-IE"/>
        </w:rPr>
        <w:t>to stick to our preregistered plan</w:t>
      </w:r>
      <w:r w:rsidR="00294C83">
        <w:rPr>
          <w:lang w:val="en-IE"/>
        </w:rPr>
        <w:t>, while acknowledging its limitations</w:t>
      </w:r>
      <w:r w:rsidRPr="000F5DC0">
        <w:rPr>
          <w:lang w:val="en-IE"/>
        </w:rPr>
        <w:t xml:space="preserve">. </w:t>
      </w:r>
      <w:r>
        <w:rPr>
          <w:lang w:val="en-IE"/>
        </w:rPr>
        <w:t xml:space="preserve">First, given the precision of our planned analyses both in terms </w:t>
      </w:r>
      <w:r>
        <w:rPr>
          <w:lang w:val="en-IE"/>
        </w:rPr>
        <w:lastRenderedPageBreak/>
        <w:t xml:space="preserve">of their written description and their code implementation, we </w:t>
      </w:r>
      <w:r w:rsidR="0036514F">
        <w:rPr>
          <w:lang w:val="en-IE"/>
        </w:rPr>
        <w:t xml:space="preserve">did not change these in any way. Second, </w:t>
      </w:r>
      <w:r w:rsidR="00294C83">
        <w:rPr>
          <w:lang w:val="en-IE"/>
        </w:rPr>
        <w:t>we acknowledge that the written plan on how to integrate the interpretation of the results of these tests did not correctly correspond to the output of these tests. Third, despite this mismatch, we considered it appropriate to stick to our preregistered plan: the main article therefore does not conclude in favour of any of outcome combinations 1, 2, or 3</w:t>
      </w:r>
      <w:r w:rsidR="000922B4">
        <w:rPr>
          <w:lang w:val="en-IE"/>
        </w:rPr>
        <w:t xml:space="preserve"> for the secondary analyses</w:t>
      </w:r>
      <w:r w:rsidR="00294C83">
        <w:rPr>
          <w:lang w:val="en-IE"/>
        </w:rPr>
        <w:t>. Instead, it notes that there is thus great uncertainty regarding whether EC effects differ between the four criteria (</w:t>
      </w:r>
      <w:r w:rsidR="00104403">
        <w:rPr>
          <w:lang w:val="en-IE"/>
        </w:rPr>
        <w:t>these points can be found in the discussion section and will not be reproduced h</w:t>
      </w:r>
      <w:r w:rsidR="00294C83">
        <w:rPr>
          <w:lang w:val="en-IE"/>
        </w:rPr>
        <w:t>ere). It is important to note that the written plan to interpret the results of the primary analyses (i.e., whether the original effect was replicated) was unaffected here</w:t>
      </w:r>
      <w:r w:rsidR="00107E97">
        <w:rPr>
          <w:lang w:val="en-IE"/>
        </w:rPr>
        <w:t>.</w:t>
      </w:r>
    </w:p>
    <w:p w14:paraId="257511B1" w14:textId="452DB19E" w:rsidR="003148AF" w:rsidRDefault="003148AF" w:rsidP="00711DDA">
      <w:pPr>
        <w:pStyle w:val="Heading2"/>
      </w:pPr>
      <w:r w:rsidRPr="00711DDA">
        <w:t xml:space="preserve">Data </w:t>
      </w:r>
      <w:r w:rsidR="009D536E">
        <w:t>C</w:t>
      </w:r>
      <w:r w:rsidR="009D536E" w:rsidRPr="00711DDA">
        <w:t xml:space="preserve">ollection </w:t>
      </w:r>
      <w:r w:rsidR="009D536E">
        <w:t>S</w:t>
      </w:r>
      <w:r w:rsidR="009D536E" w:rsidRPr="00711DDA">
        <w:t xml:space="preserve">topping </w:t>
      </w:r>
      <w:r w:rsidR="009D536E">
        <w:t>R</w:t>
      </w:r>
      <w:r w:rsidR="009D536E" w:rsidRPr="00711DDA">
        <w:t>ule</w:t>
      </w:r>
    </w:p>
    <w:p w14:paraId="1734716B" w14:textId="06403983" w:rsidR="003148AF" w:rsidRPr="003148AF" w:rsidRDefault="003148AF" w:rsidP="00711DDA">
      <w:r w:rsidRPr="003148AF">
        <w:t xml:space="preserve">Due to unforeseen delays, one site was unable to collect data from the specified planned number of participants (100 to 150 per site) within the informally agreed upon timeframe. We provided this lab will additional time insofar as was possible. However, we realized that no maximum timeframe was specified in our preregistration. In order to resolve the situation, we made an updated preregistration that modified our data collection stopping rule (see </w:t>
      </w:r>
      <w:hyperlink r:id="rId17" w:history="1">
        <w:r w:rsidRPr="003148AF">
          <w:rPr>
            <w:rStyle w:val="Hyperlink"/>
          </w:rPr>
          <w:t>osf.io/uyng7</w:t>
        </w:r>
      </w:hyperlink>
      <w:r w:rsidRPr="003148AF">
        <w:t xml:space="preserve">). This updated preregistration </w:t>
      </w:r>
      <w:r w:rsidR="00415976">
        <w:t>(</w:t>
      </w:r>
      <w:r w:rsidR="00415976" w:rsidRPr="00841608">
        <w:t>made on 2020-02-11</w:t>
      </w:r>
      <w:r w:rsidR="00415976">
        <w:t xml:space="preserve">) </w:t>
      </w:r>
      <w:r w:rsidRPr="003148AF">
        <w:t>is discussed in the manuscript. It specified that we would instead use all data collected from all sites, even those who had not met the originally planned sample sizes, and set a hard deadline for data collection after which any and all data from each site would be used</w:t>
      </w:r>
      <w:r w:rsidR="00415976">
        <w:t xml:space="preserve"> (</w:t>
      </w:r>
      <w:r w:rsidR="00415976" w:rsidRPr="00841608">
        <w:t>2020-02-19</w:t>
      </w:r>
      <w:r w:rsidR="00415976">
        <w:t>)</w:t>
      </w:r>
      <w:r w:rsidRPr="003148AF">
        <w:t xml:space="preserve">. This also accommodated sites that collected data from more participants than planned in our preregistration. This modification was deemed to be consistent with our meta analytic approach within the preregistered analyses (i.e., even small samples sizes make meaningful contributes as the estimation of the meta effect size, as the uncertainty around all effect sizes is quantified within the meta-analysis models). This decision was driven in large part by the </w:t>
      </w:r>
      <w:r w:rsidRPr="003148AF">
        <w:lastRenderedPageBreak/>
        <w:t>fact that this lab was that of one of the original authors, who we felt it was therefore particularly important to include in the replication.</w:t>
      </w:r>
    </w:p>
    <w:p w14:paraId="51EFDF9A" w14:textId="58826467" w:rsidR="003148AF" w:rsidRPr="003148AF" w:rsidRDefault="003148AF" w:rsidP="00711DDA">
      <w:pPr>
        <w:pStyle w:val="Heading2"/>
      </w:pPr>
      <w:r w:rsidRPr="003148AF">
        <w:t xml:space="preserve">Method of </w:t>
      </w:r>
      <w:r w:rsidR="009D536E">
        <w:t>C</w:t>
      </w:r>
      <w:r w:rsidR="009D536E" w:rsidRPr="003148AF">
        <w:t xml:space="preserve">alculating </w:t>
      </w:r>
      <w:r w:rsidR="009D536E">
        <w:t>C</w:t>
      </w:r>
      <w:r w:rsidR="009D536E" w:rsidRPr="003148AF">
        <w:t xml:space="preserve">onfidence </w:t>
      </w:r>
      <w:r w:rsidR="009D536E">
        <w:t>I</w:t>
      </w:r>
      <w:r w:rsidR="009D536E" w:rsidRPr="003148AF">
        <w:t>ntervals</w:t>
      </w:r>
    </w:p>
    <w:p w14:paraId="7A61E697" w14:textId="49CB81FC" w:rsidR="003148AF" w:rsidRPr="003148AF" w:rsidRDefault="003148AF" w:rsidP="00FE2111">
      <w:r w:rsidRPr="003148AF">
        <w:t>The preregistered implementation of the analyses employed a bootstrapping method to calculate effect sizes at each site prior to meta-analyses. However, due to the change in the data collection stopping rule (see above) one site collected a far smaller than predicted number of participants</w:t>
      </w:r>
      <w:r w:rsidR="001467EC">
        <w:t xml:space="preserve"> (</w:t>
      </w:r>
      <w:r w:rsidR="001467EC" w:rsidRPr="001057F2">
        <w:rPr>
          <w:i/>
        </w:rPr>
        <w:t>n</w:t>
      </w:r>
      <w:r w:rsidR="001467EC">
        <w:t xml:space="preserve"> = 21)</w:t>
      </w:r>
      <w:r w:rsidRPr="003148AF">
        <w:t xml:space="preserve">. </w:t>
      </w:r>
      <w:r w:rsidR="00FE2111">
        <w:t>H</w:t>
      </w:r>
      <w:r w:rsidR="00FE2111" w:rsidRPr="00FE2111">
        <w:t xml:space="preserve">eterogeneity metrics </w:t>
      </w:r>
      <w:r w:rsidR="00FE2111">
        <w:t xml:space="preserve">(e.g., </w:t>
      </w:r>
      <w:r w:rsidR="00FE2111" w:rsidRPr="00FE2111">
        <w:rPr>
          <w:i/>
        </w:rPr>
        <w:t>I</w:t>
      </w:r>
      <w:r w:rsidR="00FE2111" w:rsidRPr="00FE2111">
        <w:rPr>
          <w:vertAlign w:val="superscript"/>
        </w:rPr>
        <w:t>2</w:t>
      </w:r>
      <w:r w:rsidR="00FE2111" w:rsidRPr="00FE2111">
        <w:t xml:space="preserve"> and </w:t>
      </w:r>
      <w:r w:rsidR="00FE2111" w:rsidRPr="00FE2111">
        <w:rPr>
          <w:i/>
        </w:rPr>
        <w:t>H</w:t>
      </w:r>
      <w:r w:rsidR="00FE2111" w:rsidRPr="00FE2111">
        <w:rPr>
          <w:vertAlign w:val="superscript"/>
        </w:rPr>
        <w:t>2</w:t>
      </w:r>
      <w:r w:rsidR="00FE2111">
        <w:t>)</w:t>
      </w:r>
      <w:r w:rsidR="00FE2111" w:rsidRPr="00FE2111">
        <w:t xml:space="preserve"> were </w:t>
      </w:r>
      <w:r w:rsidR="00FE2111">
        <w:t xml:space="preserve">observed to </w:t>
      </w:r>
      <w:r w:rsidR="00FE2111" w:rsidRPr="00FE2111">
        <w:t xml:space="preserve">computationally unstable when re-running the analysis script. For the sake of computational reproducibility, we therefore exchanged the bootstrapping method for the arithmetic method throughout. Inspection of the effect sizes and CIs suggested the impact of this decision on the </w:t>
      </w:r>
      <w:r w:rsidR="00FE2111">
        <w:t>meta effect size estimates and its confidence intervals</w:t>
      </w:r>
      <w:r w:rsidR="00FE2111" w:rsidRPr="00FE2111">
        <w:t xml:space="preserve"> was </w:t>
      </w:r>
      <w:r w:rsidR="00FE2111">
        <w:t xml:space="preserve">less than </w:t>
      </w:r>
      <w:r w:rsidR="00FE2111" w:rsidRPr="00FE2111">
        <w:t xml:space="preserve">Hedge’s </w:t>
      </w:r>
      <w:r w:rsidR="00FE2111" w:rsidRPr="00FE2111">
        <w:rPr>
          <w:i/>
        </w:rPr>
        <w:t>g</w:t>
      </w:r>
      <w:r w:rsidR="00FE2111" w:rsidRPr="00FE2111">
        <w:t xml:space="preserve"> = 0.01.</w:t>
      </w:r>
      <w:r w:rsidR="00FE2111">
        <w:t xml:space="preserve"> </w:t>
      </w:r>
      <w:r w:rsidR="0012426D">
        <w:t xml:space="preserve">We also note that the written description included in the Stage 1 Accepted manuscript implied that the </w:t>
      </w:r>
      <w:r w:rsidR="0012426D" w:rsidRPr="00FE2111">
        <w:t>arithmetic method</w:t>
      </w:r>
      <w:r w:rsidR="0012426D">
        <w:t xml:space="preserve"> would be employed (i.e., “</w:t>
      </w:r>
      <w:r w:rsidR="0012426D" w:rsidRPr="00E31ED1">
        <w:t xml:space="preserve">we will compute the EC effect size (Hedges’ </w:t>
      </w:r>
      <w:r w:rsidR="0012426D" w:rsidRPr="00BC314D">
        <w:rPr>
          <w:i/>
        </w:rPr>
        <w:t>g</w:t>
      </w:r>
      <w:r w:rsidR="0012426D" w:rsidRPr="00E31ED1">
        <w:t>) from the mean and standard deviation</w:t>
      </w:r>
      <w:r w:rsidR="0012426D">
        <w:t>”, p.14).</w:t>
      </w:r>
    </w:p>
    <w:p w14:paraId="390DBEB6" w14:textId="63B767EF" w:rsidR="003148AF" w:rsidRPr="003148AF" w:rsidRDefault="003148AF" w:rsidP="00711DDA">
      <w:pPr>
        <w:pStyle w:val="Heading2"/>
      </w:pPr>
      <w:r w:rsidRPr="003148AF">
        <w:rPr>
          <w:i/>
        </w:rPr>
        <w:t>z</w:t>
      </w:r>
      <w:r w:rsidRPr="003148AF">
        <w:t xml:space="preserve"> and </w:t>
      </w:r>
      <w:r w:rsidRPr="003148AF">
        <w:rPr>
          <w:i/>
        </w:rPr>
        <w:t>p</w:t>
      </w:r>
      <w:r w:rsidRPr="003148AF">
        <w:t xml:space="preserve"> </w:t>
      </w:r>
      <w:r w:rsidR="009D536E">
        <w:t>V</w:t>
      </w:r>
      <w:r w:rsidR="009D536E" w:rsidRPr="003148AF">
        <w:t xml:space="preserve">alues </w:t>
      </w:r>
      <w:r w:rsidRPr="003148AF">
        <w:t>for ‘</w:t>
      </w:r>
      <w:r w:rsidR="009D536E">
        <w:t>A</w:t>
      </w:r>
      <w:r w:rsidR="009D536E" w:rsidRPr="003148AF">
        <w:t xml:space="preserve">ware’ </w:t>
      </w:r>
      <w:r w:rsidR="009D536E">
        <w:t>P</w:t>
      </w:r>
      <w:r w:rsidR="009D536E" w:rsidRPr="003148AF">
        <w:t>articipants</w:t>
      </w:r>
    </w:p>
    <w:p w14:paraId="1EE52B65" w14:textId="17735621" w:rsidR="003148AF" w:rsidRPr="003148AF" w:rsidRDefault="003148AF" w:rsidP="00711DDA">
      <w:r w:rsidRPr="003148AF">
        <w:t xml:space="preserve">Due to an oversight, no method to calculate </w:t>
      </w:r>
      <w:r w:rsidRPr="003148AF">
        <w:rPr>
          <w:i/>
        </w:rPr>
        <w:t>z</w:t>
      </w:r>
      <w:r w:rsidRPr="003148AF">
        <w:t xml:space="preserve"> or </w:t>
      </w:r>
      <w:r w:rsidRPr="003148AF">
        <w:rPr>
          <w:i/>
        </w:rPr>
        <w:t>p</w:t>
      </w:r>
      <w:r w:rsidRPr="003148AF">
        <w:t xml:space="preserve"> values was specified or implemented in our written preregistration or preregistered code. The preregistered implementation of the moderator meta-analysis models return values for the difference in effect size between the two subsets (</w:t>
      </w:r>
      <w:r w:rsidR="001467EC">
        <w:t>‘</w:t>
      </w:r>
      <w:r w:rsidRPr="003148AF">
        <w:t>aware</w:t>
      </w:r>
      <w:r w:rsidR="001467EC">
        <w:t>’</w:t>
      </w:r>
      <w:r w:rsidRPr="003148AF">
        <w:t xml:space="preserve"> vs. </w:t>
      </w:r>
      <w:r w:rsidR="001467EC">
        <w:t>‘</w:t>
      </w:r>
      <w:r w:rsidRPr="003148AF">
        <w:t>unaware</w:t>
      </w:r>
      <w:r w:rsidR="001467EC">
        <w:t>’</w:t>
      </w:r>
      <w:r w:rsidRPr="003148AF">
        <w:t xml:space="preserve">) and the </w:t>
      </w:r>
      <w:r w:rsidRPr="003148AF">
        <w:rPr>
          <w:i/>
        </w:rPr>
        <w:t>p</w:t>
      </w:r>
      <w:r w:rsidRPr="003148AF">
        <w:t xml:space="preserve"> and </w:t>
      </w:r>
      <w:r w:rsidRPr="003148AF">
        <w:rPr>
          <w:i/>
        </w:rPr>
        <w:t>z</w:t>
      </w:r>
      <w:r w:rsidRPr="003148AF">
        <w:t xml:space="preserve"> values for this difference, but not values for each subset. While the preregistered models are fit for their primary purpose (i.e., testing moderation by awareness), our Stage 1 accepted manuscript stated that we would also report </w:t>
      </w:r>
      <w:r w:rsidRPr="003148AF">
        <w:rPr>
          <w:i/>
        </w:rPr>
        <w:t>z</w:t>
      </w:r>
      <w:r w:rsidRPr="003148AF">
        <w:t xml:space="preserve"> and </w:t>
      </w:r>
      <w:r w:rsidRPr="003148AF">
        <w:rPr>
          <w:i/>
        </w:rPr>
        <w:t>p</w:t>
      </w:r>
      <w:r w:rsidRPr="003148AF">
        <w:t xml:space="preserve"> values for each subset. In order to employ the identical method to how these values were calculated for the </w:t>
      </w:r>
      <w:r w:rsidR="001467EC">
        <w:t>‘</w:t>
      </w:r>
      <w:r w:rsidRPr="003148AF">
        <w:t>unaware</w:t>
      </w:r>
      <w:r w:rsidR="001467EC">
        <w:t>’</w:t>
      </w:r>
      <w:r w:rsidRPr="003148AF">
        <w:t xml:space="preserve"> subset, we therefore fitted (non-moderator) meta-analyses to just the aware subset of participants. The only results reported from these models were the effect sizes, 95% CIs, </w:t>
      </w:r>
      <w:r w:rsidRPr="003148AF">
        <w:rPr>
          <w:i/>
        </w:rPr>
        <w:t>z</w:t>
      </w:r>
      <w:r w:rsidRPr="003148AF">
        <w:t xml:space="preserve"> and </w:t>
      </w:r>
      <w:r w:rsidRPr="003148AF">
        <w:rPr>
          <w:i/>
        </w:rPr>
        <w:t>p</w:t>
      </w:r>
      <w:r w:rsidRPr="003148AF">
        <w:t xml:space="preserve"> values. </w:t>
      </w:r>
    </w:p>
    <w:p w14:paraId="58BE9037" w14:textId="6471437B" w:rsidR="003148AF" w:rsidRPr="003148AF" w:rsidRDefault="003148AF" w:rsidP="00711DDA">
      <w:pPr>
        <w:pStyle w:val="Heading2"/>
      </w:pPr>
      <w:r w:rsidRPr="003148AF">
        <w:lastRenderedPageBreak/>
        <w:t xml:space="preserve">Description of the exclusion criteria </w:t>
      </w:r>
    </w:p>
    <w:p w14:paraId="21AF759C" w14:textId="3B4EAD1D" w:rsidR="003148AF" w:rsidRDefault="003148AF" w:rsidP="00711DDA">
      <w:r w:rsidRPr="003148AF">
        <w:t>After writing the Stage 2 manuscript and soliciting comments from co-authors, there was consensus that the description of the four exclusion criteria was unclear and confusing. We therefore elected to rewrite this section</w:t>
      </w:r>
      <w:r w:rsidR="007D5DBE">
        <w:t xml:space="preserve"> (see pp. 1</w:t>
      </w:r>
      <w:r w:rsidR="00D55CC3">
        <w:t>1</w:t>
      </w:r>
      <w:r w:rsidR="007D5DBE">
        <w:t>-1</w:t>
      </w:r>
      <w:r w:rsidR="00F4049C">
        <w:t>3</w:t>
      </w:r>
      <w:r w:rsidR="007D5DBE">
        <w:t xml:space="preserve"> in the manuscript)</w:t>
      </w:r>
      <w:r w:rsidRPr="003148AF">
        <w:t>.</w:t>
      </w:r>
      <w:r w:rsidR="007D5DBE">
        <w:t xml:space="preserve"> Following the editor request, we moved most of the </w:t>
      </w:r>
      <w:r w:rsidR="007D5DBE" w:rsidRPr="003148AF">
        <w:t>description of the four exclusion criteria</w:t>
      </w:r>
      <w:r w:rsidR="007D5DBE">
        <w:t xml:space="preserve"> to the SOM-R (see pp. 2-4 above). </w:t>
      </w:r>
      <w:r w:rsidR="007D5DBE" w:rsidRPr="003148AF">
        <w:t xml:space="preserve"> </w:t>
      </w:r>
      <w:r w:rsidRPr="003148AF">
        <w:t xml:space="preserve">Importantly, it is only the </w:t>
      </w:r>
      <w:r w:rsidRPr="003148AF">
        <w:rPr>
          <w:i/>
        </w:rPr>
        <w:t>description</w:t>
      </w:r>
      <w:r w:rsidRPr="003148AF">
        <w:t xml:space="preserve"> </w:t>
      </w:r>
      <w:r w:rsidRPr="003148AF">
        <w:rPr>
          <w:i/>
        </w:rPr>
        <w:t>in the manuscript</w:t>
      </w:r>
      <w:r w:rsidRPr="003148AF">
        <w:t xml:space="preserve"> of what these criteria consisted of and how they were applied that changed. Their implementation did not change between preregistration/Stage 1 acceptance and the Stage 2 manuscript. In fact, the revised descriptions of the criteria in this section are more closely aligned with the actual preregistered protocol and instructions distributed to the sites than the descriptions in the Stage 1 accepted manuscript. We therefore felt this this modification to the Stage 1 accepted manuscript was justified on the basis of improving clarity and readability. </w:t>
      </w:r>
    </w:p>
    <w:p w14:paraId="1C7B9B8C" w14:textId="08AB88D8" w:rsidR="00711DDA" w:rsidRDefault="003148AF" w:rsidP="00711DDA">
      <w:pPr>
        <w:pStyle w:val="Heading2"/>
      </w:pPr>
      <w:r w:rsidRPr="003148AF">
        <w:t>Non-</w:t>
      </w:r>
      <w:r w:rsidR="009D536E">
        <w:t>P</w:t>
      </w:r>
      <w:r w:rsidR="009D536E" w:rsidRPr="003148AF">
        <w:t xml:space="preserve">reregistered </w:t>
      </w:r>
      <w:r w:rsidR="009D536E">
        <w:t>A</w:t>
      </w:r>
      <w:r w:rsidR="009D536E" w:rsidRPr="003148AF">
        <w:t xml:space="preserve">nalyses </w:t>
      </w:r>
    </w:p>
    <w:p w14:paraId="570E1ECA" w14:textId="16319ED2" w:rsidR="00AE1FF4" w:rsidRDefault="003148AF" w:rsidP="009D536E">
      <w:pPr>
        <w:rPr>
          <w:b/>
        </w:rPr>
      </w:pPr>
      <w:r w:rsidRPr="00711DDA">
        <w:t xml:space="preserve">All non-preregistered analyses are clearly marked in both the code implementation and the manuscript. </w:t>
      </w:r>
    </w:p>
    <w:p w14:paraId="3A5ECA40" w14:textId="35A689DB" w:rsidR="00AE1FF4" w:rsidRPr="00F32498" w:rsidRDefault="00BA3341" w:rsidP="00AE1FF4">
      <w:pPr>
        <w:pStyle w:val="Heading1"/>
      </w:pPr>
      <w:r>
        <w:t xml:space="preserve">Additional </w:t>
      </w:r>
      <w:r w:rsidR="009D536E">
        <w:t>Details on R</w:t>
      </w:r>
      <w:r w:rsidR="00AE1FF4">
        <w:t>esults</w:t>
      </w:r>
    </w:p>
    <w:p w14:paraId="774BDB25" w14:textId="1A19F0C9" w:rsidR="00270EA5" w:rsidRPr="00794C7B" w:rsidRDefault="00270EA5" w:rsidP="009D536E">
      <w:pPr>
        <w:pStyle w:val="Heading2"/>
      </w:pPr>
      <w:r w:rsidRPr="00431067">
        <w:t xml:space="preserve">Comparison of </w:t>
      </w:r>
      <w:r w:rsidR="009D536E">
        <w:t>‘C</w:t>
      </w:r>
      <w:r w:rsidRPr="00431067">
        <w:t>ontingency</w:t>
      </w:r>
      <w:r w:rsidR="009D536E">
        <w:t>-A</w:t>
      </w:r>
      <w:r w:rsidRPr="00431067">
        <w:t>ware</w:t>
      </w:r>
      <w:r w:rsidR="009D536E">
        <w:t>’</w:t>
      </w:r>
      <w:r w:rsidRPr="00431067">
        <w:t xml:space="preserve"> vs. </w:t>
      </w:r>
      <w:r w:rsidR="009D536E">
        <w:t>’U</w:t>
      </w:r>
      <w:r w:rsidRPr="00431067">
        <w:t>naware</w:t>
      </w:r>
      <w:r w:rsidR="009D536E">
        <w:t>’</w:t>
      </w:r>
      <w:r w:rsidRPr="00431067">
        <w:t xml:space="preserve"> </w:t>
      </w:r>
      <w:r w:rsidR="009D536E">
        <w:t>P</w:t>
      </w:r>
      <w:r w:rsidRPr="00431067">
        <w:t>articipants</w:t>
      </w:r>
    </w:p>
    <w:p w14:paraId="702FD645" w14:textId="0F93CDBE" w:rsidR="00270EA5" w:rsidRDefault="00270EA5" w:rsidP="00270EA5">
      <w:r>
        <w:t xml:space="preserve">The initial set of analyses in our paper always excluded </w:t>
      </w:r>
      <w:r w:rsidRPr="00F32498">
        <w:t xml:space="preserve">‘contingency-aware’ participants. Yet one could also examine </w:t>
      </w:r>
      <w:r>
        <w:t>whether</w:t>
      </w:r>
      <w:r w:rsidRPr="00F32498">
        <w:t xml:space="preserve"> awareness/recollective memory moderate the size of EC effects. With this in mind, we divided participants into two groups (‘aware’ and ‘unaware’) using the four aforementioned criteria, and then carried out an additional set of </w:t>
      </w:r>
      <w:r>
        <w:t>secondary</w:t>
      </w:r>
      <w:r w:rsidRPr="00F32498">
        <w:t xml:space="preserve"> analyses that compare</w:t>
      </w:r>
      <w:r>
        <w:t>d</w:t>
      </w:r>
      <w:r w:rsidRPr="00F32498">
        <w:t xml:space="preserve"> EC effects between these two groups using a multilevel moderator meta-analysis model.</w:t>
      </w:r>
      <w:r>
        <w:t xml:space="preserve"> </w:t>
      </w:r>
    </w:p>
    <w:p w14:paraId="3448BB61" w14:textId="65494B68" w:rsidR="00D55CC3" w:rsidRDefault="00D55CC3" w:rsidP="00270EA5">
      <w:pPr>
        <w:rPr>
          <w:highlight w:val="white"/>
        </w:rPr>
      </w:pPr>
    </w:p>
    <w:p w14:paraId="47DEC673" w14:textId="77777777" w:rsidR="00D55CC3" w:rsidRDefault="00D55CC3" w:rsidP="00270EA5">
      <w:pPr>
        <w:rPr>
          <w:highlight w:val="white"/>
        </w:rPr>
      </w:pPr>
      <w:bookmarkStart w:id="0" w:name="_GoBack"/>
      <w:bookmarkEnd w:id="0"/>
    </w:p>
    <w:p w14:paraId="7D0838E5" w14:textId="7A4E76A3" w:rsidR="00BB6C47" w:rsidRPr="00BB6C47" w:rsidRDefault="00AE1FF4" w:rsidP="009D536E">
      <w:pPr>
        <w:pStyle w:val="Heading2"/>
      </w:pPr>
      <w:r w:rsidRPr="00BB6C47">
        <w:lastRenderedPageBreak/>
        <w:t>Non-Preregistered Analys</w:t>
      </w:r>
      <w:r w:rsidR="00431067">
        <w:t>i</w:t>
      </w:r>
      <w:r w:rsidRPr="00BB6C47">
        <w:t>s</w:t>
      </w:r>
      <w:r w:rsidR="00BB6C47" w:rsidRPr="00BB6C47">
        <w:t>:</w:t>
      </w:r>
      <w:r w:rsidRPr="00BB6C47">
        <w:t xml:space="preserve"> </w:t>
      </w:r>
      <w:r w:rsidR="008A7F29" w:rsidRPr="00BB6C47">
        <w:t xml:space="preserve">Moderator </w:t>
      </w:r>
      <w:r w:rsidR="009D536E">
        <w:t>M</w:t>
      </w:r>
      <w:r w:rsidR="008A7F29" w:rsidRPr="00BB6C47">
        <w:t>eta-</w:t>
      </w:r>
      <w:r w:rsidR="009D536E">
        <w:t>A</w:t>
      </w:r>
      <w:r w:rsidR="008A7F29" w:rsidRPr="00BB6C47">
        <w:t>nalysis</w:t>
      </w:r>
    </w:p>
    <w:p w14:paraId="4D7FB92E" w14:textId="0222C533" w:rsidR="00F55374" w:rsidRDefault="008A7F29" w:rsidP="00711DDA">
      <w:pPr>
        <w:sectPr w:rsidR="00F55374" w:rsidSect="00F55374">
          <w:headerReference w:type="even" r:id="rId18"/>
          <w:headerReference w:type="default" r:id="rId19"/>
          <w:pgSz w:w="11906" w:h="16838"/>
          <w:pgMar w:top="1417" w:right="1417" w:bottom="1417" w:left="1417" w:header="708" w:footer="708" w:gutter="0"/>
          <w:cols w:space="708"/>
          <w:docGrid w:linePitch="360"/>
        </w:sectPr>
      </w:pPr>
      <w:r>
        <w:t xml:space="preserve">After data collection and analysis, a co-author pointed out that the assumption of independence was violated within our moderator meta-analysis, given that two of the exclusion criteria (Olson &amp; Fazio, 2001 modified and Bar-Anan et al., 2010 modified) are derivatives of the other two (Olson &amp; Fazio, 2001 and Bar-Anan et al., 2010). In order to ensure that this violation did not influence conclusions, we fitted one additional model. This was identical to the moderator meta-analysis model with one exception: 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results of the preregistered moderator meta-analysis model, no evidence of moderation was found either overall, </w:t>
      </w:r>
      <w:r w:rsidRPr="00F32498">
        <w:rPr>
          <w:i/>
        </w:rPr>
        <w:t>Q</w:t>
      </w:r>
      <w:r w:rsidRPr="00F32498">
        <w:t>(</w:t>
      </w:r>
      <w:r>
        <w:t>3</w:t>
      </w:r>
      <w:r w:rsidRPr="00F32498">
        <w:t>) =</w:t>
      </w:r>
      <w:r>
        <w:t>2.76</w:t>
      </w:r>
      <w:r w:rsidRPr="00F32498">
        <w:t xml:space="preserve">, </w:t>
      </w:r>
      <w:r w:rsidRPr="00F32498">
        <w:rPr>
          <w:i/>
        </w:rPr>
        <w:t>p</w:t>
      </w:r>
      <w:r w:rsidRPr="00F32498">
        <w:t xml:space="preserve"> </w:t>
      </w:r>
      <w:r>
        <w:t>=</w:t>
      </w:r>
      <w:r w:rsidRPr="00F32498">
        <w:t xml:space="preserve"> .</w:t>
      </w:r>
      <w:r>
        <w:t xml:space="preserve">430, or for the change in meta effect sizes for family, strictness, or their interaction, all </w:t>
      </w:r>
      <w:proofErr w:type="spellStart"/>
      <w:r w:rsidRPr="00BB63B5">
        <w:rPr>
          <w:i/>
        </w:rPr>
        <w:t>p</w:t>
      </w:r>
      <w:r>
        <w:t>s</w:t>
      </w:r>
      <w:proofErr w:type="spellEnd"/>
      <w:r>
        <w:t xml:space="preserve"> </w:t>
      </w:r>
      <w:r w:rsidRPr="00BB63B5">
        <w:t>≥</w:t>
      </w:r>
      <w:r>
        <w:t xml:space="preserve"> .205.</w:t>
      </w:r>
    </w:p>
    <w:p w14:paraId="670B2387" w14:textId="1B8DB836" w:rsidR="006862AA" w:rsidRPr="002A42BC" w:rsidRDefault="006862AA" w:rsidP="007A12A1">
      <w:pPr>
        <w:ind w:firstLine="0"/>
      </w:pPr>
      <w:r w:rsidRPr="002A42BC">
        <w:lastRenderedPageBreak/>
        <w:t>Table S1</w:t>
      </w:r>
    </w:p>
    <w:p w14:paraId="26E0AF75" w14:textId="6F720147" w:rsidR="002A42BC" w:rsidRPr="002A42BC" w:rsidRDefault="002A42BC" w:rsidP="007A12A1">
      <w:pPr>
        <w:ind w:firstLine="0"/>
      </w:pPr>
      <w:r w:rsidRPr="002A42BC">
        <w:t>Sample size, sample characteristics</w:t>
      </w:r>
      <w:r w:rsidR="001C1186">
        <w:t>,</w:t>
      </w:r>
      <w:r w:rsidRPr="002A42BC">
        <w:t xml:space="preserve"> and percent of exclusions for each of the contingency awareness/recollective memory exclusion criteria, as a function of data-collection site.</w:t>
      </w:r>
    </w:p>
    <w:tbl>
      <w:tblPr>
        <w:tblStyle w:val="TableGrid"/>
        <w:tblW w:w="13972" w:type="dxa"/>
        <w:tblBorders>
          <w:left w:val="none" w:sz="0" w:space="0" w:color="auto"/>
          <w:right w:val="none" w:sz="0" w:space="0" w:color="auto"/>
          <w:insideV w:val="none" w:sz="0" w:space="0" w:color="auto"/>
        </w:tblBorders>
        <w:tblLook w:val="04A0" w:firstRow="1" w:lastRow="0" w:firstColumn="1" w:lastColumn="0" w:noHBand="0" w:noVBand="1"/>
      </w:tblPr>
      <w:tblGrid>
        <w:gridCol w:w="1035"/>
        <w:gridCol w:w="959"/>
        <w:gridCol w:w="831"/>
        <w:gridCol w:w="636"/>
        <w:gridCol w:w="513"/>
        <w:gridCol w:w="748"/>
        <w:gridCol w:w="651"/>
        <w:gridCol w:w="776"/>
        <w:gridCol w:w="834"/>
        <w:gridCol w:w="1510"/>
        <w:gridCol w:w="1322"/>
        <w:gridCol w:w="1415"/>
        <w:gridCol w:w="1322"/>
        <w:gridCol w:w="1420"/>
      </w:tblGrid>
      <w:tr w:rsidR="004105CF" w:rsidRPr="00981EE1" w14:paraId="7A74543B" w14:textId="77777777" w:rsidTr="005A635B">
        <w:trPr>
          <w:trHeight w:val="229"/>
        </w:trPr>
        <w:tc>
          <w:tcPr>
            <w:tcW w:w="1035" w:type="dxa"/>
            <w:tcBorders>
              <w:bottom w:val="nil"/>
            </w:tcBorders>
          </w:tcPr>
          <w:p w14:paraId="5CE1F905"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959" w:type="dxa"/>
            <w:tcBorders>
              <w:bottom w:val="nil"/>
            </w:tcBorders>
          </w:tcPr>
          <w:p w14:paraId="641B1B64"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831" w:type="dxa"/>
            <w:tcBorders>
              <w:bottom w:val="nil"/>
            </w:tcBorders>
          </w:tcPr>
          <w:p w14:paraId="7EF6BEB7" w14:textId="77777777"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p>
        </w:tc>
        <w:tc>
          <w:tcPr>
            <w:tcW w:w="1149" w:type="dxa"/>
            <w:gridSpan w:val="2"/>
          </w:tcPr>
          <w:p w14:paraId="134D076E" w14:textId="2C15CF94"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Age</w:t>
            </w:r>
          </w:p>
        </w:tc>
        <w:tc>
          <w:tcPr>
            <w:tcW w:w="3009" w:type="dxa"/>
            <w:gridSpan w:val="4"/>
          </w:tcPr>
          <w:p w14:paraId="04B7E57D" w14:textId="4A26DDA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Gender</w:t>
            </w:r>
          </w:p>
        </w:tc>
        <w:tc>
          <w:tcPr>
            <w:tcW w:w="6989" w:type="dxa"/>
            <w:gridSpan w:val="5"/>
          </w:tcPr>
          <w:p w14:paraId="0DF4913C" w14:textId="754BED6F"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CFCFC"/>
              </w:rPr>
              <w:t>Percent excluded</w:t>
            </w:r>
          </w:p>
        </w:tc>
      </w:tr>
      <w:tr w:rsidR="00455002" w:rsidRPr="00981EE1" w14:paraId="477F401A" w14:textId="77777777" w:rsidTr="005546F2">
        <w:trPr>
          <w:trHeight w:val="517"/>
        </w:trPr>
        <w:tc>
          <w:tcPr>
            <w:tcW w:w="1035" w:type="dxa"/>
            <w:tcBorders>
              <w:top w:val="nil"/>
              <w:bottom w:val="single" w:sz="4" w:space="0" w:color="auto"/>
            </w:tcBorders>
          </w:tcPr>
          <w:p w14:paraId="5BD0466E" w14:textId="18BBFC86" w:rsidR="006862AA" w:rsidRPr="00981EE1" w:rsidRDefault="006862AA" w:rsidP="00981EE1">
            <w:pPr>
              <w:pStyle w:val="NoSpacing"/>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Site</w:t>
            </w:r>
          </w:p>
        </w:tc>
        <w:tc>
          <w:tcPr>
            <w:tcW w:w="959" w:type="dxa"/>
            <w:tcBorders>
              <w:top w:val="nil"/>
              <w:bottom w:val="single" w:sz="4" w:space="0" w:color="auto"/>
            </w:tcBorders>
          </w:tcPr>
          <w:p w14:paraId="602AD27C" w14:textId="6C00ACE8"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006862AA" w:rsidRPr="00981EE1">
              <w:rPr>
                <w:rFonts w:ascii="Times New Roman" w:hAnsi="Times New Roman" w:cs="Times New Roman"/>
                <w:b/>
                <w:bCs/>
                <w:color w:val="000000" w:themeColor="text1"/>
                <w:sz w:val="16"/>
                <w:szCs w:val="16"/>
                <w:shd w:val="clear" w:color="auto" w:fill="FCFCFC"/>
              </w:rPr>
              <w:t xml:space="preserve"> manual exclusions</w:t>
            </w:r>
          </w:p>
        </w:tc>
        <w:tc>
          <w:tcPr>
            <w:tcW w:w="831" w:type="dxa"/>
            <w:tcBorders>
              <w:top w:val="nil"/>
              <w:bottom w:val="single" w:sz="4" w:space="0" w:color="auto"/>
            </w:tcBorders>
          </w:tcPr>
          <w:p w14:paraId="65D9C7CB" w14:textId="70F630AC" w:rsidR="006862AA" w:rsidRPr="00981EE1" w:rsidRDefault="00D15AFC"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i/>
                <w:color w:val="000000" w:themeColor="text1"/>
                <w:sz w:val="16"/>
                <w:szCs w:val="16"/>
                <w:shd w:val="clear" w:color="auto" w:fill="FCFCFC"/>
              </w:rPr>
              <w:t>n</w:t>
            </w:r>
            <w:r w:rsidRPr="00981EE1">
              <w:rPr>
                <w:rFonts w:ascii="Times New Roman" w:hAnsi="Times New Roman" w:cs="Times New Roman"/>
                <w:b/>
                <w:bCs/>
                <w:color w:val="000000" w:themeColor="text1"/>
                <w:sz w:val="16"/>
                <w:szCs w:val="16"/>
                <w:shd w:val="clear" w:color="auto" w:fill="FCFCFC"/>
              </w:rPr>
              <w:t xml:space="preserve"> </w:t>
            </w:r>
            <w:r w:rsidR="006862AA" w:rsidRPr="00981EE1">
              <w:rPr>
                <w:rFonts w:ascii="Times New Roman" w:hAnsi="Times New Roman" w:cs="Times New Roman"/>
                <w:b/>
                <w:bCs/>
                <w:color w:val="000000" w:themeColor="text1"/>
                <w:sz w:val="16"/>
                <w:szCs w:val="16"/>
                <w:shd w:val="clear" w:color="auto" w:fill="FCFCFC"/>
              </w:rPr>
              <w:t>for analysis</w:t>
            </w:r>
          </w:p>
        </w:tc>
        <w:tc>
          <w:tcPr>
            <w:tcW w:w="636" w:type="dxa"/>
            <w:tcBorders>
              <w:bottom w:val="single" w:sz="4" w:space="0" w:color="auto"/>
            </w:tcBorders>
          </w:tcPr>
          <w:p w14:paraId="6ED2B466" w14:textId="6F6FF697" w:rsidR="006862AA" w:rsidRPr="006113AA" w:rsidRDefault="006862AA" w:rsidP="006113AA">
            <w:pPr>
              <w:spacing w:line="240" w:lineRule="auto"/>
              <w:ind w:firstLine="0"/>
              <w:rPr>
                <w:b/>
                <w:sz w:val="16"/>
                <w:szCs w:val="16"/>
              </w:rPr>
            </w:pPr>
            <w:r w:rsidRPr="006113AA">
              <w:rPr>
                <w:b/>
                <w:sz w:val="16"/>
                <w:szCs w:val="16"/>
              </w:rPr>
              <w:t>Mean</w:t>
            </w:r>
          </w:p>
        </w:tc>
        <w:tc>
          <w:tcPr>
            <w:tcW w:w="512" w:type="dxa"/>
            <w:tcBorders>
              <w:bottom w:val="single" w:sz="4" w:space="0" w:color="auto"/>
            </w:tcBorders>
          </w:tcPr>
          <w:p w14:paraId="245F9E59" w14:textId="701C8ED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SD</w:t>
            </w:r>
          </w:p>
        </w:tc>
        <w:tc>
          <w:tcPr>
            <w:tcW w:w="748" w:type="dxa"/>
            <w:tcBorders>
              <w:bottom w:val="single" w:sz="4" w:space="0" w:color="auto"/>
            </w:tcBorders>
          </w:tcPr>
          <w:p w14:paraId="034A8863" w14:textId="44783AE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Female</w:t>
            </w:r>
          </w:p>
        </w:tc>
        <w:tc>
          <w:tcPr>
            <w:tcW w:w="651" w:type="dxa"/>
            <w:tcBorders>
              <w:bottom w:val="single" w:sz="4" w:space="0" w:color="auto"/>
            </w:tcBorders>
          </w:tcPr>
          <w:p w14:paraId="5D5EFF73" w14:textId="72DAE17E"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Male</w:t>
            </w:r>
          </w:p>
        </w:tc>
        <w:tc>
          <w:tcPr>
            <w:tcW w:w="776" w:type="dxa"/>
            <w:tcBorders>
              <w:bottom w:val="single" w:sz="4" w:space="0" w:color="auto"/>
            </w:tcBorders>
          </w:tcPr>
          <w:p w14:paraId="207AD58B" w14:textId="5358EED8"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Other identity</w:t>
            </w:r>
          </w:p>
        </w:tc>
        <w:tc>
          <w:tcPr>
            <w:tcW w:w="832" w:type="dxa"/>
            <w:tcBorders>
              <w:bottom w:val="single" w:sz="4" w:space="0" w:color="auto"/>
            </w:tcBorders>
          </w:tcPr>
          <w:p w14:paraId="235EFC28" w14:textId="5BF177C6"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rPr>
              <w:t>Did not answer</w:t>
            </w:r>
          </w:p>
        </w:tc>
        <w:tc>
          <w:tcPr>
            <w:tcW w:w="1510" w:type="dxa"/>
            <w:tcBorders>
              <w:bottom w:val="single" w:sz="4" w:space="0" w:color="auto"/>
            </w:tcBorders>
          </w:tcPr>
          <w:p w14:paraId="0DFC4906" w14:textId="2548C733" w:rsidR="006862AA" w:rsidRPr="00D0669D" w:rsidRDefault="006862AA" w:rsidP="00D0669D">
            <w:pPr>
              <w:spacing w:line="240" w:lineRule="auto"/>
              <w:ind w:firstLine="0"/>
              <w:jc w:val="center"/>
              <w:rPr>
                <w:b/>
                <w:sz w:val="16"/>
                <w:szCs w:val="16"/>
              </w:rPr>
            </w:pPr>
            <w:r w:rsidRPr="00D0669D">
              <w:rPr>
                <w:b/>
                <w:sz w:val="16"/>
                <w:szCs w:val="16"/>
              </w:rPr>
              <w:t>Surveillance task performance</w:t>
            </w:r>
          </w:p>
        </w:tc>
        <w:tc>
          <w:tcPr>
            <w:tcW w:w="1322" w:type="dxa"/>
            <w:tcBorders>
              <w:bottom w:val="single" w:sz="4" w:space="0" w:color="auto"/>
            </w:tcBorders>
          </w:tcPr>
          <w:p w14:paraId="228A3164" w14:textId="2FB62202"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w:t>
            </w:r>
          </w:p>
        </w:tc>
        <w:tc>
          <w:tcPr>
            <w:tcW w:w="1415" w:type="dxa"/>
            <w:tcBorders>
              <w:bottom w:val="single" w:sz="4" w:space="0" w:color="auto"/>
            </w:tcBorders>
          </w:tcPr>
          <w:p w14:paraId="2A958460" w14:textId="79437360"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rPr>
            </w:pPr>
            <w:r w:rsidRPr="00981EE1">
              <w:rPr>
                <w:rFonts w:ascii="Times New Roman" w:hAnsi="Times New Roman" w:cs="Times New Roman"/>
                <w:b/>
                <w:bCs/>
                <w:color w:val="000000" w:themeColor="text1"/>
                <w:sz w:val="16"/>
                <w:szCs w:val="16"/>
                <w:shd w:val="clear" w:color="auto" w:fill="FFFFFF"/>
              </w:rPr>
              <w:t xml:space="preserve">Olson &amp; Fazio (2001) modified </w:t>
            </w:r>
          </w:p>
        </w:tc>
        <w:tc>
          <w:tcPr>
            <w:tcW w:w="1322" w:type="dxa"/>
            <w:tcBorders>
              <w:bottom w:val="single" w:sz="4" w:space="0" w:color="auto"/>
            </w:tcBorders>
          </w:tcPr>
          <w:p w14:paraId="45040F72" w14:textId="5285BF1D"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p>
        </w:tc>
        <w:tc>
          <w:tcPr>
            <w:tcW w:w="1419" w:type="dxa"/>
            <w:tcBorders>
              <w:bottom w:val="single" w:sz="4" w:space="0" w:color="auto"/>
            </w:tcBorders>
          </w:tcPr>
          <w:p w14:paraId="47D16793" w14:textId="2235D9D5" w:rsidR="006862AA" w:rsidRPr="00981EE1" w:rsidRDefault="006862AA" w:rsidP="00981EE1">
            <w:pPr>
              <w:pStyle w:val="NoSpacing"/>
              <w:jc w:val="center"/>
              <w:rPr>
                <w:rFonts w:ascii="Times New Roman" w:hAnsi="Times New Roman" w:cs="Times New Roman"/>
                <w:b/>
                <w:bCs/>
                <w:color w:val="000000" w:themeColor="text1"/>
                <w:sz w:val="16"/>
                <w:szCs w:val="16"/>
                <w:shd w:val="clear" w:color="auto" w:fill="FFFFFF"/>
                <w:lang w:val="nl-BE"/>
              </w:rPr>
            </w:pPr>
            <w:r w:rsidRPr="00981EE1">
              <w:rPr>
                <w:rFonts w:ascii="Times New Roman" w:hAnsi="Times New Roman" w:cs="Times New Roman"/>
                <w:b/>
                <w:bCs/>
                <w:color w:val="000000" w:themeColor="text1"/>
                <w:sz w:val="16"/>
                <w:szCs w:val="16"/>
                <w:shd w:val="clear" w:color="auto" w:fill="FFFFFF"/>
                <w:lang w:val="nl-BE"/>
              </w:rPr>
              <w:t xml:space="preserve">Bar-Anan et al. (2010) </w:t>
            </w:r>
            <w:r w:rsidR="00DD4530" w:rsidRPr="00981EE1">
              <w:rPr>
                <w:rFonts w:ascii="Times New Roman" w:hAnsi="Times New Roman" w:cs="Times New Roman"/>
                <w:b/>
                <w:bCs/>
                <w:color w:val="000000" w:themeColor="text1"/>
                <w:sz w:val="16"/>
                <w:szCs w:val="16"/>
                <w:shd w:val="clear" w:color="auto" w:fill="FFFFFF"/>
              </w:rPr>
              <w:t>modified</w:t>
            </w:r>
            <w:r w:rsidR="00DD4530" w:rsidRPr="00981EE1">
              <w:rPr>
                <w:rFonts w:ascii="Times New Roman" w:hAnsi="Times New Roman" w:cs="Times New Roman"/>
                <w:b/>
                <w:bCs/>
                <w:color w:val="000000" w:themeColor="text1"/>
                <w:sz w:val="16"/>
                <w:szCs w:val="16"/>
                <w:shd w:val="clear" w:color="auto" w:fill="FFFFFF"/>
                <w:lang w:val="nl-BE"/>
              </w:rPr>
              <w:t xml:space="preserve"> </w:t>
            </w:r>
          </w:p>
        </w:tc>
      </w:tr>
      <w:tr w:rsidR="00455002" w:rsidRPr="00981EE1" w14:paraId="5C36943C" w14:textId="77777777" w:rsidTr="005546F2">
        <w:trPr>
          <w:trHeight w:val="229"/>
        </w:trPr>
        <w:tc>
          <w:tcPr>
            <w:tcW w:w="1035" w:type="dxa"/>
            <w:tcBorders>
              <w:bottom w:val="nil"/>
            </w:tcBorders>
            <w:vAlign w:val="center"/>
          </w:tcPr>
          <w:p w14:paraId="77CB0D25" w14:textId="7697B4F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Balas</w:t>
            </w:r>
          </w:p>
        </w:tc>
        <w:tc>
          <w:tcPr>
            <w:tcW w:w="959" w:type="dxa"/>
            <w:tcBorders>
              <w:bottom w:val="nil"/>
            </w:tcBorders>
            <w:vAlign w:val="center"/>
          </w:tcPr>
          <w:p w14:paraId="43C42D44" w14:textId="2A88214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w:t>
            </w:r>
          </w:p>
        </w:tc>
        <w:tc>
          <w:tcPr>
            <w:tcW w:w="831" w:type="dxa"/>
            <w:tcBorders>
              <w:bottom w:val="nil"/>
            </w:tcBorders>
            <w:vAlign w:val="center"/>
          </w:tcPr>
          <w:p w14:paraId="58096809" w14:textId="5704861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bottom w:val="nil"/>
            </w:tcBorders>
            <w:vAlign w:val="center"/>
          </w:tcPr>
          <w:p w14:paraId="7BE91568" w14:textId="43FADB0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26.5</w:t>
            </w:r>
          </w:p>
        </w:tc>
        <w:tc>
          <w:tcPr>
            <w:tcW w:w="512" w:type="dxa"/>
            <w:tcBorders>
              <w:bottom w:val="nil"/>
            </w:tcBorders>
            <w:vAlign w:val="center"/>
          </w:tcPr>
          <w:p w14:paraId="37E72573" w14:textId="3D9D821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4.7</w:t>
            </w:r>
          </w:p>
        </w:tc>
        <w:tc>
          <w:tcPr>
            <w:tcW w:w="748" w:type="dxa"/>
            <w:tcBorders>
              <w:bottom w:val="nil"/>
            </w:tcBorders>
            <w:vAlign w:val="center"/>
          </w:tcPr>
          <w:p w14:paraId="3994918E" w14:textId="50550D1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651" w:type="dxa"/>
            <w:tcBorders>
              <w:bottom w:val="nil"/>
            </w:tcBorders>
            <w:vAlign w:val="center"/>
          </w:tcPr>
          <w:p w14:paraId="13A0DA31" w14:textId="69E304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w:t>
            </w:r>
          </w:p>
        </w:tc>
        <w:tc>
          <w:tcPr>
            <w:tcW w:w="776" w:type="dxa"/>
            <w:tcBorders>
              <w:bottom w:val="nil"/>
            </w:tcBorders>
            <w:vAlign w:val="center"/>
          </w:tcPr>
          <w:p w14:paraId="1CDF48F8" w14:textId="4535DBA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bottom w:val="nil"/>
            </w:tcBorders>
            <w:vAlign w:val="center"/>
          </w:tcPr>
          <w:p w14:paraId="3CFF0A4A" w14:textId="3E38418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bottom w:val="nil"/>
            </w:tcBorders>
            <w:vAlign w:val="center"/>
          </w:tcPr>
          <w:p w14:paraId="1F3A9B91" w14:textId="3C707AA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bottom w:val="nil"/>
            </w:tcBorders>
            <w:vAlign w:val="center"/>
          </w:tcPr>
          <w:p w14:paraId="266EC59F" w14:textId="421D9B7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1415" w:type="dxa"/>
            <w:tcBorders>
              <w:bottom w:val="nil"/>
            </w:tcBorders>
            <w:vAlign w:val="center"/>
          </w:tcPr>
          <w:p w14:paraId="02A0243B" w14:textId="04E17BA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19.6</w:t>
            </w:r>
          </w:p>
        </w:tc>
        <w:tc>
          <w:tcPr>
            <w:tcW w:w="1322" w:type="dxa"/>
            <w:tcBorders>
              <w:bottom w:val="nil"/>
            </w:tcBorders>
            <w:vAlign w:val="center"/>
          </w:tcPr>
          <w:p w14:paraId="549A9924" w14:textId="59504B5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41.2</w:t>
            </w:r>
          </w:p>
        </w:tc>
        <w:tc>
          <w:tcPr>
            <w:tcW w:w="1419" w:type="dxa"/>
            <w:tcBorders>
              <w:bottom w:val="nil"/>
            </w:tcBorders>
            <w:vAlign w:val="center"/>
          </w:tcPr>
          <w:p w14:paraId="49F1CC47" w14:textId="78682F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16.5</w:t>
            </w:r>
          </w:p>
        </w:tc>
      </w:tr>
      <w:tr w:rsidR="00455002" w:rsidRPr="00981EE1" w14:paraId="683D9F1B" w14:textId="77777777" w:rsidTr="005546F2">
        <w:trPr>
          <w:trHeight w:val="229"/>
        </w:trPr>
        <w:tc>
          <w:tcPr>
            <w:tcW w:w="1035" w:type="dxa"/>
            <w:tcBorders>
              <w:top w:val="nil"/>
              <w:bottom w:val="nil"/>
            </w:tcBorders>
            <w:vAlign w:val="center"/>
          </w:tcPr>
          <w:p w14:paraId="34E1B6D6" w14:textId="3505935D"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proofErr w:type="spellStart"/>
            <w:r w:rsidRPr="00981EE1">
              <w:rPr>
                <w:rFonts w:ascii="Times New Roman" w:eastAsia="Times New Roman" w:hAnsi="Times New Roman" w:cs="Times New Roman"/>
                <w:b/>
                <w:bCs/>
                <w:color w:val="000000" w:themeColor="text1"/>
                <w:sz w:val="16"/>
                <w:szCs w:val="16"/>
              </w:rPr>
              <w:t>Mierop</w:t>
            </w:r>
            <w:proofErr w:type="spellEnd"/>
          </w:p>
        </w:tc>
        <w:tc>
          <w:tcPr>
            <w:tcW w:w="959" w:type="dxa"/>
            <w:tcBorders>
              <w:top w:val="nil"/>
              <w:bottom w:val="nil"/>
            </w:tcBorders>
            <w:vAlign w:val="center"/>
          </w:tcPr>
          <w:p w14:paraId="522FFEF1" w14:textId="4370CE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16543D2B" w14:textId="6398532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38BB5764" w14:textId="09B21E4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061456B9" w14:textId="5E95186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w:t>
            </w:r>
          </w:p>
        </w:tc>
        <w:tc>
          <w:tcPr>
            <w:tcW w:w="748" w:type="dxa"/>
            <w:tcBorders>
              <w:top w:val="nil"/>
              <w:bottom w:val="nil"/>
            </w:tcBorders>
            <w:vAlign w:val="center"/>
          </w:tcPr>
          <w:p w14:paraId="554F9DF2" w14:textId="0F35AF4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66</w:t>
            </w:r>
          </w:p>
        </w:tc>
        <w:tc>
          <w:tcPr>
            <w:tcW w:w="651" w:type="dxa"/>
            <w:tcBorders>
              <w:top w:val="nil"/>
              <w:bottom w:val="nil"/>
            </w:tcBorders>
            <w:vAlign w:val="center"/>
          </w:tcPr>
          <w:p w14:paraId="6A6B233B" w14:textId="19931B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w:t>
            </w:r>
          </w:p>
        </w:tc>
        <w:tc>
          <w:tcPr>
            <w:tcW w:w="776" w:type="dxa"/>
            <w:tcBorders>
              <w:top w:val="nil"/>
              <w:bottom w:val="nil"/>
            </w:tcBorders>
            <w:vAlign w:val="center"/>
          </w:tcPr>
          <w:p w14:paraId="2B3371DD" w14:textId="3B829CA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FA4068C" w14:textId="1CC0194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29C0BD8" w14:textId="4FEDD0E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377F0EFF" w14:textId="71754C0B"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1415" w:type="dxa"/>
            <w:tcBorders>
              <w:top w:val="nil"/>
              <w:bottom w:val="nil"/>
            </w:tcBorders>
            <w:vAlign w:val="center"/>
          </w:tcPr>
          <w:p w14:paraId="206F28F4" w14:textId="3BF33F6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17.5</w:t>
            </w:r>
          </w:p>
        </w:tc>
        <w:tc>
          <w:tcPr>
            <w:tcW w:w="1322" w:type="dxa"/>
            <w:tcBorders>
              <w:top w:val="nil"/>
              <w:bottom w:val="nil"/>
            </w:tcBorders>
            <w:vAlign w:val="center"/>
          </w:tcPr>
          <w:p w14:paraId="6382DABA" w14:textId="7DD5152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43.3</w:t>
            </w:r>
          </w:p>
        </w:tc>
        <w:tc>
          <w:tcPr>
            <w:tcW w:w="1419" w:type="dxa"/>
            <w:tcBorders>
              <w:top w:val="nil"/>
              <w:bottom w:val="nil"/>
            </w:tcBorders>
            <w:vAlign w:val="center"/>
          </w:tcPr>
          <w:p w14:paraId="2E0DF35A" w14:textId="72989F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r>
      <w:tr w:rsidR="00455002" w:rsidRPr="00981EE1" w14:paraId="516B71F8" w14:textId="77777777" w:rsidTr="005546F2">
        <w:trPr>
          <w:trHeight w:val="244"/>
        </w:trPr>
        <w:tc>
          <w:tcPr>
            <w:tcW w:w="1035" w:type="dxa"/>
            <w:tcBorders>
              <w:top w:val="nil"/>
              <w:bottom w:val="nil"/>
            </w:tcBorders>
            <w:vAlign w:val="center"/>
          </w:tcPr>
          <w:p w14:paraId="1F0DBFBA" w14:textId="31F31C8B"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Gast</w:t>
            </w:r>
          </w:p>
        </w:tc>
        <w:tc>
          <w:tcPr>
            <w:tcW w:w="959" w:type="dxa"/>
            <w:tcBorders>
              <w:top w:val="nil"/>
              <w:bottom w:val="nil"/>
            </w:tcBorders>
            <w:vAlign w:val="center"/>
          </w:tcPr>
          <w:p w14:paraId="6D811224" w14:textId="59B2937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BA1EB8A" w14:textId="65BBE2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36" w:type="dxa"/>
            <w:tcBorders>
              <w:top w:val="nil"/>
              <w:bottom w:val="nil"/>
            </w:tcBorders>
            <w:vAlign w:val="center"/>
          </w:tcPr>
          <w:p w14:paraId="5DD5B55E" w14:textId="11401EC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6A9BC5BE" w14:textId="18D5218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748" w:type="dxa"/>
            <w:tcBorders>
              <w:top w:val="nil"/>
              <w:bottom w:val="nil"/>
            </w:tcBorders>
            <w:vAlign w:val="center"/>
          </w:tcPr>
          <w:p w14:paraId="74FDE7C1" w14:textId="10962FCE"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91</w:t>
            </w:r>
          </w:p>
        </w:tc>
        <w:tc>
          <w:tcPr>
            <w:tcW w:w="651" w:type="dxa"/>
            <w:tcBorders>
              <w:top w:val="nil"/>
              <w:bottom w:val="nil"/>
            </w:tcBorders>
            <w:vAlign w:val="center"/>
          </w:tcPr>
          <w:p w14:paraId="4BB0E03B" w14:textId="6CB4A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776" w:type="dxa"/>
            <w:tcBorders>
              <w:top w:val="nil"/>
              <w:bottom w:val="nil"/>
            </w:tcBorders>
            <w:vAlign w:val="center"/>
          </w:tcPr>
          <w:p w14:paraId="5B9720DB" w14:textId="6A61B2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4FD46133" w14:textId="41016D7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21A1D418" w14:textId="64339B0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1322" w:type="dxa"/>
            <w:tcBorders>
              <w:top w:val="nil"/>
              <w:bottom w:val="nil"/>
            </w:tcBorders>
            <w:vAlign w:val="center"/>
          </w:tcPr>
          <w:p w14:paraId="58526C24" w14:textId="2ACF1EE8"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6.0</w:t>
            </w:r>
          </w:p>
        </w:tc>
        <w:tc>
          <w:tcPr>
            <w:tcW w:w="1415" w:type="dxa"/>
            <w:tcBorders>
              <w:top w:val="nil"/>
              <w:bottom w:val="nil"/>
            </w:tcBorders>
            <w:vAlign w:val="center"/>
          </w:tcPr>
          <w:p w14:paraId="6D0B8F98" w14:textId="66E169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26.4</w:t>
            </w:r>
          </w:p>
        </w:tc>
        <w:tc>
          <w:tcPr>
            <w:tcW w:w="1322" w:type="dxa"/>
            <w:tcBorders>
              <w:top w:val="nil"/>
              <w:bottom w:val="nil"/>
            </w:tcBorders>
            <w:vAlign w:val="center"/>
          </w:tcPr>
          <w:p w14:paraId="6F90B759" w14:textId="7088B9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49.4</w:t>
            </w:r>
          </w:p>
        </w:tc>
        <w:tc>
          <w:tcPr>
            <w:tcW w:w="1419" w:type="dxa"/>
            <w:tcBorders>
              <w:top w:val="nil"/>
              <w:bottom w:val="nil"/>
            </w:tcBorders>
            <w:vAlign w:val="center"/>
          </w:tcPr>
          <w:p w14:paraId="1DD6B85C" w14:textId="4845D9A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24.7</w:t>
            </w:r>
          </w:p>
        </w:tc>
      </w:tr>
      <w:tr w:rsidR="00455002" w:rsidRPr="00981EE1" w14:paraId="792D7121" w14:textId="77777777" w:rsidTr="005546F2">
        <w:trPr>
          <w:trHeight w:val="229"/>
        </w:trPr>
        <w:tc>
          <w:tcPr>
            <w:tcW w:w="1035" w:type="dxa"/>
            <w:tcBorders>
              <w:top w:val="nil"/>
              <w:bottom w:val="nil"/>
            </w:tcBorders>
            <w:vAlign w:val="center"/>
          </w:tcPr>
          <w:p w14:paraId="22001B0D" w14:textId="569ADE75"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Gawronski</w:t>
            </w:r>
          </w:p>
        </w:tc>
        <w:tc>
          <w:tcPr>
            <w:tcW w:w="959" w:type="dxa"/>
            <w:tcBorders>
              <w:top w:val="nil"/>
              <w:bottom w:val="nil"/>
            </w:tcBorders>
            <w:vAlign w:val="center"/>
          </w:tcPr>
          <w:p w14:paraId="791A8109" w14:textId="32CFBB1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8D522C5" w14:textId="73DDE9D7"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155</w:t>
            </w:r>
          </w:p>
        </w:tc>
        <w:tc>
          <w:tcPr>
            <w:tcW w:w="636" w:type="dxa"/>
            <w:tcBorders>
              <w:top w:val="nil"/>
              <w:bottom w:val="nil"/>
            </w:tcBorders>
            <w:vAlign w:val="center"/>
          </w:tcPr>
          <w:p w14:paraId="73A393A4" w14:textId="63E966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18.9</w:t>
            </w:r>
          </w:p>
        </w:tc>
        <w:tc>
          <w:tcPr>
            <w:tcW w:w="512" w:type="dxa"/>
            <w:tcBorders>
              <w:top w:val="nil"/>
              <w:bottom w:val="nil"/>
            </w:tcBorders>
            <w:vAlign w:val="center"/>
          </w:tcPr>
          <w:p w14:paraId="6563DDA2" w14:textId="4373D4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48" w:type="dxa"/>
            <w:tcBorders>
              <w:top w:val="nil"/>
              <w:bottom w:val="nil"/>
            </w:tcBorders>
            <w:vAlign w:val="center"/>
          </w:tcPr>
          <w:p w14:paraId="433A6EC9" w14:textId="6ED14AFD"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113</w:t>
            </w:r>
          </w:p>
        </w:tc>
        <w:tc>
          <w:tcPr>
            <w:tcW w:w="651" w:type="dxa"/>
            <w:tcBorders>
              <w:top w:val="nil"/>
              <w:bottom w:val="nil"/>
            </w:tcBorders>
            <w:vAlign w:val="center"/>
          </w:tcPr>
          <w:p w14:paraId="33B8F42E" w14:textId="6E36C72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w:t>
            </w:r>
          </w:p>
        </w:tc>
        <w:tc>
          <w:tcPr>
            <w:tcW w:w="776" w:type="dxa"/>
            <w:tcBorders>
              <w:top w:val="nil"/>
              <w:bottom w:val="nil"/>
            </w:tcBorders>
            <w:vAlign w:val="center"/>
          </w:tcPr>
          <w:p w14:paraId="597C5669" w14:textId="46838ED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120BE1D9" w14:textId="400ACB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6CE4044A" w14:textId="3ABCEF0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2.6</w:t>
            </w:r>
          </w:p>
        </w:tc>
        <w:tc>
          <w:tcPr>
            <w:tcW w:w="1322" w:type="dxa"/>
            <w:tcBorders>
              <w:top w:val="nil"/>
              <w:bottom w:val="nil"/>
            </w:tcBorders>
            <w:vAlign w:val="center"/>
          </w:tcPr>
          <w:p w14:paraId="02858F83" w14:textId="7D29F0CC"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7.2</w:t>
            </w:r>
          </w:p>
        </w:tc>
        <w:tc>
          <w:tcPr>
            <w:tcW w:w="1415" w:type="dxa"/>
            <w:tcBorders>
              <w:top w:val="nil"/>
              <w:bottom w:val="nil"/>
            </w:tcBorders>
            <w:vAlign w:val="center"/>
          </w:tcPr>
          <w:p w14:paraId="58DF352F" w14:textId="4D07B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74.1</w:t>
            </w:r>
          </w:p>
        </w:tc>
        <w:tc>
          <w:tcPr>
            <w:tcW w:w="1322" w:type="dxa"/>
            <w:tcBorders>
              <w:top w:val="nil"/>
              <w:bottom w:val="nil"/>
            </w:tcBorders>
            <w:vAlign w:val="center"/>
          </w:tcPr>
          <w:p w14:paraId="06082672" w14:textId="3B0A279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01B789C8" w14:textId="0F9D9B9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30.2</w:t>
            </w:r>
          </w:p>
        </w:tc>
      </w:tr>
      <w:tr w:rsidR="00455002" w:rsidRPr="00981EE1" w14:paraId="610608D2" w14:textId="77777777" w:rsidTr="005546F2">
        <w:trPr>
          <w:trHeight w:val="229"/>
        </w:trPr>
        <w:tc>
          <w:tcPr>
            <w:tcW w:w="1035" w:type="dxa"/>
            <w:tcBorders>
              <w:top w:val="nil"/>
              <w:bottom w:val="nil"/>
            </w:tcBorders>
            <w:vAlign w:val="center"/>
          </w:tcPr>
          <w:p w14:paraId="5F59F706" w14:textId="0E54FFCE"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Hütter</w:t>
            </w:r>
          </w:p>
        </w:tc>
        <w:tc>
          <w:tcPr>
            <w:tcW w:w="959" w:type="dxa"/>
            <w:tcBorders>
              <w:top w:val="nil"/>
              <w:bottom w:val="nil"/>
            </w:tcBorders>
            <w:vAlign w:val="center"/>
          </w:tcPr>
          <w:p w14:paraId="196691A6" w14:textId="6649DF3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831" w:type="dxa"/>
            <w:tcBorders>
              <w:top w:val="nil"/>
              <w:bottom w:val="nil"/>
            </w:tcBorders>
            <w:vAlign w:val="center"/>
          </w:tcPr>
          <w:p w14:paraId="0EEE596F" w14:textId="2360DA9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8E9BFC7" w14:textId="0C093F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22.7</w:t>
            </w:r>
          </w:p>
        </w:tc>
        <w:tc>
          <w:tcPr>
            <w:tcW w:w="512" w:type="dxa"/>
            <w:tcBorders>
              <w:top w:val="nil"/>
              <w:bottom w:val="nil"/>
            </w:tcBorders>
            <w:vAlign w:val="center"/>
          </w:tcPr>
          <w:p w14:paraId="6A6F27EE" w14:textId="4DB8262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6.2</w:t>
            </w:r>
          </w:p>
        </w:tc>
        <w:tc>
          <w:tcPr>
            <w:tcW w:w="748" w:type="dxa"/>
            <w:tcBorders>
              <w:top w:val="nil"/>
              <w:bottom w:val="nil"/>
            </w:tcBorders>
            <w:vAlign w:val="center"/>
          </w:tcPr>
          <w:p w14:paraId="455BD237" w14:textId="79397C8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109</w:t>
            </w:r>
          </w:p>
        </w:tc>
        <w:tc>
          <w:tcPr>
            <w:tcW w:w="651" w:type="dxa"/>
            <w:tcBorders>
              <w:top w:val="nil"/>
              <w:bottom w:val="nil"/>
            </w:tcBorders>
            <w:vAlign w:val="center"/>
          </w:tcPr>
          <w:p w14:paraId="6E9C7260" w14:textId="2D6BD11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w:t>
            </w:r>
          </w:p>
        </w:tc>
        <w:tc>
          <w:tcPr>
            <w:tcW w:w="776" w:type="dxa"/>
            <w:tcBorders>
              <w:top w:val="nil"/>
              <w:bottom w:val="nil"/>
            </w:tcBorders>
            <w:vAlign w:val="center"/>
          </w:tcPr>
          <w:p w14:paraId="02DCCA62" w14:textId="1C421FA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6B4CCEAA" w14:textId="2FC5F70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7CA15162" w14:textId="2C6660C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53BC16A9" w14:textId="6E9C386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18.4</w:t>
            </w:r>
          </w:p>
        </w:tc>
        <w:tc>
          <w:tcPr>
            <w:tcW w:w="1415" w:type="dxa"/>
            <w:tcBorders>
              <w:top w:val="nil"/>
              <w:bottom w:val="nil"/>
            </w:tcBorders>
            <w:vAlign w:val="center"/>
          </w:tcPr>
          <w:p w14:paraId="71BE272F" w14:textId="7A2C3CB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41.6</w:t>
            </w:r>
          </w:p>
        </w:tc>
        <w:tc>
          <w:tcPr>
            <w:tcW w:w="1322" w:type="dxa"/>
            <w:tcBorders>
              <w:top w:val="nil"/>
              <w:bottom w:val="nil"/>
            </w:tcBorders>
            <w:vAlign w:val="center"/>
          </w:tcPr>
          <w:p w14:paraId="26F23574" w14:textId="0E21A04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57.3</w:t>
            </w:r>
          </w:p>
        </w:tc>
        <w:tc>
          <w:tcPr>
            <w:tcW w:w="1419" w:type="dxa"/>
            <w:tcBorders>
              <w:top w:val="nil"/>
              <w:bottom w:val="nil"/>
            </w:tcBorders>
            <w:vAlign w:val="center"/>
          </w:tcPr>
          <w:p w14:paraId="34F974E3" w14:textId="3B0EAA5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43.6</w:t>
            </w:r>
          </w:p>
        </w:tc>
      </w:tr>
      <w:tr w:rsidR="00455002" w:rsidRPr="00981EE1" w14:paraId="62C61B47" w14:textId="77777777" w:rsidTr="005546F2">
        <w:trPr>
          <w:trHeight w:val="244"/>
        </w:trPr>
        <w:tc>
          <w:tcPr>
            <w:tcW w:w="1035" w:type="dxa"/>
            <w:tcBorders>
              <w:top w:val="nil"/>
              <w:bottom w:val="nil"/>
            </w:tcBorders>
            <w:vAlign w:val="center"/>
          </w:tcPr>
          <w:p w14:paraId="3F8D50C2" w14:textId="6DE63862"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Kurdi</w:t>
            </w:r>
          </w:p>
        </w:tc>
        <w:tc>
          <w:tcPr>
            <w:tcW w:w="959" w:type="dxa"/>
            <w:tcBorders>
              <w:top w:val="nil"/>
              <w:bottom w:val="nil"/>
            </w:tcBorders>
            <w:vAlign w:val="center"/>
          </w:tcPr>
          <w:p w14:paraId="2B5FEE9B" w14:textId="3B0503B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5178C4" w14:textId="55AF761A"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151</w:t>
            </w:r>
          </w:p>
        </w:tc>
        <w:tc>
          <w:tcPr>
            <w:tcW w:w="636" w:type="dxa"/>
            <w:tcBorders>
              <w:top w:val="nil"/>
              <w:bottom w:val="nil"/>
            </w:tcBorders>
            <w:vAlign w:val="center"/>
          </w:tcPr>
          <w:p w14:paraId="4292C37B" w14:textId="59D7D36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19.3</w:t>
            </w:r>
          </w:p>
        </w:tc>
        <w:tc>
          <w:tcPr>
            <w:tcW w:w="512" w:type="dxa"/>
            <w:tcBorders>
              <w:top w:val="nil"/>
              <w:bottom w:val="nil"/>
            </w:tcBorders>
            <w:vAlign w:val="center"/>
          </w:tcPr>
          <w:p w14:paraId="13621C14" w14:textId="2C9D54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748" w:type="dxa"/>
            <w:tcBorders>
              <w:top w:val="nil"/>
              <w:bottom w:val="nil"/>
            </w:tcBorders>
            <w:vAlign w:val="center"/>
          </w:tcPr>
          <w:p w14:paraId="35DBEF4D" w14:textId="58A2B6CF"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120</w:t>
            </w:r>
          </w:p>
        </w:tc>
        <w:tc>
          <w:tcPr>
            <w:tcW w:w="651" w:type="dxa"/>
            <w:tcBorders>
              <w:top w:val="nil"/>
              <w:bottom w:val="nil"/>
            </w:tcBorders>
            <w:vAlign w:val="center"/>
          </w:tcPr>
          <w:p w14:paraId="5178341D" w14:textId="754C194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31</w:t>
            </w:r>
          </w:p>
        </w:tc>
        <w:tc>
          <w:tcPr>
            <w:tcW w:w="776" w:type="dxa"/>
            <w:tcBorders>
              <w:top w:val="nil"/>
              <w:bottom w:val="nil"/>
            </w:tcBorders>
            <w:vAlign w:val="center"/>
          </w:tcPr>
          <w:p w14:paraId="0B741FE5" w14:textId="0372E98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0F84220" w14:textId="6A768C9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F0D865D" w14:textId="3CAACB8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w:t>
            </w:r>
          </w:p>
        </w:tc>
        <w:tc>
          <w:tcPr>
            <w:tcW w:w="1322" w:type="dxa"/>
            <w:tcBorders>
              <w:top w:val="nil"/>
              <w:bottom w:val="nil"/>
            </w:tcBorders>
            <w:vAlign w:val="center"/>
          </w:tcPr>
          <w:p w14:paraId="54E8753A" w14:textId="7F4F3C7A"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1415" w:type="dxa"/>
            <w:tcBorders>
              <w:top w:val="nil"/>
              <w:bottom w:val="nil"/>
            </w:tcBorders>
            <w:vAlign w:val="center"/>
          </w:tcPr>
          <w:p w14:paraId="74E61665" w14:textId="1DD0223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c>
          <w:tcPr>
            <w:tcW w:w="1322" w:type="dxa"/>
            <w:tcBorders>
              <w:top w:val="nil"/>
              <w:bottom w:val="nil"/>
            </w:tcBorders>
            <w:vAlign w:val="center"/>
          </w:tcPr>
          <w:p w14:paraId="39F62936" w14:textId="54BE32D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39.4</w:t>
            </w:r>
          </w:p>
        </w:tc>
        <w:tc>
          <w:tcPr>
            <w:tcW w:w="1419" w:type="dxa"/>
            <w:tcBorders>
              <w:top w:val="nil"/>
              <w:bottom w:val="nil"/>
            </w:tcBorders>
            <w:vAlign w:val="center"/>
          </w:tcPr>
          <w:p w14:paraId="3397D4A9" w14:textId="1FB109D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21.4</w:t>
            </w:r>
          </w:p>
        </w:tc>
      </w:tr>
      <w:tr w:rsidR="00455002" w:rsidRPr="00981EE1" w14:paraId="57661F0F" w14:textId="77777777" w:rsidTr="005546F2">
        <w:trPr>
          <w:trHeight w:val="229"/>
        </w:trPr>
        <w:tc>
          <w:tcPr>
            <w:tcW w:w="1035" w:type="dxa"/>
            <w:tcBorders>
              <w:top w:val="nil"/>
              <w:bottom w:val="nil"/>
            </w:tcBorders>
            <w:vAlign w:val="center"/>
          </w:tcPr>
          <w:p w14:paraId="6511625C" w14:textId="340DEA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Moran</w:t>
            </w:r>
          </w:p>
        </w:tc>
        <w:tc>
          <w:tcPr>
            <w:tcW w:w="959" w:type="dxa"/>
            <w:tcBorders>
              <w:top w:val="nil"/>
              <w:bottom w:val="nil"/>
            </w:tcBorders>
            <w:vAlign w:val="center"/>
          </w:tcPr>
          <w:p w14:paraId="66F74F04" w14:textId="4A6D63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1" w:type="dxa"/>
            <w:tcBorders>
              <w:top w:val="nil"/>
              <w:bottom w:val="nil"/>
            </w:tcBorders>
            <w:vAlign w:val="center"/>
          </w:tcPr>
          <w:p w14:paraId="389F465D" w14:textId="47529EB5"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99</w:t>
            </w:r>
          </w:p>
        </w:tc>
        <w:tc>
          <w:tcPr>
            <w:tcW w:w="636" w:type="dxa"/>
            <w:tcBorders>
              <w:top w:val="nil"/>
              <w:bottom w:val="nil"/>
            </w:tcBorders>
            <w:vAlign w:val="center"/>
          </w:tcPr>
          <w:p w14:paraId="515B2591" w14:textId="47D6AFD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30BD05F7" w14:textId="2ABCCFC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w:t>
            </w:r>
          </w:p>
        </w:tc>
        <w:tc>
          <w:tcPr>
            <w:tcW w:w="748" w:type="dxa"/>
            <w:tcBorders>
              <w:top w:val="nil"/>
              <w:bottom w:val="nil"/>
            </w:tcBorders>
            <w:vAlign w:val="center"/>
          </w:tcPr>
          <w:p w14:paraId="5E9AA9D9" w14:textId="60FBF91B"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75</w:t>
            </w:r>
          </w:p>
        </w:tc>
        <w:tc>
          <w:tcPr>
            <w:tcW w:w="651" w:type="dxa"/>
            <w:tcBorders>
              <w:top w:val="nil"/>
              <w:bottom w:val="nil"/>
            </w:tcBorders>
            <w:vAlign w:val="center"/>
          </w:tcPr>
          <w:p w14:paraId="6E72D0DB" w14:textId="3D907DD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24</w:t>
            </w:r>
          </w:p>
        </w:tc>
        <w:tc>
          <w:tcPr>
            <w:tcW w:w="776" w:type="dxa"/>
            <w:tcBorders>
              <w:top w:val="nil"/>
              <w:bottom w:val="nil"/>
            </w:tcBorders>
            <w:vAlign w:val="center"/>
          </w:tcPr>
          <w:p w14:paraId="45C35865" w14:textId="6B39673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7222F7D3" w14:textId="1438AFD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428A5163" w14:textId="65D27B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322" w:type="dxa"/>
            <w:tcBorders>
              <w:top w:val="nil"/>
              <w:bottom w:val="nil"/>
            </w:tcBorders>
            <w:vAlign w:val="center"/>
          </w:tcPr>
          <w:p w14:paraId="4F6126FE" w14:textId="56C98F0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415" w:type="dxa"/>
            <w:tcBorders>
              <w:top w:val="nil"/>
              <w:bottom w:val="nil"/>
            </w:tcBorders>
            <w:vAlign w:val="center"/>
          </w:tcPr>
          <w:p w14:paraId="5D21CAEB" w14:textId="0D80DFA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747281BE" w14:textId="2411CB6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46.9</w:t>
            </w:r>
          </w:p>
        </w:tc>
        <w:tc>
          <w:tcPr>
            <w:tcW w:w="1419" w:type="dxa"/>
            <w:tcBorders>
              <w:top w:val="nil"/>
              <w:bottom w:val="nil"/>
            </w:tcBorders>
            <w:vAlign w:val="center"/>
          </w:tcPr>
          <w:p w14:paraId="67E85733" w14:textId="59B553A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27.6</w:t>
            </w:r>
          </w:p>
        </w:tc>
      </w:tr>
      <w:tr w:rsidR="00455002" w:rsidRPr="00981EE1" w14:paraId="2ABA7713" w14:textId="77777777" w:rsidTr="005546F2">
        <w:trPr>
          <w:trHeight w:val="229"/>
        </w:trPr>
        <w:tc>
          <w:tcPr>
            <w:tcW w:w="1035" w:type="dxa"/>
            <w:tcBorders>
              <w:top w:val="nil"/>
              <w:bottom w:val="nil"/>
            </w:tcBorders>
            <w:vAlign w:val="center"/>
          </w:tcPr>
          <w:p w14:paraId="03C272FF" w14:textId="14E76E4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Olson</w:t>
            </w:r>
          </w:p>
        </w:tc>
        <w:tc>
          <w:tcPr>
            <w:tcW w:w="959" w:type="dxa"/>
            <w:tcBorders>
              <w:top w:val="nil"/>
              <w:bottom w:val="nil"/>
            </w:tcBorders>
            <w:vAlign w:val="center"/>
          </w:tcPr>
          <w:p w14:paraId="55C24D5E" w14:textId="619A3F6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1A1EF9D9" w14:textId="479F68BC"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w:t>
            </w:r>
          </w:p>
        </w:tc>
        <w:tc>
          <w:tcPr>
            <w:tcW w:w="636" w:type="dxa"/>
            <w:tcBorders>
              <w:top w:val="nil"/>
              <w:bottom w:val="nil"/>
            </w:tcBorders>
            <w:vAlign w:val="center"/>
          </w:tcPr>
          <w:p w14:paraId="3163C67C" w14:textId="1224FAF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20.0</w:t>
            </w:r>
          </w:p>
        </w:tc>
        <w:tc>
          <w:tcPr>
            <w:tcW w:w="512" w:type="dxa"/>
            <w:tcBorders>
              <w:top w:val="nil"/>
              <w:bottom w:val="nil"/>
            </w:tcBorders>
            <w:vAlign w:val="center"/>
          </w:tcPr>
          <w:p w14:paraId="5BC255EB" w14:textId="287B307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748" w:type="dxa"/>
            <w:tcBorders>
              <w:top w:val="nil"/>
              <w:bottom w:val="nil"/>
            </w:tcBorders>
            <w:vAlign w:val="center"/>
          </w:tcPr>
          <w:p w14:paraId="4966EE2A" w14:textId="5DBDF037"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651" w:type="dxa"/>
            <w:tcBorders>
              <w:top w:val="nil"/>
              <w:bottom w:val="nil"/>
            </w:tcBorders>
            <w:vAlign w:val="center"/>
          </w:tcPr>
          <w:p w14:paraId="0CCB9A47" w14:textId="5AB5618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11</w:t>
            </w:r>
          </w:p>
        </w:tc>
        <w:tc>
          <w:tcPr>
            <w:tcW w:w="776" w:type="dxa"/>
            <w:tcBorders>
              <w:top w:val="nil"/>
              <w:bottom w:val="nil"/>
            </w:tcBorders>
            <w:vAlign w:val="center"/>
          </w:tcPr>
          <w:p w14:paraId="79EA412C" w14:textId="7B6B089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2AD33BB5" w14:textId="5435DB4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04A65903" w14:textId="1C565B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0.0</w:t>
            </w:r>
          </w:p>
        </w:tc>
        <w:tc>
          <w:tcPr>
            <w:tcW w:w="1322" w:type="dxa"/>
            <w:tcBorders>
              <w:top w:val="nil"/>
              <w:bottom w:val="nil"/>
            </w:tcBorders>
            <w:vAlign w:val="center"/>
          </w:tcPr>
          <w:p w14:paraId="7CB17BC9" w14:textId="3802E0B4"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9.5</w:t>
            </w:r>
          </w:p>
        </w:tc>
        <w:tc>
          <w:tcPr>
            <w:tcW w:w="1415" w:type="dxa"/>
            <w:tcBorders>
              <w:top w:val="nil"/>
              <w:bottom w:val="nil"/>
            </w:tcBorders>
            <w:vAlign w:val="center"/>
          </w:tcPr>
          <w:p w14:paraId="3FE6DAF6" w14:textId="617320D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28.6</w:t>
            </w:r>
          </w:p>
        </w:tc>
        <w:tc>
          <w:tcPr>
            <w:tcW w:w="1322" w:type="dxa"/>
            <w:tcBorders>
              <w:top w:val="nil"/>
              <w:bottom w:val="nil"/>
            </w:tcBorders>
            <w:vAlign w:val="center"/>
          </w:tcPr>
          <w:p w14:paraId="166ADC79" w14:textId="18C0EFC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42.9</w:t>
            </w:r>
          </w:p>
        </w:tc>
        <w:tc>
          <w:tcPr>
            <w:tcW w:w="1419" w:type="dxa"/>
            <w:tcBorders>
              <w:top w:val="nil"/>
              <w:bottom w:val="nil"/>
            </w:tcBorders>
            <w:vAlign w:val="center"/>
          </w:tcPr>
          <w:p w14:paraId="1C98BDEA" w14:textId="3CBBFDF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33.3</w:t>
            </w:r>
          </w:p>
        </w:tc>
      </w:tr>
      <w:tr w:rsidR="00455002" w:rsidRPr="00981EE1" w14:paraId="6CD02589" w14:textId="77777777" w:rsidTr="005546F2">
        <w:trPr>
          <w:trHeight w:val="244"/>
        </w:trPr>
        <w:tc>
          <w:tcPr>
            <w:tcW w:w="1035" w:type="dxa"/>
            <w:tcBorders>
              <w:top w:val="nil"/>
              <w:bottom w:val="nil"/>
            </w:tcBorders>
            <w:vAlign w:val="center"/>
          </w:tcPr>
          <w:p w14:paraId="4E76EF2A" w14:textId="0D7E7E5A"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Douglas</w:t>
            </w:r>
          </w:p>
        </w:tc>
        <w:tc>
          <w:tcPr>
            <w:tcW w:w="959" w:type="dxa"/>
            <w:tcBorders>
              <w:top w:val="nil"/>
              <w:bottom w:val="nil"/>
            </w:tcBorders>
            <w:vAlign w:val="center"/>
          </w:tcPr>
          <w:p w14:paraId="43C2013D" w14:textId="7580533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04B658FB" w14:textId="4981CC1D"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148</w:t>
            </w:r>
          </w:p>
        </w:tc>
        <w:tc>
          <w:tcPr>
            <w:tcW w:w="636" w:type="dxa"/>
            <w:tcBorders>
              <w:top w:val="nil"/>
              <w:bottom w:val="nil"/>
            </w:tcBorders>
            <w:vAlign w:val="center"/>
          </w:tcPr>
          <w:p w14:paraId="62804429" w14:textId="2FBC951F"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18.6</w:t>
            </w:r>
          </w:p>
        </w:tc>
        <w:tc>
          <w:tcPr>
            <w:tcW w:w="512" w:type="dxa"/>
            <w:tcBorders>
              <w:top w:val="nil"/>
              <w:bottom w:val="nil"/>
            </w:tcBorders>
            <w:vAlign w:val="center"/>
          </w:tcPr>
          <w:p w14:paraId="6DC3D4D3" w14:textId="18FF7A7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0.8</w:t>
            </w:r>
          </w:p>
        </w:tc>
        <w:tc>
          <w:tcPr>
            <w:tcW w:w="748" w:type="dxa"/>
            <w:tcBorders>
              <w:top w:val="nil"/>
              <w:bottom w:val="nil"/>
            </w:tcBorders>
            <w:vAlign w:val="center"/>
          </w:tcPr>
          <w:p w14:paraId="0CC88D21" w14:textId="31292840"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98</w:t>
            </w:r>
          </w:p>
        </w:tc>
        <w:tc>
          <w:tcPr>
            <w:tcW w:w="651" w:type="dxa"/>
            <w:tcBorders>
              <w:top w:val="nil"/>
              <w:bottom w:val="nil"/>
            </w:tcBorders>
            <w:vAlign w:val="center"/>
          </w:tcPr>
          <w:p w14:paraId="04DAE2D0" w14:textId="12F9FE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50</w:t>
            </w:r>
          </w:p>
        </w:tc>
        <w:tc>
          <w:tcPr>
            <w:tcW w:w="776" w:type="dxa"/>
            <w:tcBorders>
              <w:top w:val="nil"/>
              <w:bottom w:val="nil"/>
            </w:tcBorders>
            <w:vAlign w:val="center"/>
          </w:tcPr>
          <w:p w14:paraId="5C3C0566" w14:textId="1BAD4F5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05A810F8" w14:textId="62C920B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1B9FB7B0" w14:textId="130B921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1322" w:type="dxa"/>
            <w:tcBorders>
              <w:top w:val="nil"/>
              <w:bottom w:val="nil"/>
            </w:tcBorders>
            <w:vAlign w:val="center"/>
          </w:tcPr>
          <w:p w14:paraId="59569A40" w14:textId="3DEFC176"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6.9</w:t>
            </w:r>
          </w:p>
        </w:tc>
        <w:tc>
          <w:tcPr>
            <w:tcW w:w="1415" w:type="dxa"/>
            <w:tcBorders>
              <w:top w:val="nil"/>
              <w:bottom w:val="nil"/>
            </w:tcBorders>
            <w:vAlign w:val="center"/>
          </w:tcPr>
          <w:p w14:paraId="6A6875BE" w14:textId="31DDAE8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1322" w:type="dxa"/>
            <w:tcBorders>
              <w:top w:val="nil"/>
              <w:bottom w:val="nil"/>
            </w:tcBorders>
            <w:vAlign w:val="center"/>
          </w:tcPr>
          <w:p w14:paraId="4479FAD3" w14:textId="207E132B"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58.2</w:t>
            </w:r>
          </w:p>
        </w:tc>
        <w:tc>
          <w:tcPr>
            <w:tcW w:w="1419" w:type="dxa"/>
            <w:tcBorders>
              <w:top w:val="nil"/>
              <w:bottom w:val="nil"/>
            </w:tcBorders>
            <w:vAlign w:val="center"/>
          </w:tcPr>
          <w:p w14:paraId="169853B6" w14:textId="1FB2181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35.6</w:t>
            </w:r>
          </w:p>
        </w:tc>
      </w:tr>
      <w:tr w:rsidR="00455002" w:rsidRPr="00981EE1" w14:paraId="2467C6D8" w14:textId="77777777" w:rsidTr="005546F2">
        <w:trPr>
          <w:trHeight w:val="229"/>
        </w:trPr>
        <w:tc>
          <w:tcPr>
            <w:tcW w:w="1035" w:type="dxa"/>
            <w:tcBorders>
              <w:top w:val="nil"/>
              <w:bottom w:val="nil"/>
            </w:tcBorders>
            <w:vAlign w:val="center"/>
          </w:tcPr>
          <w:p w14:paraId="083CF05C" w14:textId="48C1ED08"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Stahl</w:t>
            </w:r>
          </w:p>
        </w:tc>
        <w:tc>
          <w:tcPr>
            <w:tcW w:w="959" w:type="dxa"/>
            <w:tcBorders>
              <w:top w:val="nil"/>
              <w:bottom w:val="nil"/>
            </w:tcBorders>
            <w:vAlign w:val="center"/>
          </w:tcPr>
          <w:p w14:paraId="24DDA901" w14:textId="5706947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66A94BF3" w14:textId="138049E2"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636" w:type="dxa"/>
            <w:tcBorders>
              <w:top w:val="nil"/>
              <w:bottom w:val="nil"/>
            </w:tcBorders>
            <w:vAlign w:val="center"/>
          </w:tcPr>
          <w:p w14:paraId="07D39926" w14:textId="70B1935C"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21.7</w:t>
            </w:r>
          </w:p>
        </w:tc>
        <w:tc>
          <w:tcPr>
            <w:tcW w:w="512" w:type="dxa"/>
            <w:tcBorders>
              <w:top w:val="nil"/>
              <w:bottom w:val="nil"/>
            </w:tcBorders>
            <w:vAlign w:val="center"/>
          </w:tcPr>
          <w:p w14:paraId="5BA7018C" w14:textId="1C0AA97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w:t>
            </w:r>
          </w:p>
        </w:tc>
        <w:tc>
          <w:tcPr>
            <w:tcW w:w="748" w:type="dxa"/>
            <w:tcBorders>
              <w:top w:val="nil"/>
              <w:bottom w:val="nil"/>
            </w:tcBorders>
            <w:vAlign w:val="center"/>
          </w:tcPr>
          <w:p w14:paraId="30F34149" w14:textId="58F9904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80</w:t>
            </w:r>
          </w:p>
        </w:tc>
        <w:tc>
          <w:tcPr>
            <w:tcW w:w="651" w:type="dxa"/>
            <w:tcBorders>
              <w:top w:val="nil"/>
              <w:bottom w:val="nil"/>
            </w:tcBorders>
            <w:vAlign w:val="center"/>
          </w:tcPr>
          <w:p w14:paraId="7F1C56CC" w14:textId="792004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20</w:t>
            </w:r>
          </w:p>
        </w:tc>
        <w:tc>
          <w:tcPr>
            <w:tcW w:w="776" w:type="dxa"/>
            <w:tcBorders>
              <w:top w:val="nil"/>
              <w:bottom w:val="nil"/>
            </w:tcBorders>
            <w:vAlign w:val="center"/>
          </w:tcPr>
          <w:p w14:paraId="7D3AC2AC" w14:textId="5C4C0D4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2" w:type="dxa"/>
            <w:tcBorders>
              <w:top w:val="nil"/>
              <w:bottom w:val="nil"/>
            </w:tcBorders>
            <w:vAlign w:val="center"/>
          </w:tcPr>
          <w:p w14:paraId="524B3659" w14:textId="6CA657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1510" w:type="dxa"/>
            <w:tcBorders>
              <w:top w:val="nil"/>
              <w:bottom w:val="nil"/>
            </w:tcBorders>
            <w:vAlign w:val="center"/>
          </w:tcPr>
          <w:p w14:paraId="2A70C388" w14:textId="0E52D811"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1322" w:type="dxa"/>
            <w:tcBorders>
              <w:top w:val="nil"/>
              <w:bottom w:val="nil"/>
            </w:tcBorders>
            <w:vAlign w:val="center"/>
          </w:tcPr>
          <w:p w14:paraId="430A1205" w14:textId="1B37B003"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13.4</w:t>
            </w:r>
          </w:p>
        </w:tc>
        <w:tc>
          <w:tcPr>
            <w:tcW w:w="1415" w:type="dxa"/>
            <w:tcBorders>
              <w:top w:val="nil"/>
              <w:bottom w:val="nil"/>
            </w:tcBorders>
            <w:vAlign w:val="center"/>
          </w:tcPr>
          <w:p w14:paraId="74622CF2" w14:textId="4268208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32.0</w:t>
            </w:r>
          </w:p>
        </w:tc>
        <w:tc>
          <w:tcPr>
            <w:tcW w:w="1322" w:type="dxa"/>
            <w:tcBorders>
              <w:top w:val="nil"/>
              <w:bottom w:val="nil"/>
            </w:tcBorders>
            <w:vAlign w:val="center"/>
          </w:tcPr>
          <w:p w14:paraId="756325AA" w14:textId="2FB4D92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54.6</w:t>
            </w:r>
          </w:p>
        </w:tc>
        <w:tc>
          <w:tcPr>
            <w:tcW w:w="1419" w:type="dxa"/>
            <w:tcBorders>
              <w:top w:val="nil"/>
              <w:bottom w:val="nil"/>
            </w:tcBorders>
            <w:vAlign w:val="center"/>
          </w:tcPr>
          <w:p w14:paraId="77A8DE5E" w14:textId="47FB552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35.1</w:t>
            </w:r>
          </w:p>
        </w:tc>
      </w:tr>
      <w:tr w:rsidR="00455002" w:rsidRPr="00981EE1" w14:paraId="3DC490DC" w14:textId="77777777" w:rsidTr="005546F2">
        <w:trPr>
          <w:trHeight w:val="229"/>
        </w:trPr>
        <w:tc>
          <w:tcPr>
            <w:tcW w:w="1035" w:type="dxa"/>
            <w:tcBorders>
              <w:top w:val="nil"/>
              <w:bottom w:val="nil"/>
            </w:tcBorders>
            <w:vAlign w:val="center"/>
          </w:tcPr>
          <w:p w14:paraId="3C440856" w14:textId="52AF176F"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Unkelbach</w:t>
            </w:r>
          </w:p>
        </w:tc>
        <w:tc>
          <w:tcPr>
            <w:tcW w:w="959" w:type="dxa"/>
            <w:tcBorders>
              <w:top w:val="nil"/>
              <w:bottom w:val="nil"/>
            </w:tcBorders>
            <w:vAlign w:val="center"/>
          </w:tcPr>
          <w:p w14:paraId="1900AA1B" w14:textId="327B825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bottom w:val="nil"/>
            </w:tcBorders>
            <w:vAlign w:val="center"/>
          </w:tcPr>
          <w:p w14:paraId="498A7FA3" w14:textId="3B9F124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142</w:t>
            </w:r>
          </w:p>
        </w:tc>
        <w:tc>
          <w:tcPr>
            <w:tcW w:w="636" w:type="dxa"/>
            <w:tcBorders>
              <w:top w:val="nil"/>
              <w:bottom w:val="nil"/>
            </w:tcBorders>
            <w:vAlign w:val="center"/>
          </w:tcPr>
          <w:p w14:paraId="614F6209" w14:textId="676F2D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23.6</w:t>
            </w:r>
          </w:p>
        </w:tc>
        <w:tc>
          <w:tcPr>
            <w:tcW w:w="512" w:type="dxa"/>
            <w:tcBorders>
              <w:top w:val="nil"/>
              <w:bottom w:val="nil"/>
            </w:tcBorders>
            <w:vAlign w:val="center"/>
          </w:tcPr>
          <w:p w14:paraId="3D70DA99" w14:textId="6012DE9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7.0</w:t>
            </w:r>
          </w:p>
        </w:tc>
        <w:tc>
          <w:tcPr>
            <w:tcW w:w="748" w:type="dxa"/>
            <w:tcBorders>
              <w:top w:val="nil"/>
              <w:bottom w:val="nil"/>
            </w:tcBorders>
            <w:vAlign w:val="center"/>
          </w:tcPr>
          <w:p w14:paraId="2D7EE591" w14:textId="446A3E65"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82</w:t>
            </w:r>
          </w:p>
        </w:tc>
        <w:tc>
          <w:tcPr>
            <w:tcW w:w="651" w:type="dxa"/>
            <w:tcBorders>
              <w:top w:val="nil"/>
              <w:bottom w:val="nil"/>
            </w:tcBorders>
            <w:vAlign w:val="center"/>
          </w:tcPr>
          <w:p w14:paraId="7839B82D" w14:textId="3AE8909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57</w:t>
            </w:r>
          </w:p>
        </w:tc>
        <w:tc>
          <w:tcPr>
            <w:tcW w:w="776" w:type="dxa"/>
            <w:tcBorders>
              <w:top w:val="nil"/>
              <w:bottom w:val="nil"/>
            </w:tcBorders>
            <w:vAlign w:val="center"/>
          </w:tcPr>
          <w:p w14:paraId="595B81A5" w14:textId="0700D4C5"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832" w:type="dxa"/>
            <w:tcBorders>
              <w:top w:val="nil"/>
              <w:bottom w:val="nil"/>
            </w:tcBorders>
            <w:vAlign w:val="center"/>
          </w:tcPr>
          <w:p w14:paraId="268974FA" w14:textId="45EF351A"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w:t>
            </w:r>
          </w:p>
        </w:tc>
        <w:tc>
          <w:tcPr>
            <w:tcW w:w="1510" w:type="dxa"/>
            <w:tcBorders>
              <w:top w:val="nil"/>
              <w:bottom w:val="nil"/>
            </w:tcBorders>
            <w:vAlign w:val="center"/>
          </w:tcPr>
          <w:p w14:paraId="02597317" w14:textId="0FFF9F67"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1.4</w:t>
            </w:r>
          </w:p>
        </w:tc>
        <w:tc>
          <w:tcPr>
            <w:tcW w:w="1322" w:type="dxa"/>
            <w:tcBorders>
              <w:top w:val="nil"/>
              <w:bottom w:val="nil"/>
            </w:tcBorders>
            <w:vAlign w:val="center"/>
          </w:tcPr>
          <w:p w14:paraId="3CA0EBC8" w14:textId="5C92F62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10.0</w:t>
            </w:r>
          </w:p>
        </w:tc>
        <w:tc>
          <w:tcPr>
            <w:tcW w:w="1415" w:type="dxa"/>
            <w:tcBorders>
              <w:top w:val="nil"/>
              <w:bottom w:val="nil"/>
            </w:tcBorders>
            <w:vAlign w:val="center"/>
          </w:tcPr>
          <w:p w14:paraId="04823ADE" w14:textId="0CFA17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36.3</w:t>
            </w:r>
          </w:p>
        </w:tc>
        <w:tc>
          <w:tcPr>
            <w:tcW w:w="1322" w:type="dxa"/>
            <w:tcBorders>
              <w:top w:val="nil"/>
              <w:bottom w:val="nil"/>
            </w:tcBorders>
            <w:vAlign w:val="center"/>
          </w:tcPr>
          <w:p w14:paraId="13190DA6" w14:textId="716FE0F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51.2</w:t>
            </w:r>
          </w:p>
        </w:tc>
        <w:tc>
          <w:tcPr>
            <w:tcW w:w="1419" w:type="dxa"/>
            <w:tcBorders>
              <w:top w:val="nil"/>
              <w:bottom w:val="nil"/>
            </w:tcBorders>
            <w:vAlign w:val="center"/>
          </w:tcPr>
          <w:p w14:paraId="432D5938" w14:textId="6C159D12"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29.9</w:t>
            </w:r>
          </w:p>
        </w:tc>
      </w:tr>
      <w:tr w:rsidR="00455002" w:rsidRPr="00981EE1" w14:paraId="32F87187" w14:textId="77777777" w:rsidTr="005546F2">
        <w:trPr>
          <w:trHeight w:val="239"/>
        </w:trPr>
        <w:tc>
          <w:tcPr>
            <w:tcW w:w="1035" w:type="dxa"/>
            <w:tcBorders>
              <w:top w:val="nil"/>
            </w:tcBorders>
            <w:vAlign w:val="center"/>
          </w:tcPr>
          <w:p w14:paraId="38F627C2" w14:textId="2222DAC3" w:rsidR="00111E25" w:rsidRPr="00981EE1" w:rsidRDefault="00111E25" w:rsidP="005546F2">
            <w:pPr>
              <w:pStyle w:val="NoSpacing"/>
              <w:rPr>
                <w:rFonts w:ascii="Times New Roman" w:hAnsi="Times New Roman" w:cs="Times New Roman"/>
                <w:b/>
                <w:bCs/>
                <w:color w:val="000000" w:themeColor="text1"/>
                <w:sz w:val="16"/>
                <w:szCs w:val="16"/>
                <w:shd w:val="clear" w:color="auto" w:fill="FFFFFF"/>
              </w:rPr>
            </w:pPr>
            <w:r w:rsidRPr="00981EE1">
              <w:rPr>
                <w:rFonts w:ascii="Times New Roman" w:eastAsia="Times New Roman" w:hAnsi="Times New Roman" w:cs="Times New Roman"/>
                <w:b/>
                <w:bCs/>
                <w:color w:val="000000" w:themeColor="text1"/>
                <w:sz w:val="16"/>
                <w:szCs w:val="16"/>
              </w:rPr>
              <w:t>Vadillo</w:t>
            </w:r>
          </w:p>
        </w:tc>
        <w:tc>
          <w:tcPr>
            <w:tcW w:w="959" w:type="dxa"/>
            <w:tcBorders>
              <w:top w:val="nil"/>
            </w:tcBorders>
            <w:vAlign w:val="center"/>
          </w:tcPr>
          <w:p w14:paraId="565FFD2A" w14:textId="4742F70D"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0</w:t>
            </w:r>
          </w:p>
        </w:tc>
        <w:tc>
          <w:tcPr>
            <w:tcW w:w="831" w:type="dxa"/>
            <w:tcBorders>
              <w:top w:val="nil"/>
            </w:tcBorders>
            <w:vAlign w:val="center"/>
          </w:tcPr>
          <w:p w14:paraId="3B801D3C" w14:textId="608E24CF" w:rsidR="00111E25" w:rsidRPr="00981EE1" w:rsidRDefault="00111E25" w:rsidP="005546F2">
            <w:pPr>
              <w:pStyle w:val="NoSpacing"/>
              <w:tabs>
                <w:tab w:val="decimal" w:pos="443"/>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195</w:t>
            </w:r>
          </w:p>
        </w:tc>
        <w:tc>
          <w:tcPr>
            <w:tcW w:w="636" w:type="dxa"/>
            <w:tcBorders>
              <w:top w:val="nil"/>
            </w:tcBorders>
            <w:vAlign w:val="center"/>
          </w:tcPr>
          <w:p w14:paraId="3CEE4CA1" w14:textId="2F2221E0"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19.9</w:t>
            </w:r>
          </w:p>
        </w:tc>
        <w:tc>
          <w:tcPr>
            <w:tcW w:w="512" w:type="dxa"/>
            <w:tcBorders>
              <w:top w:val="nil"/>
            </w:tcBorders>
            <w:vAlign w:val="center"/>
          </w:tcPr>
          <w:p w14:paraId="1CFEA16B" w14:textId="4EF31E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3.0</w:t>
            </w:r>
          </w:p>
        </w:tc>
        <w:tc>
          <w:tcPr>
            <w:tcW w:w="748" w:type="dxa"/>
            <w:tcBorders>
              <w:top w:val="nil"/>
            </w:tcBorders>
            <w:vAlign w:val="center"/>
          </w:tcPr>
          <w:p w14:paraId="6F83530B" w14:textId="04D4EE61" w:rsidR="00111E25" w:rsidRPr="00981EE1" w:rsidRDefault="00111E25" w:rsidP="005546F2">
            <w:pPr>
              <w:pStyle w:val="NoSpacing"/>
              <w:tabs>
                <w:tab w:val="decimal" w:pos="381"/>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166</w:t>
            </w:r>
          </w:p>
        </w:tc>
        <w:tc>
          <w:tcPr>
            <w:tcW w:w="651" w:type="dxa"/>
            <w:tcBorders>
              <w:top w:val="nil"/>
            </w:tcBorders>
            <w:vAlign w:val="center"/>
          </w:tcPr>
          <w:p w14:paraId="1C15D0A6" w14:textId="77C9C119"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25</w:t>
            </w:r>
          </w:p>
        </w:tc>
        <w:tc>
          <w:tcPr>
            <w:tcW w:w="776" w:type="dxa"/>
            <w:tcBorders>
              <w:top w:val="nil"/>
            </w:tcBorders>
            <w:vAlign w:val="center"/>
          </w:tcPr>
          <w:p w14:paraId="0BF22954" w14:textId="1201CF5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w:t>
            </w:r>
          </w:p>
        </w:tc>
        <w:tc>
          <w:tcPr>
            <w:tcW w:w="832" w:type="dxa"/>
            <w:tcBorders>
              <w:top w:val="nil"/>
            </w:tcBorders>
            <w:vAlign w:val="center"/>
          </w:tcPr>
          <w:p w14:paraId="642837C2" w14:textId="6A7B64B6"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w:t>
            </w:r>
          </w:p>
        </w:tc>
        <w:tc>
          <w:tcPr>
            <w:tcW w:w="1510" w:type="dxa"/>
            <w:tcBorders>
              <w:top w:val="nil"/>
            </w:tcBorders>
            <w:vAlign w:val="center"/>
          </w:tcPr>
          <w:p w14:paraId="75EFE8D0" w14:textId="1437B0CE"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w:t>
            </w:r>
          </w:p>
        </w:tc>
        <w:tc>
          <w:tcPr>
            <w:tcW w:w="1322" w:type="dxa"/>
            <w:tcBorders>
              <w:top w:val="nil"/>
            </w:tcBorders>
            <w:vAlign w:val="center"/>
          </w:tcPr>
          <w:p w14:paraId="0FC35D84" w14:textId="37868CA7" w:rsidR="00111E25" w:rsidRPr="00981EE1" w:rsidRDefault="00111E25" w:rsidP="005546F2">
            <w:pPr>
              <w:pStyle w:val="NoSpacing"/>
              <w:tabs>
                <w:tab w:val="decimal" w:pos="264"/>
              </w:tabs>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1.0</w:t>
            </w:r>
          </w:p>
        </w:tc>
        <w:tc>
          <w:tcPr>
            <w:tcW w:w="1415" w:type="dxa"/>
            <w:tcBorders>
              <w:top w:val="nil"/>
            </w:tcBorders>
            <w:vAlign w:val="center"/>
          </w:tcPr>
          <w:p w14:paraId="54E73E6F" w14:textId="3FCEB6E3"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15.0</w:t>
            </w:r>
          </w:p>
        </w:tc>
        <w:tc>
          <w:tcPr>
            <w:tcW w:w="1322" w:type="dxa"/>
            <w:tcBorders>
              <w:top w:val="nil"/>
            </w:tcBorders>
            <w:vAlign w:val="center"/>
          </w:tcPr>
          <w:p w14:paraId="46530BFB" w14:textId="784B0298"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39.3</w:t>
            </w:r>
          </w:p>
        </w:tc>
        <w:tc>
          <w:tcPr>
            <w:tcW w:w="1419" w:type="dxa"/>
            <w:tcBorders>
              <w:top w:val="nil"/>
            </w:tcBorders>
            <w:vAlign w:val="center"/>
          </w:tcPr>
          <w:p w14:paraId="7AFF65FC" w14:textId="70AF8324" w:rsidR="00111E25" w:rsidRPr="00981EE1" w:rsidRDefault="00111E25" w:rsidP="005546F2">
            <w:pPr>
              <w:pStyle w:val="NoSpacing"/>
              <w:jc w:val="center"/>
              <w:rPr>
                <w:rFonts w:ascii="Times New Roman" w:hAnsi="Times New Roman" w:cs="Times New Roman"/>
                <w:color w:val="000000" w:themeColor="text1"/>
                <w:sz w:val="16"/>
                <w:szCs w:val="16"/>
                <w:shd w:val="clear" w:color="auto" w:fill="FFFFFF"/>
              </w:rPr>
            </w:pPr>
            <w:r w:rsidRPr="00981EE1">
              <w:rPr>
                <w:rFonts w:ascii="Times New Roman" w:eastAsia="Times New Roman" w:hAnsi="Times New Roman" w:cs="Times New Roman"/>
                <w:color w:val="000000" w:themeColor="text1"/>
                <w:sz w:val="16"/>
                <w:szCs w:val="16"/>
              </w:rPr>
              <w:t>12.9</w:t>
            </w:r>
          </w:p>
        </w:tc>
      </w:tr>
    </w:tbl>
    <w:p w14:paraId="50E36045" w14:textId="1B9FA4CB" w:rsidR="00F050B5" w:rsidRDefault="002A42BC" w:rsidP="00981EE1">
      <w:pPr>
        <w:spacing w:line="240" w:lineRule="auto"/>
        <w:ind w:firstLine="0"/>
        <w:rPr>
          <w:sz w:val="16"/>
          <w:szCs w:val="16"/>
        </w:rPr>
      </w:pPr>
      <w:r w:rsidRPr="00981EE1">
        <w:rPr>
          <w:i/>
          <w:iCs/>
          <w:sz w:val="16"/>
          <w:szCs w:val="16"/>
        </w:rPr>
        <w:t xml:space="preserve">Note. </w:t>
      </w:r>
      <w:r w:rsidR="003709C4" w:rsidRPr="00981EE1">
        <w:rPr>
          <w:sz w:val="16"/>
          <w:szCs w:val="16"/>
        </w:rPr>
        <w:t xml:space="preserve">Each lab is identified by the last name of the corresponding author. </w:t>
      </w:r>
      <w:r w:rsidR="00D15AFC" w:rsidRPr="00981EE1">
        <w:rPr>
          <w:i/>
          <w:sz w:val="16"/>
          <w:szCs w:val="16"/>
        </w:rPr>
        <w:t>n</w:t>
      </w:r>
      <w:r w:rsidR="003709C4" w:rsidRPr="00981EE1">
        <w:rPr>
          <w:sz w:val="16"/>
          <w:szCs w:val="16"/>
        </w:rPr>
        <w:t xml:space="preserve"> manual exclusions: exclusions made manually before the analysis due to incomplete data file (</w:t>
      </w:r>
      <w:r w:rsidR="004204D7" w:rsidRPr="00981EE1">
        <w:rPr>
          <w:sz w:val="16"/>
          <w:szCs w:val="16"/>
        </w:rPr>
        <w:t xml:space="preserve">1 case at </w:t>
      </w:r>
      <w:r w:rsidR="003709C4" w:rsidRPr="00981EE1">
        <w:rPr>
          <w:sz w:val="16"/>
          <w:szCs w:val="16"/>
        </w:rPr>
        <w:t>Moran</w:t>
      </w:r>
      <w:r w:rsidR="004204D7" w:rsidRPr="00981EE1">
        <w:rPr>
          <w:sz w:val="16"/>
          <w:szCs w:val="16"/>
        </w:rPr>
        <w:t>’s</w:t>
      </w:r>
      <w:r w:rsidR="003709C4" w:rsidRPr="00981EE1">
        <w:rPr>
          <w:sz w:val="16"/>
          <w:szCs w:val="16"/>
        </w:rPr>
        <w:t xml:space="preserve"> </w:t>
      </w:r>
      <w:r w:rsidR="004204D7" w:rsidRPr="00981EE1">
        <w:rPr>
          <w:sz w:val="16"/>
          <w:szCs w:val="16"/>
        </w:rPr>
        <w:t xml:space="preserve">site, 2 cases at </w:t>
      </w:r>
      <w:proofErr w:type="spellStart"/>
      <w:r w:rsidR="003709C4" w:rsidRPr="00981EE1">
        <w:rPr>
          <w:sz w:val="16"/>
          <w:szCs w:val="16"/>
        </w:rPr>
        <w:t>Hütter</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 technical problems (</w:t>
      </w:r>
      <w:r w:rsidR="004204D7" w:rsidRPr="00981EE1">
        <w:rPr>
          <w:sz w:val="16"/>
          <w:szCs w:val="16"/>
        </w:rPr>
        <w:t xml:space="preserve">4 </w:t>
      </w:r>
      <w:r w:rsidR="003709C4" w:rsidRPr="00981EE1">
        <w:rPr>
          <w:sz w:val="16"/>
          <w:szCs w:val="16"/>
        </w:rPr>
        <w:t xml:space="preserve">cases </w:t>
      </w:r>
      <w:r w:rsidR="004204D7" w:rsidRPr="00981EE1">
        <w:rPr>
          <w:sz w:val="16"/>
          <w:szCs w:val="16"/>
        </w:rPr>
        <w:t xml:space="preserve">at </w:t>
      </w:r>
      <w:proofErr w:type="spellStart"/>
      <w:r w:rsidR="003709C4" w:rsidRPr="00981EE1">
        <w:rPr>
          <w:sz w:val="16"/>
          <w:szCs w:val="16"/>
        </w:rPr>
        <w:t>Balas’</w:t>
      </w:r>
      <w:r w:rsidR="004204D7" w:rsidRPr="00981EE1">
        <w:rPr>
          <w:sz w:val="16"/>
          <w:szCs w:val="16"/>
        </w:rPr>
        <w:t>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w:t>
      </w:r>
      <w:r w:rsidR="003709C4" w:rsidRPr="00981EE1">
        <w:rPr>
          <w:sz w:val="16"/>
          <w:szCs w:val="16"/>
        </w:rPr>
        <w:t xml:space="preserve"> unusual </w:t>
      </w:r>
      <w:r w:rsidR="004204D7" w:rsidRPr="00981EE1">
        <w:rPr>
          <w:sz w:val="16"/>
          <w:szCs w:val="16"/>
        </w:rPr>
        <w:t xml:space="preserve">participant </w:t>
      </w:r>
      <w:r w:rsidR="00D15AFC" w:rsidRPr="00981EE1">
        <w:rPr>
          <w:sz w:val="16"/>
          <w:szCs w:val="16"/>
        </w:rPr>
        <w:t xml:space="preserve">behaviour </w:t>
      </w:r>
      <w:r w:rsidR="003709C4" w:rsidRPr="00981EE1">
        <w:rPr>
          <w:sz w:val="16"/>
          <w:szCs w:val="16"/>
        </w:rPr>
        <w:t>(</w:t>
      </w:r>
      <w:r w:rsidR="004204D7" w:rsidRPr="00981EE1">
        <w:rPr>
          <w:sz w:val="16"/>
          <w:szCs w:val="16"/>
        </w:rPr>
        <w:t xml:space="preserve">1 </w:t>
      </w:r>
      <w:r w:rsidR="003709C4" w:rsidRPr="00981EE1">
        <w:rPr>
          <w:sz w:val="16"/>
          <w:szCs w:val="16"/>
        </w:rPr>
        <w:t xml:space="preserve">case </w:t>
      </w:r>
      <w:r w:rsidR="004204D7" w:rsidRPr="00981EE1">
        <w:rPr>
          <w:sz w:val="16"/>
          <w:szCs w:val="16"/>
        </w:rPr>
        <w:t xml:space="preserve">at </w:t>
      </w:r>
      <w:proofErr w:type="spellStart"/>
      <w:r w:rsidR="003709C4" w:rsidRPr="00981EE1">
        <w:rPr>
          <w:sz w:val="16"/>
          <w:szCs w:val="16"/>
        </w:rPr>
        <w:t>Balas’s</w:t>
      </w:r>
      <w:proofErr w:type="spellEnd"/>
      <w:r w:rsidR="003709C4" w:rsidRPr="00981EE1">
        <w:rPr>
          <w:sz w:val="16"/>
          <w:szCs w:val="16"/>
        </w:rPr>
        <w:t xml:space="preserve"> </w:t>
      </w:r>
      <w:r w:rsidR="004204D7" w:rsidRPr="00981EE1">
        <w:rPr>
          <w:sz w:val="16"/>
          <w:szCs w:val="16"/>
        </w:rPr>
        <w:t>site</w:t>
      </w:r>
      <w:r w:rsidR="003709C4" w:rsidRPr="00981EE1">
        <w:rPr>
          <w:sz w:val="16"/>
          <w:szCs w:val="16"/>
        </w:rPr>
        <w:t>)</w:t>
      </w:r>
      <w:r w:rsidR="004204D7" w:rsidRPr="00981EE1">
        <w:rPr>
          <w:sz w:val="16"/>
          <w:szCs w:val="16"/>
        </w:rPr>
        <w:t xml:space="preserve">, participant </w:t>
      </w:r>
      <w:r w:rsidR="003E1702" w:rsidRPr="00981EE1">
        <w:rPr>
          <w:sz w:val="16"/>
          <w:szCs w:val="16"/>
        </w:rPr>
        <w:t>eligibility</w:t>
      </w:r>
      <w:r w:rsidR="004204D7" w:rsidRPr="00981EE1">
        <w:rPr>
          <w:sz w:val="16"/>
          <w:szCs w:val="16"/>
        </w:rPr>
        <w:t xml:space="preserve"> (1 case at </w:t>
      </w:r>
      <w:proofErr w:type="spellStart"/>
      <w:r w:rsidR="004204D7" w:rsidRPr="00981EE1">
        <w:rPr>
          <w:sz w:val="16"/>
          <w:szCs w:val="16"/>
        </w:rPr>
        <w:t>Balas’s</w:t>
      </w:r>
      <w:proofErr w:type="spellEnd"/>
      <w:r w:rsidR="004204D7" w:rsidRPr="00981EE1">
        <w:rPr>
          <w:sz w:val="16"/>
          <w:szCs w:val="16"/>
        </w:rPr>
        <w:t xml:space="preserve"> site), and data recoding issues (1 case at </w:t>
      </w:r>
      <w:proofErr w:type="spellStart"/>
      <w:r w:rsidR="004204D7" w:rsidRPr="00981EE1">
        <w:rPr>
          <w:sz w:val="16"/>
          <w:szCs w:val="16"/>
        </w:rPr>
        <w:t>Mierop’s</w:t>
      </w:r>
      <w:proofErr w:type="spellEnd"/>
      <w:r w:rsidR="004204D7" w:rsidRPr="00981EE1">
        <w:rPr>
          <w:sz w:val="16"/>
          <w:szCs w:val="16"/>
        </w:rPr>
        <w:t xml:space="preserve"> site)</w:t>
      </w:r>
      <w:r w:rsidR="003709C4" w:rsidRPr="00981EE1">
        <w:rPr>
          <w:sz w:val="16"/>
          <w:szCs w:val="16"/>
        </w:rPr>
        <w:t xml:space="preserve">. </w:t>
      </w:r>
      <w:r w:rsidR="004204D7" w:rsidRPr="00981EE1">
        <w:rPr>
          <w:i/>
          <w:sz w:val="16"/>
          <w:szCs w:val="16"/>
        </w:rPr>
        <w:t>n</w:t>
      </w:r>
      <w:r w:rsidR="003709C4" w:rsidRPr="00981EE1">
        <w:rPr>
          <w:sz w:val="16"/>
          <w:szCs w:val="16"/>
        </w:rPr>
        <w:t xml:space="preserve"> for analysis: represents the sample size after the manual exclusions. Age and gender are characteristics are </w:t>
      </w:r>
      <w:r w:rsidR="004204D7" w:rsidRPr="00981EE1">
        <w:rPr>
          <w:sz w:val="16"/>
          <w:szCs w:val="16"/>
        </w:rPr>
        <w:t xml:space="preserve">calculated from the sample for </w:t>
      </w:r>
      <w:r w:rsidR="003709C4" w:rsidRPr="00981EE1">
        <w:rPr>
          <w:sz w:val="16"/>
          <w:szCs w:val="16"/>
        </w:rPr>
        <w:t>analysis</w:t>
      </w:r>
      <w:r w:rsidR="004204D7" w:rsidRPr="00981EE1">
        <w:rPr>
          <w:sz w:val="16"/>
          <w:szCs w:val="16"/>
        </w:rPr>
        <w:t xml:space="preserve"> after manual exclusions</w:t>
      </w:r>
      <w:r w:rsidR="003709C4" w:rsidRPr="00981EE1">
        <w:rPr>
          <w:sz w:val="16"/>
          <w:szCs w:val="16"/>
        </w:rPr>
        <w:t>. Percent excluded surveillance task performance: percent of exclusions based on the number of errors made during the surveillance task</w:t>
      </w:r>
      <w:r w:rsidR="00455002" w:rsidRPr="00981EE1">
        <w:rPr>
          <w:sz w:val="16"/>
          <w:szCs w:val="16"/>
        </w:rPr>
        <w:t xml:space="preserve"> (percentage accuracy &lt; mean – </w:t>
      </w:r>
      <w:r w:rsidR="000D0090" w:rsidRPr="00981EE1">
        <w:rPr>
          <w:sz w:val="16"/>
          <w:szCs w:val="16"/>
        </w:rPr>
        <w:t>3</w:t>
      </w:r>
      <w:r w:rsidR="00455002" w:rsidRPr="00981EE1">
        <w:rPr>
          <w:sz w:val="16"/>
          <w:szCs w:val="16"/>
        </w:rPr>
        <w:t xml:space="preserve"> SD per site)</w:t>
      </w:r>
      <w:r w:rsidR="003709C4" w:rsidRPr="00981EE1">
        <w:rPr>
          <w:sz w:val="16"/>
          <w:szCs w:val="16"/>
        </w:rPr>
        <w:t xml:space="preserve">. Percent excluded for Olson &amp; Fazio (2001), Olson &amp; Fazio (2001) modified, Bar-Anan et al. (2010), and Bar-Anan et al. (2010) modified represent the percent </w:t>
      </w:r>
      <w:r w:rsidR="00455002" w:rsidRPr="00981EE1">
        <w:rPr>
          <w:sz w:val="16"/>
          <w:szCs w:val="16"/>
        </w:rPr>
        <w:t xml:space="preserve">of the sample excluded </w:t>
      </w:r>
      <w:r w:rsidR="00455002" w:rsidRPr="00981EE1">
        <w:rPr>
          <w:i/>
          <w:sz w:val="16"/>
          <w:szCs w:val="16"/>
        </w:rPr>
        <w:t>after</w:t>
      </w:r>
      <w:r w:rsidR="00455002" w:rsidRPr="00981EE1">
        <w:rPr>
          <w:sz w:val="16"/>
          <w:szCs w:val="16"/>
        </w:rPr>
        <w:t xml:space="preserve"> surveillance task exclusions had been excluded</w:t>
      </w:r>
      <w:r w:rsidR="003709C4" w:rsidRPr="00981EE1">
        <w:rPr>
          <w:sz w:val="16"/>
          <w:szCs w:val="16"/>
        </w:rPr>
        <w:t>. These mirror the way these exclusions have been reported in the manuscript.</w:t>
      </w:r>
    </w:p>
    <w:p w14:paraId="5681AEA6" w14:textId="48160B45" w:rsidR="007D5DBE" w:rsidRDefault="007D5DBE" w:rsidP="00981EE1">
      <w:pPr>
        <w:spacing w:line="240" w:lineRule="auto"/>
        <w:ind w:firstLine="0"/>
        <w:rPr>
          <w:sz w:val="16"/>
          <w:szCs w:val="16"/>
        </w:rPr>
      </w:pPr>
    </w:p>
    <w:p w14:paraId="10BB1E4D" w14:textId="75862757" w:rsidR="007D5DBE" w:rsidRDefault="007D5DBE" w:rsidP="00981EE1">
      <w:pPr>
        <w:spacing w:line="240" w:lineRule="auto"/>
        <w:ind w:firstLine="0"/>
        <w:rPr>
          <w:sz w:val="16"/>
          <w:szCs w:val="16"/>
        </w:rPr>
      </w:pPr>
    </w:p>
    <w:p w14:paraId="36A03DBA" w14:textId="3C6CCBA2" w:rsidR="007D5DBE" w:rsidRDefault="007D5DBE" w:rsidP="00981EE1">
      <w:pPr>
        <w:spacing w:line="240" w:lineRule="auto"/>
        <w:ind w:firstLine="0"/>
        <w:rPr>
          <w:sz w:val="16"/>
          <w:szCs w:val="16"/>
        </w:rPr>
      </w:pPr>
    </w:p>
    <w:p w14:paraId="34CCCF22" w14:textId="3033178E" w:rsidR="007D5DBE" w:rsidRDefault="007D5DBE" w:rsidP="00981EE1">
      <w:pPr>
        <w:spacing w:line="240" w:lineRule="auto"/>
        <w:ind w:firstLine="0"/>
        <w:rPr>
          <w:sz w:val="16"/>
          <w:szCs w:val="16"/>
        </w:rPr>
      </w:pPr>
    </w:p>
    <w:p w14:paraId="331B7203" w14:textId="3EF1A53F" w:rsidR="007D5DBE" w:rsidRDefault="007D5DBE" w:rsidP="00981EE1">
      <w:pPr>
        <w:spacing w:line="240" w:lineRule="auto"/>
        <w:ind w:firstLine="0"/>
        <w:rPr>
          <w:sz w:val="16"/>
          <w:szCs w:val="16"/>
        </w:rPr>
      </w:pPr>
    </w:p>
    <w:p w14:paraId="575D38A7" w14:textId="2E53458C" w:rsidR="007D5DBE" w:rsidRDefault="007D5DBE">
      <w:pPr>
        <w:spacing w:after="160" w:line="259" w:lineRule="auto"/>
        <w:ind w:firstLine="0"/>
        <w:outlineLvl w:val="9"/>
        <w:rPr>
          <w:sz w:val="16"/>
          <w:szCs w:val="16"/>
        </w:rPr>
      </w:pPr>
      <w:r>
        <w:rPr>
          <w:sz w:val="16"/>
          <w:szCs w:val="16"/>
        </w:rPr>
        <w:br w:type="page"/>
      </w:r>
    </w:p>
    <w:p w14:paraId="4B9FCE65" w14:textId="545414F7" w:rsidR="007D5DBE" w:rsidRPr="007D5DBE" w:rsidRDefault="007D5DBE" w:rsidP="00D55CC3">
      <w:pPr>
        <w:spacing w:line="240" w:lineRule="auto"/>
        <w:ind w:firstLine="0"/>
        <w:jc w:val="center"/>
        <w:rPr>
          <w:b/>
          <w:bCs w:val="0"/>
        </w:rPr>
      </w:pPr>
      <w:r w:rsidRPr="007D5DBE">
        <w:rPr>
          <w:b/>
          <w:bCs w:val="0"/>
        </w:rPr>
        <w:lastRenderedPageBreak/>
        <w:t>References</w:t>
      </w:r>
    </w:p>
    <w:p w14:paraId="46DC9FA4" w14:textId="18E53344" w:rsidR="007D5DBE" w:rsidRDefault="007D5DBE" w:rsidP="00981EE1">
      <w:pPr>
        <w:spacing w:line="240" w:lineRule="auto"/>
        <w:ind w:firstLine="0"/>
      </w:pPr>
    </w:p>
    <w:p w14:paraId="49FD7414" w14:textId="0335894C" w:rsidR="007D5DBE" w:rsidRDefault="00D55CC3" w:rsidP="007D5DBE">
      <w:pPr>
        <w:pStyle w:val="references"/>
      </w:pPr>
      <w:r w:rsidRPr="00D55CC3">
        <w:rPr>
          <w:highlight w:val="white"/>
          <w:lang w:val="nl-BE"/>
        </w:rPr>
        <w:t>Bar-</w:t>
      </w:r>
      <w:proofErr w:type="spellStart"/>
      <w:r w:rsidRPr="00D55CC3">
        <w:rPr>
          <w:highlight w:val="white"/>
          <w:lang w:val="nl-BE"/>
        </w:rPr>
        <w:t>Anan</w:t>
      </w:r>
      <w:proofErr w:type="spellEnd"/>
      <w:r w:rsidR="007D5DBE" w:rsidRPr="00D55CC3">
        <w:rPr>
          <w:highlight w:val="white"/>
          <w:lang w:val="nl-BE"/>
        </w:rPr>
        <w:t xml:space="preserve">, Y., De Houwer, J., &amp; </w:t>
      </w:r>
      <w:proofErr w:type="spellStart"/>
      <w:r w:rsidR="007D5DBE" w:rsidRPr="00D55CC3">
        <w:rPr>
          <w:highlight w:val="white"/>
          <w:lang w:val="nl-BE"/>
        </w:rPr>
        <w:t>Nosek</w:t>
      </w:r>
      <w:proofErr w:type="spellEnd"/>
      <w:r w:rsidR="007D5DBE" w:rsidRPr="00D55CC3">
        <w:rPr>
          <w:highlight w:val="white"/>
          <w:lang w:val="nl-BE"/>
        </w:rPr>
        <w:t xml:space="preserve">, B. A. (2010). </w:t>
      </w:r>
      <w:r w:rsidR="007D5DBE" w:rsidRPr="00A86238">
        <w:rPr>
          <w:highlight w:val="white"/>
        </w:rPr>
        <w:t xml:space="preserve">Evaluative conditioning and conscious knowledge of contingencies: A correlational investigation with large samples. </w:t>
      </w:r>
      <w:r w:rsidR="007D5DBE" w:rsidRPr="00FB374C">
        <w:rPr>
          <w:i/>
          <w:highlight w:val="white"/>
        </w:rPr>
        <w:t>The Quarterly Journal of Experimental Psychology, 63</w:t>
      </w:r>
      <w:r w:rsidR="007D5DBE" w:rsidRPr="00A86238">
        <w:rPr>
          <w:highlight w:val="white"/>
        </w:rPr>
        <w:t>(12), 2313-2335.</w:t>
      </w:r>
      <w:r w:rsidR="007D5DBE" w:rsidRPr="00A86238">
        <w:rPr>
          <w:rtl/>
        </w:rPr>
        <w:t>‏</w:t>
      </w:r>
    </w:p>
    <w:p w14:paraId="0B90334A" w14:textId="77777777" w:rsidR="007D5DBE" w:rsidRPr="00F32498" w:rsidRDefault="007D5DBE" w:rsidP="007D5DBE">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693CDFCB" w14:textId="77777777" w:rsidR="007D5DBE" w:rsidRPr="00F32498" w:rsidRDefault="007D5DBE" w:rsidP="007D5DBE">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1FBE1068" w14:textId="77777777" w:rsidR="007D5DBE" w:rsidRPr="007D5DBE" w:rsidRDefault="007D5DBE" w:rsidP="00981EE1">
      <w:pPr>
        <w:spacing w:line="240" w:lineRule="auto"/>
        <w:ind w:firstLine="0"/>
      </w:pPr>
    </w:p>
    <w:sectPr w:rsidR="007D5DBE" w:rsidRPr="007D5DBE" w:rsidSect="00F55374">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201B0" w14:textId="77777777" w:rsidR="00D86ED4" w:rsidRDefault="00D86ED4" w:rsidP="00711DDA">
      <w:r>
        <w:separator/>
      </w:r>
    </w:p>
  </w:endnote>
  <w:endnote w:type="continuationSeparator" w:id="0">
    <w:p w14:paraId="4291ADCE" w14:textId="77777777" w:rsidR="00D86ED4" w:rsidRDefault="00D86ED4" w:rsidP="00711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Monaco">
    <w:altName w:val="Calibri"/>
    <w:charset w:val="00"/>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105F11" w14:textId="77777777" w:rsidR="00D86ED4" w:rsidRDefault="00D86ED4" w:rsidP="00711DDA">
      <w:r>
        <w:separator/>
      </w:r>
    </w:p>
  </w:footnote>
  <w:footnote w:type="continuationSeparator" w:id="0">
    <w:p w14:paraId="55EE4954" w14:textId="77777777" w:rsidR="00D86ED4" w:rsidRDefault="00D86ED4" w:rsidP="00711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82660011"/>
      <w:docPartObj>
        <w:docPartGallery w:val="Page Numbers (Top of Page)"/>
        <w:docPartUnique/>
      </w:docPartObj>
    </w:sdtPr>
    <w:sdtEndPr>
      <w:rPr>
        <w:rStyle w:val="PageNumber"/>
      </w:rPr>
    </w:sdtEndPr>
    <w:sdtContent>
      <w:p w14:paraId="04F7240C" w14:textId="4DE76A8B"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653907" w14:textId="77777777" w:rsidR="0036514F" w:rsidRDefault="0036514F" w:rsidP="000A4F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16672054"/>
      <w:docPartObj>
        <w:docPartGallery w:val="Page Numbers (Top of Page)"/>
        <w:docPartUnique/>
      </w:docPartObj>
    </w:sdtPr>
    <w:sdtEndPr>
      <w:rPr>
        <w:rStyle w:val="PageNumber"/>
      </w:rPr>
    </w:sdtEndPr>
    <w:sdtContent>
      <w:p w14:paraId="0AF5430B" w14:textId="7505CE18" w:rsidR="0036514F" w:rsidRDefault="0036514F" w:rsidP="003651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912DE">
          <w:rPr>
            <w:rStyle w:val="PageNumber"/>
            <w:noProof/>
          </w:rPr>
          <w:t>5</w:t>
        </w:r>
        <w:r>
          <w:rPr>
            <w:rStyle w:val="PageNumber"/>
          </w:rPr>
          <w:fldChar w:fldCharType="end"/>
        </w:r>
      </w:p>
    </w:sdtContent>
  </w:sdt>
  <w:p w14:paraId="368E073F" w14:textId="44575033" w:rsidR="0036514F" w:rsidRPr="00844CCE" w:rsidRDefault="0036514F" w:rsidP="000A4FAD">
    <w:pPr>
      <w:pStyle w:val="Header"/>
      <w:ind w:right="360" w:firstLine="0"/>
    </w:pPr>
    <w:r w:rsidRPr="00844CCE">
      <w:t>SOM-R</w:t>
    </w:r>
    <w:r>
      <w:t xml:space="preserve">  </w:t>
    </w:r>
  </w:p>
  <w:p w14:paraId="671C53AC" w14:textId="77777777" w:rsidR="0036514F" w:rsidRDefault="0036514F" w:rsidP="00711D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2286C"/>
    <w:multiLevelType w:val="hybridMultilevel"/>
    <w:tmpl w:val="D2F498BE"/>
    <w:lvl w:ilvl="0" w:tplc="FE9C36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F372E5"/>
    <w:multiLevelType w:val="hybridMultilevel"/>
    <w:tmpl w:val="BE50ACC6"/>
    <w:lvl w:ilvl="0" w:tplc="ADA64904">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B45B7"/>
    <w:multiLevelType w:val="hybridMultilevel"/>
    <w:tmpl w:val="6720D4EE"/>
    <w:lvl w:ilvl="0" w:tplc="3A20392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1449B"/>
    <w:multiLevelType w:val="hybridMultilevel"/>
    <w:tmpl w:val="F95CF550"/>
    <w:lvl w:ilvl="0" w:tplc="A5B8124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0206EB"/>
    <w:multiLevelType w:val="hybridMultilevel"/>
    <w:tmpl w:val="04128278"/>
    <w:lvl w:ilvl="0" w:tplc="8F70434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557"/>
    <w:rsid w:val="00000C7C"/>
    <w:rsid w:val="0000154F"/>
    <w:rsid w:val="00017578"/>
    <w:rsid w:val="00034254"/>
    <w:rsid w:val="00076B13"/>
    <w:rsid w:val="00077460"/>
    <w:rsid w:val="0008279B"/>
    <w:rsid w:val="000922B4"/>
    <w:rsid w:val="000A4FAD"/>
    <w:rsid w:val="000A61A6"/>
    <w:rsid w:val="000B18AB"/>
    <w:rsid w:val="000D0090"/>
    <w:rsid w:val="000D2D4B"/>
    <w:rsid w:val="000D7094"/>
    <w:rsid w:val="000F5DC0"/>
    <w:rsid w:val="00101D1A"/>
    <w:rsid w:val="00104403"/>
    <w:rsid w:val="001057F2"/>
    <w:rsid w:val="00107E97"/>
    <w:rsid w:val="00111E25"/>
    <w:rsid w:val="0012426D"/>
    <w:rsid w:val="0012499D"/>
    <w:rsid w:val="001316E3"/>
    <w:rsid w:val="00132F45"/>
    <w:rsid w:val="00134788"/>
    <w:rsid w:val="001467EC"/>
    <w:rsid w:val="00146A95"/>
    <w:rsid w:val="00156302"/>
    <w:rsid w:val="0016177E"/>
    <w:rsid w:val="0016577B"/>
    <w:rsid w:val="0018646E"/>
    <w:rsid w:val="0019341F"/>
    <w:rsid w:val="001952C4"/>
    <w:rsid w:val="001A6F17"/>
    <w:rsid w:val="001A713F"/>
    <w:rsid w:val="001B4A25"/>
    <w:rsid w:val="001C1186"/>
    <w:rsid w:val="001D4A6F"/>
    <w:rsid w:val="001E1F08"/>
    <w:rsid w:val="001F65AD"/>
    <w:rsid w:val="001F76C3"/>
    <w:rsid w:val="002030FC"/>
    <w:rsid w:val="0020539B"/>
    <w:rsid w:val="00223679"/>
    <w:rsid w:val="0022696B"/>
    <w:rsid w:val="00245596"/>
    <w:rsid w:val="00264177"/>
    <w:rsid w:val="00270EA5"/>
    <w:rsid w:val="00271DF2"/>
    <w:rsid w:val="00294C83"/>
    <w:rsid w:val="00295070"/>
    <w:rsid w:val="002953D2"/>
    <w:rsid w:val="002A206F"/>
    <w:rsid w:val="002A2B5A"/>
    <w:rsid w:val="002A42BC"/>
    <w:rsid w:val="002A5457"/>
    <w:rsid w:val="002C5513"/>
    <w:rsid w:val="002F2323"/>
    <w:rsid w:val="002F2553"/>
    <w:rsid w:val="00300E47"/>
    <w:rsid w:val="00313455"/>
    <w:rsid w:val="003148AF"/>
    <w:rsid w:val="00331F97"/>
    <w:rsid w:val="0036514F"/>
    <w:rsid w:val="003709C4"/>
    <w:rsid w:val="0038333B"/>
    <w:rsid w:val="00386262"/>
    <w:rsid w:val="003B2D31"/>
    <w:rsid w:val="003C2C96"/>
    <w:rsid w:val="003E1702"/>
    <w:rsid w:val="003F443E"/>
    <w:rsid w:val="004105CF"/>
    <w:rsid w:val="00411344"/>
    <w:rsid w:val="00415238"/>
    <w:rsid w:val="00415976"/>
    <w:rsid w:val="004204D7"/>
    <w:rsid w:val="00431067"/>
    <w:rsid w:val="00445F19"/>
    <w:rsid w:val="00455002"/>
    <w:rsid w:val="00460446"/>
    <w:rsid w:val="0047478C"/>
    <w:rsid w:val="004A4CAB"/>
    <w:rsid w:val="004B4D48"/>
    <w:rsid w:val="004C1906"/>
    <w:rsid w:val="004C57B6"/>
    <w:rsid w:val="004D5697"/>
    <w:rsid w:val="004F3557"/>
    <w:rsid w:val="0051076C"/>
    <w:rsid w:val="005277D4"/>
    <w:rsid w:val="005546F2"/>
    <w:rsid w:val="0056632B"/>
    <w:rsid w:val="005679A5"/>
    <w:rsid w:val="005730C7"/>
    <w:rsid w:val="00575338"/>
    <w:rsid w:val="00585695"/>
    <w:rsid w:val="005912DE"/>
    <w:rsid w:val="005A635B"/>
    <w:rsid w:val="005C7488"/>
    <w:rsid w:val="005D3334"/>
    <w:rsid w:val="005D701C"/>
    <w:rsid w:val="0060313A"/>
    <w:rsid w:val="006113AA"/>
    <w:rsid w:val="0062303D"/>
    <w:rsid w:val="00626D7F"/>
    <w:rsid w:val="006463E8"/>
    <w:rsid w:val="006725CC"/>
    <w:rsid w:val="006862AA"/>
    <w:rsid w:val="006A244C"/>
    <w:rsid w:val="006D1230"/>
    <w:rsid w:val="006D5385"/>
    <w:rsid w:val="006D751C"/>
    <w:rsid w:val="006E6F5D"/>
    <w:rsid w:val="00711DDA"/>
    <w:rsid w:val="007129B9"/>
    <w:rsid w:val="00723D49"/>
    <w:rsid w:val="0074064D"/>
    <w:rsid w:val="00762E21"/>
    <w:rsid w:val="00784CB3"/>
    <w:rsid w:val="0079229C"/>
    <w:rsid w:val="007939FF"/>
    <w:rsid w:val="00794C7B"/>
    <w:rsid w:val="007A12A1"/>
    <w:rsid w:val="007A1CC9"/>
    <w:rsid w:val="007A4FD1"/>
    <w:rsid w:val="007B7B0A"/>
    <w:rsid w:val="007D3996"/>
    <w:rsid w:val="007D4F18"/>
    <w:rsid w:val="007D5DBE"/>
    <w:rsid w:val="007F3E20"/>
    <w:rsid w:val="0081049B"/>
    <w:rsid w:val="008251CB"/>
    <w:rsid w:val="00827148"/>
    <w:rsid w:val="008312CB"/>
    <w:rsid w:val="00841067"/>
    <w:rsid w:val="00841608"/>
    <w:rsid w:val="00842AAE"/>
    <w:rsid w:val="00844CCE"/>
    <w:rsid w:val="00846556"/>
    <w:rsid w:val="008858EC"/>
    <w:rsid w:val="008927B2"/>
    <w:rsid w:val="008A7499"/>
    <w:rsid w:val="008A7F29"/>
    <w:rsid w:val="008B3774"/>
    <w:rsid w:val="008B3C2C"/>
    <w:rsid w:val="008E089B"/>
    <w:rsid w:val="008E3D79"/>
    <w:rsid w:val="0091638C"/>
    <w:rsid w:val="0092029E"/>
    <w:rsid w:val="009235AA"/>
    <w:rsid w:val="00936772"/>
    <w:rsid w:val="009429D1"/>
    <w:rsid w:val="009530AA"/>
    <w:rsid w:val="00960DFE"/>
    <w:rsid w:val="00981EE1"/>
    <w:rsid w:val="00982CB6"/>
    <w:rsid w:val="009A5B66"/>
    <w:rsid w:val="009A661D"/>
    <w:rsid w:val="009B722D"/>
    <w:rsid w:val="009C31BC"/>
    <w:rsid w:val="009D536E"/>
    <w:rsid w:val="009F7E95"/>
    <w:rsid w:val="00A019FD"/>
    <w:rsid w:val="00A140D5"/>
    <w:rsid w:val="00A14A84"/>
    <w:rsid w:val="00A168C3"/>
    <w:rsid w:val="00A23976"/>
    <w:rsid w:val="00A30312"/>
    <w:rsid w:val="00A40F08"/>
    <w:rsid w:val="00A6517A"/>
    <w:rsid w:val="00A9455E"/>
    <w:rsid w:val="00AD5413"/>
    <w:rsid w:val="00AE1FF4"/>
    <w:rsid w:val="00AF0D85"/>
    <w:rsid w:val="00B2225B"/>
    <w:rsid w:val="00B47F02"/>
    <w:rsid w:val="00B8476E"/>
    <w:rsid w:val="00BA3341"/>
    <w:rsid w:val="00BA547C"/>
    <w:rsid w:val="00BA758D"/>
    <w:rsid w:val="00BB6C47"/>
    <w:rsid w:val="00BC314D"/>
    <w:rsid w:val="00BC3E51"/>
    <w:rsid w:val="00BD26E6"/>
    <w:rsid w:val="00C14E3C"/>
    <w:rsid w:val="00C17DB0"/>
    <w:rsid w:val="00C2132E"/>
    <w:rsid w:val="00C327D6"/>
    <w:rsid w:val="00C56A38"/>
    <w:rsid w:val="00CA693C"/>
    <w:rsid w:val="00CD5DE6"/>
    <w:rsid w:val="00CE6202"/>
    <w:rsid w:val="00CE7B91"/>
    <w:rsid w:val="00D0669D"/>
    <w:rsid w:val="00D15AFC"/>
    <w:rsid w:val="00D16463"/>
    <w:rsid w:val="00D23D95"/>
    <w:rsid w:val="00D262B4"/>
    <w:rsid w:val="00D435D1"/>
    <w:rsid w:val="00D50025"/>
    <w:rsid w:val="00D52260"/>
    <w:rsid w:val="00D550D4"/>
    <w:rsid w:val="00D55CC3"/>
    <w:rsid w:val="00D746E1"/>
    <w:rsid w:val="00D81B40"/>
    <w:rsid w:val="00D86ED4"/>
    <w:rsid w:val="00D95F07"/>
    <w:rsid w:val="00DB2954"/>
    <w:rsid w:val="00DB352D"/>
    <w:rsid w:val="00DD4530"/>
    <w:rsid w:val="00DE3DD3"/>
    <w:rsid w:val="00DE4AB7"/>
    <w:rsid w:val="00E04EF6"/>
    <w:rsid w:val="00E31ED1"/>
    <w:rsid w:val="00E3449E"/>
    <w:rsid w:val="00E35F6B"/>
    <w:rsid w:val="00E57026"/>
    <w:rsid w:val="00E63EAF"/>
    <w:rsid w:val="00E66B7F"/>
    <w:rsid w:val="00E6787C"/>
    <w:rsid w:val="00E7299B"/>
    <w:rsid w:val="00E916D1"/>
    <w:rsid w:val="00EB051D"/>
    <w:rsid w:val="00EB329E"/>
    <w:rsid w:val="00ED44E3"/>
    <w:rsid w:val="00EE7431"/>
    <w:rsid w:val="00F050B5"/>
    <w:rsid w:val="00F06BD1"/>
    <w:rsid w:val="00F127E2"/>
    <w:rsid w:val="00F33613"/>
    <w:rsid w:val="00F35950"/>
    <w:rsid w:val="00F3598A"/>
    <w:rsid w:val="00F4049C"/>
    <w:rsid w:val="00F41447"/>
    <w:rsid w:val="00F427AE"/>
    <w:rsid w:val="00F43168"/>
    <w:rsid w:val="00F50BD4"/>
    <w:rsid w:val="00F55374"/>
    <w:rsid w:val="00F67C07"/>
    <w:rsid w:val="00F94CC8"/>
    <w:rsid w:val="00FD1B5E"/>
    <w:rsid w:val="00FE2111"/>
    <w:rsid w:val="00FF3DD3"/>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7B3C"/>
  <w15:chartTrackingRefBased/>
  <w15:docId w15:val="{400C4CC1-BADF-43ED-BEF7-CC498B53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1DDA"/>
    <w:pPr>
      <w:spacing w:after="0" w:line="480" w:lineRule="auto"/>
      <w:ind w:firstLine="720"/>
      <w:outlineLvl w:val="1"/>
    </w:pPr>
    <w:rPr>
      <w:rFonts w:ascii="Times New Roman" w:hAnsi="Times New Roman" w:cs="Times New Roman"/>
      <w:bCs/>
      <w:color w:val="000000" w:themeColor="text1"/>
      <w:sz w:val="24"/>
      <w:szCs w:val="24"/>
      <w:shd w:val="clear" w:color="auto" w:fill="FFFFFF"/>
    </w:rPr>
  </w:style>
  <w:style w:type="paragraph" w:styleId="Heading1">
    <w:name w:val="heading 1"/>
    <w:basedOn w:val="Normal"/>
    <w:next w:val="Normal"/>
    <w:link w:val="Heading1Char"/>
    <w:uiPriority w:val="9"/>
    <w:qFormat/>
    <w:rsid w:val="00585695"/>
    <w:pPr>
      <w:ind w:firstLine="0"/>
      <w:jc w:val="center"/>
      <w:outlineLvl w:val="0"/>
    </w:pPr>
    <w:rPr>
      <w:b/>
      <w:bCs w:val="0"/>
    </w:rPr>
  </w:style>
  <w:style w:type="paragraph" w:styleId="Heading2">
    <w:name w:val="heading 2"/>
    <w:basedOn w:val="Normal"/>
    <w:next w:val="Normal"/>
    <w:link w:val="Heading2Char"/>
    <w:uiPriority w:val="9"/>
    <w:unhideWhenUsed/>
    <w:qFormat/>
    <w:rsid w:val="00711DDA"/>
    <w:pPr>
      <w:ind w:firstLine="0"/>
    </w:pPr>
    <w:rPr>
      <w:b/>
      <w:b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F3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0FC"/>
    <w:rPr>
      <w:sz w:val="16"/>
      <w:szCs w:val="16"/>
    </w:rPr>
  </w:style>
  <w:style w:type="paragraph" w:styleId="CommentText">
    <w:name w:val="annotation text"/>
    <w:basedOn w:val="Normal"/>
    <w:link w:val="CommentTextChar"/>
    <w:uiPriority w:val="99"/>
    <w:semiHidden/>
    <w:unhideWhenUsed/>
    <w:rsid w:val="002030FC"/>
    <w:pPr>
      <w:spacing w:line="240" w:lineRule="auto"/>
    </w:pPr>
    <w:rPr>
      <w:sz w:val="20"/>
      <w:szCs w:val="20"/>
    </w:rPr>
  </w:style>
  <w:style w:type="character" w:customStyle="1" w:styleId="CommentTextChar">
    <w:name w:val="Comment Text Char"/>
    <w:basedOn w:val="DefaultParagraphFont"/>
    <w:link w:val="CommentText"/>
    <w:uiPriority w:val="99"/>
    <w:semiHidden/>
    <w:rsid w:val="002030FC"/>
    <w:rPr>
      <w:sz w:val="20"/>
      <w:szCs w:val="20"/>
    </w:rPr>
  </w:style>
  <w:style w:type="paragraph" w:styleId="CommentSubject">
    <w:name w:val="annotation subject"/>
    <w:basedOn w:val="CommentText"/>
    <w:next w:val="CommentText"/>
    <w:link w:val="CommentSubjectChar"/>
    <w:uiPriority w:val="99"/>
    <w:semiHidden/>
    <w:unhideWhenUsed/>
    <w:rsid w:val="002030FC"/>
    <w:rPr>
      <w:b/>
      <w:bCs w:val="0"/>
    </w:rPr>
  </w:style>
  <w:style w:type="character" w:customStyle="1" w:styleId="CommentSubjectChar">
    <w:name w:val="Comment Subject Char"/>
    <w:basedOn w:val="CommentTextChar"/>
    <w:link w:val="CommentSubject"/>
    <w:uiPriority w:val="99"/>
    <w:semiHidden/>
    <w:rsid w:val="002030FC"/>
    <w:rPr>
      <w:b/>
      <w:bCs/>
      <w:sz w:val="20"/>
      <w:szCs w:val="20"/>
    </w:rPr>
  </w:style>
  <w:style w:type="paragraph" w:styleId="BalloonText">
    <w:name w:val="Balloon Text"/>
    <w:basedOn w:val="Normal"/>
    <w:link w:val="BalloonTextChar"/>
    <w:uiPriority w:val="99"/>
    <w:semiHidden/>
    <w:unhideWhenUsed/>
    <w:rsid w:val="002030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0FC"/>
    <w:rPr>
      <w:rFonts w:ascii="Segoe UI" w:hAnsi="Segoe UI" w:cs="Segoe UI"/>
      <w:sz w:val="18"/>
      <w:szCs w:val="18"/>
    </w:rPr>
  </w:style>
  <w:style w:type="paragraph" w:styleId="Header">
    <w:name w:val="header"/>
    <w:basedOn w:val="Normal"/>
    <w:link w:val="HeaderChar"/>
    <w:uiPriority w:val="99"/>
    <w:unhideWhenUsed/>
    <w:rsid w:val="00844CCE"/>
    <w:pPr>
      <w:tabs>
        <w:tab w:val="center" w:pos="4703"/>
        <w:tab w:val="right" w:pos="9406"/>
      </w:tabs>
      <w:spacing w:line="240" w:lineRule="auto"/>
    </w:pPr>
  </w:style>
  <w:style w:type="character" w:customStyle="1" w:styleId="HeaderChar">
    <w:name w:val="Header Char"/>
    <w:basedOn w:val="DefaultParagraphFont"/>
    <w:link w:val="Header"/>
    <w:uiPriority w:val="99"/>
    <w:rsid w:val="00844CCE"/>
  </w:style>
  <w:style w:type="paragraph" w:styleId="Footer">
    <w:name w:val="footer"/>
    <w:basedOn w:val="Normal"/>
    <w:link w:val="FooterChar"/>
    <w:uiPriority w:val="99"/>
    <w:unhideWhenUsed/>
    <w:rsid w:val="00844CCE"/>
    <w:pPr>
      <w:tabs>
        <w:tab w:val="center" w:pos="4703"/>
        <w:tab w:val="right" w:pos="9406"/>
      </w:tabs>
      <w:spacing w:line="240" w:lineRule="auto"/>
    </w:pPr>
  </w:style>
  <w:style w:type="character" w:customStyle="1" w:styleId="FooterChar">
    <w:name w:val="Footer Char"/>
    <w:basedOn w:val="DefaultParagraphFont"/>
    <w:link w:val="Footer"/>
    <w:uiPriority w:val="99"/>
    <w:rsid w:val="00844CCE"/>
  </w:style>
  <w:style w:type="paragraph" w:styleId="NoSpacing">
    <w:name w:val="No Spacing"/>
    <w:uiPriority w:val="1"/>
    <w:qFormat/>
    <w:rsid w:val="006862AA"/>
    <w:pPr>
      <w:spacing w:after="0" w:line="240" w:lineRule="auto"/>
    </w:pPr>
  </w:style>
  <w:style w:type="paragraph" w:styleId="ListParagraph">
    <w:name w:val="List Paragraph"/>
    <w:basedOn w:val="Normal"/>
    <w:uiPriority w:val="34"/>
    <w:qFormat/>
    <w:rsid w:val="00386262"/>
    <w:pPr>
      <w:ind w:left="720"/>
      <w:contextualSpacing/>
    </w:pPr>
  </w:style>
  <w:style w:type="character" w:styleId="Hyperlink">
    <w:name w:val="Hyperlink"/>
    <w:basedOn w:val="DefaultParagraphFont"/>
    <w:uiPriority w:val="99"/>
    <w:unhideWhenUsed/>
    <w:rsid w:val="00C14E3C"/>
    <w:rPr>
      <w:color w:val="0000FF"/>
      <w:u w:val="single"/>
    </w:rPr>
  </w:style>
  <w:style w:type="character" w:customStyle="1" w:styleId="NichtaufgelsteErwhnung1">
    <w:name w:val="Nicht aufgelöste Erwähnung1"/>
    <w:basedOn w:val="DefaultParagraphFont"/>
    <w:uiPriority w:val="99"/>
    <w:semiHidden/>
    <w:unhideWhenUsed/>
    <w:rsid w:val="0091638C"/>
    <w:rPr>
      <w:color w:val="605E5C"/>
      <w:shd w:val="clear" w:color="auto" w:fill="E1DFDD"/>
    </w:rPr>
  </w:style>
  <w:style w:type="paragraph" w:customStyle="1" w:styleId="references">
    <w:name w:val="references"/>
    <w:basedOn w:val="Normal"/>
    <w:rsid w:val="003148AF"/>
    <w:pPr>
      <w:ind w:left="720" w:hanging="720"/>
    </w:pPr>
    <w:rPr>
      <w:rFonts w:eastAsia="Times New Roman"/>
    </w:rPr>
  </w:style>
  <w:style w:type="character" w:customStyle="1" w:styleId="Heading1Char">
    <w:name w:val="Heading 1 Char"/>
    <w:basedOn w:val="DefaultParagraphFont"/>
    <w:link w:val="Heading1"/>
    <w:uiPriority w:val="9"/>
    <w:rsid w:val="00585695"/>
    <w:rPr>
      <w:rFonts w:ascii="Times New Roman" w:hAnsi="Times New Roman" w:cs="Times New Roman"/>
      <w:b/>
      <w:color w:val="000000" w:themeColor="text1"/>
      <w:sz w:val="24"/>
      <w:szCs w:val="24"/>
    </w:rPr>
  </w:style>
  <w:style w:type="character" w:customStyle="1" w:styleId="Heading2Char">
    <w:name w:val="Heading 2 Char"/>
    <w:basedOn w:val="DefaultParagraphFont"/>
    <w:link w:val="Heading2"/>
    <w:uiPriority w:val="9"/>
    <w:rsid w:val="00711DDA"/>
    <w:rPr>
      <w:rFonts w:ascii="Times New Roman" w:hAnsi="Times New Roman" w:cs="Times New Roman"/>
      <w:b/>
      <w:color w:val="000000" w:themeColor="text1"/>
      <w:sz w:val="24"/>
      <w:szCs w:val="24"/>
    </w:rPr>
  </w:style>
  <w:style w:type="character" w:customStyle="1" w:styleId="UnresolvedMention1">
    <w:name w:val="Unresolved Mention1"/>
    <w:basedOn w:val="DefaultParagraphFont"/>
    <w:uiPriority w:val="99"/>
    <w:semiHidden/>
    <w:unhideWhenUsed/>
    <w:rsid w:val="003148AF"/>
    <w:rPr>
      <w:color w:val="605E5C"/>
      <w:shd w:val="clear" w:color="auto" w:fill="E1DFDD"/>
    </w:rPr>
  </w:style>
  <w:style w:type="character" w:styleId="PageNumber">
    <w:name w:val="page number"/>
    <w:basedOn w:val="DefaultParagraphFont"/>
    <w:uiPriority w:val="99"/>
    <w:semiHidden/>
    <w:unhideWhenUsed/>
    <w:rsid w:val="000A4FAD"/>
  </w:style>
  <w:style w:type="paragraph" w:styleId="HTMLPreformatted">
    <w:name w:val="HTML Preformatted"/>
    <w:basedOn w:val="Normal"/>
    <w:link w:val="HTMLPreformattedChar"/>
    <w:uiPriority w:val="99"/>
    <w:semiHidden/>
    <w:unhideWhenUsed/>
    <w:rsid w:val="00E63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outlineLvl w:val="9"/>
    </w:pPr>
    <w:rPr>
      <w:rFonts w:ascii="Courier New" w:eastAsia="Times New Roman" w:hAnsi="Courier New" w:cs="Courier New"/>
      <w:bCs w:val="0"/>
      <w:color w:val="auto"/>
      <w:sz w:val="20"/>
      <w:szCs w:val="20"/>
      <w:shd w:val="clear" w:color="auto" w:fill="auto"/>
      <w:lang w:val="en-IE" w:bidi="ar-SA"/>
    </w:rPr>
  </w:style>
  <w:style w:type="character" w:customStyle="1" w:styleId="HTMLPreformattedChar">
    <w:name w:val="HTML Preformatted Char"/>
    <w:basedOn w:val="DefaultParagraphFont"/>
    <w:link w:val="HTMLPreformatted"/>
    <w:uiPriority w:val="99"/>
    <w:semiHidden/>
    <w:rsid w:val="00E63EAF"/>
    <w:rPr>
      <w:rFonts w:ascii="Courier New" w:eastAsia="Times New Roman" w:hAnsi="Courier New" w:cs="Courier New"/>
      <w:sz w:val="20"/>
      <w:szCs w:val="20"/>
      <w:lang w:val="en-IE" w:bidi="ar-SA"/>
    </w:rPr>
  </w:style>
  <w:style w:type="character" w:customStyle="1" w:styleId="UnresolvedMention2">
    <w:name w:val="Unresolved Mention2"/>
    <w:basedOn w:val="DefaultParagraphFont"/>
    <w:uiPriority w:val="99"/>
    <w:semiHidden/>
    <w:unhideWhenUsed/>
    <w:rsid w:val="0016577B"/>
    <w:rPr>
      <w:color w:val="605E5C"/>
      <w:shd w:val="clear" w:color="auto" w:fill="E1DFDD"/>
    </w:rPr>
  </w:style>
  <w:style w:type="paragraph" w:styleId="FootnoteText">
    <w:name w:val="footnote text"/>
    <w:basedOn w:val="Normal"/>
    <w:link w:val="FootnoteTextChar"/>
    <w:uiPriority w:val="99"/>
    <w:unhideWhenUsed/>
    <w:rsid w:val="00E7299B"/>
    <w:pPr>
      <w:spacing w:line="240" w:lineRule="auto"/>
      <w:ind w:firstLine="0"/>
      <w:contextualSpacing/>
      <w:outlineLvl w:val="9"/>
    </w:pPr>
    <w:rPr>
      <w:rFonts w:eastAsia="Times New Roman"/>
      <w:bCs w:val="0"/>
      <w:color w:val="auto"/>
      <w:shd w:val="clear" w:color="auto" w:fill="auto"/>
    </w:rPr>
  </w:style>
  <w:style w:type="character" w:customStyle="1" w:styleId="FootnoteTextChar">
    <w:name w:val="Footnote Text Char"/>
    <w:basedOn w:val="DefaultParagraphFont"/>
    <w:link w:val="FootnoteText"/>
    <w:uiPriority w:val="99"/>
    <w:rsid w:val="00E7299B"/>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E7299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10262">
      <w:bodyDiv w:val="1"/>
      <w:marLeft w:val="0"/>
      <w:marRight w:val="0"/>
      <w:marTop w:val="0"/>
      <w:marBottom w:val="0"/>
      <w:divBdr>
        <w:top w:val="none" w:sz="0" w:space="0" w:color="auto"/>
        <w:left w:val="none" w:sz="0" w:space="0" w:color="auto"/>
        <w:bottom w:val="none" w:sz="0" w:space="0" w:color="auto"/>
        <w:right w:val="none" w:sz="0" w:space="0" w:color="auto"/>
      </w:divBdr>
    </w:div>
    <w:div w:id="129176297">
      <w:bodyDiv w:val="1"/>
      <w:marLeft w:val="0"/>
      <w:marRight w:val="0"/>
      <w:marTop w:val="0"/>
      <w:marBottom w:val="0"/>
      <w:divBdr>
        <w:top w:val="none" w:sz="0" w:space="0" w:color="auto"/>
        <w:left w:val="none" w:sz="0" w:space="0" w:color="auto"/>
        <w:bottom w:val="none" w:sz="0" w:space="0" w:color="auto"/>
        <w:right w:val="none" w:sz="0" w:space="0" w:color="auto"/>
      </w:divBdr>
    </w:div>
    <w:div w:id="320889930">
      <w:bodyDiv w:val="1"/>
      <w:marLeft w:val="0"/>
      <w:marRight w:val="0"/>
      <w:marTop w:val="0"/>
      <w:marBottom w:val="0"/>
      <w:divBdr>
        <w:top w:val="none" w:sz="0" w:space="0" w:color="auto"/>
        <w:left w:val="none" w:sz="0" w:space="0" w:color="auto"/>
        <w:bottom w:val="none" w:sz="0" w:space="0" w:color="auto"/>
        <w:right w:val="none" w:sz="0" w:space="0" w:color="auto"/>
      </w:divBdr>
    </w:div>
    <w:div w:id="349377049">
      <w:bodyDiv w:val="1"/>
      <w:marLeft w:val="0"/>
      <w:marRight w:val="0"/>
      <w:marTop w:val="0"/>
      <w:marBottom w:val="0"/>
      <w:divBdr>
        <w:top w:val="none" w:sz="0" w:space="0" w:color="auto"/>
        <w:left w:val="none" w:sz="0" w:space="0" w:color="auto"/>
        <w:bottom w:val="none" w:sz="0" w:space="0" w:color="auto"/>
        <w:right w:val="none" w:sz="0" w:space="0" w:color="auto"/>
      </w:divBdr>
    </w:div>
    <w:div w:id="592520059">
      <w:bodyDiv w:val="1"/>
      <w:marLeft w:val="0"/>
      <w:marRight w:val="0"/>
      <w:marTop w:val="0"/>
      <w:marBottom w:val="0"/>
      <w:divBdr>
        <w:top w:val="none" w:sz="0" w:space="0" w:color="auto"/>
        <w:left w:val="none" w:sz="0" w:space="0" w:color="auto"/>
        <w:bottom w:val="none" w:sz="0" w:space="0" w:color="auto"/>
        <w:right w:val="none" w:sz="0" w:space="0" w:color="auto"/>
      </w:divBdr>
      <w:divsChild>
        <w:div w:id="111440987">
          <w:marLeft w:val="0"/>
          <w:marRight w:val="0"/>
          <w:marTop w:val="0"/>
          <w:marBottom w:val="0"/>
          <w:divBdr>
            <w:top w:val="none" w:sz="0" w:space="0" w:color="auto"/>
            <w:left w:val="none" w:sz="0" w:space="0" w:color="auto"/>
            <w:bottom w:val="single" w:sz="6" w:space="4" w:color="DDDDDD"/>
            <w:right w:val="none" w:sz="0" w:space="0" w:color="auto"/>
          </w:divBdr>
        </w:div>
        <w:div w:id="2067338375">
          <w:marLeft w:val="0"/>
          <w:marRight w:val="0"/>
          <w:marTop w:val="0"/>
          <w:marBottom w:val="0"/>
          <w:divBdr>
            <w:top w:val="none" w:sz="0" w:space="0" w:color="auto"/>
            <w:left w:val="none" w:sz="0" w:space="0" w:color="auto"/>
            <w:bottom w:val="single" w:sz="6" w:space="4" w:color="DDDDDD"/>
            <w:right w:val="none" w:sz="0" w:space="0" w:color="auto"/>
          </w:divBdr>
        </w:div>
        <w:div w:id="354995">
          <w:marLeft w:val="0"/>
          <w:marRight w:val="0"/>
          <w:marTop w:val="0"/>
          <w:marBottom w:val="0"/>
          <w:divBdr>
            <w:top w:val="none" w:sz="0" w:space="0" w:color="auto"/>
            <w:left w:val="none" w:sz="0" w:space="0" w:color="auto"/>
            <w:bottom w:val="single" w:sz="6" w:space="4" w:color="DDDDDD"/>
            <w:right w:val="none" w:sz="0" w:space="0" w:color="auto"/>
          </w:divBdr>
        </w:div>
      </w:divsChild>
    </w:div>
    <w:div w:id="886455230">
      <w:bodyDiv w:val="1"/>
      <w:marLeft w:val="0"/>
      <w:marRight w:val="0"/>
      <w:marTop w:val="0"/>
      <w:marBottom w:val="0"/>
      <w:divBdr>
        <w:top w:val="none" w:sz="0" w:space="0" w:color="auto"/>
        <w:left w:val="none" w:sz="0" w:space="0" w:color="auto"/>
        <w:bottom w:val="none" w:sz="0" w:space="0" w:color="auto"/>
        <w:right w:val="none" w:sz="0" w:space="0" w:color="auto"/>
      </w:divBdr>
    </w:div>
    <w:div w:id="918900532">
      <w:bodyDiv w:val="1"/>
      <w:marLeft w:val="0"/>
      <w:marRight w:val="0"/>
      <w:marTop w:val="0"/>
      <w:marBottom w:val="0"/>
      <w:divBdr>
        <w:top w:val="none" w:sz="0" w:space="0" w:color="auto"/>
        <w:left w:val="none" w:sz="0" w:space="0" w:color="auto"/>
        <w:bottom w:val="none" w:sz="0" w:space="0" w:color="auto"/>
        <w:right w:val="none" w:sz="0" w:space="0" w:color="auto"/>
      </w:divBdr>
    </w:div>
    <w:div w:id="1165776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uyng7" TargetMode="External"/><Relationship Id="rId13" Type="http://schemas.openxmlformats.org/officeDocument/2006/relationships/hyperlink" Target="https://osf.io/k9nrf/"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sf.io/2dm6u/" TargetMode="External"/><Relationship Id="rId17" Type="http://schemas.openxmlformats.org/officeDocument/2006/relationships/hyperlink" Target="https://osf.io/uyng7" TargetMode="External"/><Relationship Id="rId2" Type="http://schemas.openxmlformats.org/officeDocument/2006/relationships/numbering" Target="numbering.xml"/><Relationship Id="rId16" Type="http://schemas.openxmlformats.org/officeDocument/2006/relationships/hyperlink" Target="https://osf.io/qga5j/"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2dm6u/" TargetMode="External"/><Relationship Id="rId5" Type="http://schemas.openxmlformats.org/officeDocument/2006/relationships/webSettings" Target="webSettings.xml"/><Relationship Id="rId15" Type="http://schemas.openxmlformats.org/officeDocument/2006/relationships/hyperlink" Target="https://osf.io/3hjpf" TargetMode="External"/><Relationship Id="rId10" Type="http://schemas.openxmlformats.org/officeDocument/2006/relationships/hyperlink" Target="https://osf.io/a3qj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osf.io/4ecx5/" TargetMode="External"/><Relationship Id="rId14" Type="http://schemas.openxmlformats.org/officeDocument/2006/relationships/hyperlink" Target="https://osf.io/kzch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811E0-05F8-4826-A92D-DD6E6533F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15</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6</cp:revision>
  <dcterms:created xsi:type="dcterms:W3CDTF">2020-06-29T14:08:00Z</dcterms:created>
  <dcterms:modified xsi:type="dcterms:W3CDTF">2020-06-30T07:28:00Z</dcterms:modified>
</cp:coreProperties>
</file>