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D19B712" w:rsidR="00012481" w:rsidRPr="00F32498" w:rsidRDefault="00654B46" w:rsidP="00012481">
      <w:pPr>
        <w:rPr>
          <w:color w:val="000000" w:themeColor="text1"/>
        </w:rPr>
      </w:pPr>
      <w:bookmarkStart w:id="2" w:name="_GoBack"/>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3"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3"/>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bookmarkEnd w:id="2"/>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bookmarkStart w:id="4"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4"/>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10C1216E"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Default="007628D7" w:rsidP="00C90C58">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5" w:name="_Hlk36108002"/>
      <w:r w:rsidRPr="00F32498">
        <w:rPr>
          <w:color w:val="000000" w:themeColor="text1"/>
        </w:rPr>
        <w:t xml:space="preserve">original Olson and Fazio (2001) post-experiment questionnaire </w:t>
      </w:r>
      <w:bookmarkEnd w:id="5"/>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6" w:name="_Hlk36108018"/>
      <w:r w:rsidRPr="00F32498">
        <w:rPr>
          <w:color w:val="000000" w:themeColor="text1"/>
        </w:rPr>
        <w:t>Bar-Anan et al. (2010) protocol</w:t>
      </w:r>
      <w:bookmarkEnd w:id="6"/>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287D61A9"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6DD7A248"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Specifically, participants were coded as “aware” if they (a) identified only one of the two CS-US pairings, (</w:t>
      </w:r>
      <w:r w:rsidR="00B704AD">
        <w:rPr>
          <w:lang w:val="en-IE" w:bidi="ar-SA"/>
        </w:rPr>
        <w:t>b</w:t>
      </w:r>
      <w:r w:rsidR="0043013D" w:rsidRPr="00567AD4">
        <w:rPr>
          <w:lang w:val="en-IE" w:bidi="ar-SA"/>
        </w:rPr>
        <w:t xml:space="preserve">)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w:t>
      </w:r>
      <w:r w:rsidR="00567AD4" w:rsidRPr="00567AD4">
        <w:rPr>
          <w:lang w:val="en-IE" w:bidi="ar-SA"/>
        </w:rPr>
        <w:lastRenderedPageBreak/>
        <w:t xml:space="preserve">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7" w:name="_Hlk34652704"/>
      <w:r w:rsidR="00921629" w:rsidRPr="00F32498">
        <w:rPr>
          <w:color w:val="000000" w:themeColor="text1"/>
          <w:highlight w:val="white"/>
        </w:rPr>
        <w:t xml:space="preserve">exclusion </w:t>
      </w:r>
      <w:bookmarkEnd w:id="7"/>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8"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8"/>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9"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9"/>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5E1660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10"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0"/>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00604B16">
        <w:rPr>
          <w:color w:val="000000" w:themeColor="text1"/>
          <w:highlight w:val="white"/>
        </w:rPr>
        <w:t xml:space="preserve">. We note that this combination of results from the multivariate moderator meta-analysis and </w:t>
      </w:r>
      <w:r w:rsidR="00604B16">
        <w:rPr>
          <w:color w:val="000000" w:themeColor="text1"/>
          <w:highlight w:val="white"/>
        </w:rPr>
        <w:lastRenderedPageBreak/>
        <w:t xml:space="preserve">the individual univariate meta analyses was not covered 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see Supplementary Online Materials – Reviewed)</w:t>
      </w:r>
      <w:r w:rsidRPr="00F32498">
        <w:rPr>
          <w:color w:val="000000" w:themeColor="text1"/>
          <w:highlight w:val="white"/>
        </w:rPr>
        <w:t>.</w:t>
      </w:r>
      <w:r w:rsidRPr="00F32498">
        <w:rPr>
          <w:color w:val="000000" w:themeColor="text1"/>
        </w:rPr>
        <w:t xml:space="preserve"> </w:t>
      </w:r>
    </w:p>
    <w:p w14:paraId="49F13011" w14:textId="5C9DE094" w:rsidR="00A53161" w:rsidRDefault="007628D7" w:rsidP="00411429">
      <w:pPr>
        <w:rPr>
          <w:color w:val="000000" w:themeColor="text1"/>
          <w:highlight w:val="white"/>
        </w:rPr>
      </w:pPr>
      <w:bookmarkStart w:id="11"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1"/>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w:t>
      </w:r>
      <w:r w:rsidRPr="00B72CB0">
        <w:rPr>
          <w:color w:val="000000" w:themeColor="text1"/>
          <w:highlight w:val="white"/>
        </w:rPr>
        <w:lastRenderedPageBreak/>
        <w:t xml:space="preserve">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2"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2"/>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lastRenderedPageBreak/>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 xml:space="preserve">or meta-analysis, given that two of the exclusion criteria (Olson &amp; Fazio, 2001 modified and Bar-Anan et al., 2010 </w:t>
      </w:r>
      <w:r w:rsidR="00666D17">
        <w:lastRenderedPageBreak/>
        <w:t>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lastRenderedPageBreak/>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3" w:name="_Hlk34653619"/>
      <w:r w:rsidR="003F5246">
        <w:t xml:space="preserve">Open Science Collaboration, </w:t>
      </w:r>
      <w:r w:rsidR="003F5246" w:rsidRPr="003F5246">
        <w:t>2015</w:t>
      </w:r>
      <w:bookmarkEnd w:id="13"/>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0473A444"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4" w:name="_Hlk37149905"/>
      <w:r w:rsidR="000D2E35">
        <w:t>HU 1978/7-1</w:t>
      </w:r>
      <w:bookmarkEnd w:id="14"/>
      <w:r w:rsidR="000D2E35">
        <w:t xml:space="preserve"> to Mandy Hütter</w:t>
      </w:r>
      <w:r w:rsidR="00861B77">
        <w:t>,</w:t>
      </w:r>
      <w:r w:rsidR="00B704AD">
        <w:t xml:space="preserve">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0"/>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60E0" w14:textId="77777777" w:rsidR="0010665D" w:rsidRDefault="0010665D" w:rsidP="00252903">
      <w:r>
        <w:separator/>
      </w:r>
    </w:p>
    <w:p w14:paraId="67A35E18" w14:textId="77777777" w:rsidR="0010665D" w:rsidRDefault="0010665D" w:rsidP="00252903"/>
  </w:endnote>
  <w:endnote w:type="continuationSeparator" w:id="0">
    <w:p w14:paraId="01EE5261" w14:textId="77777777" w:rsidR="0010665D" w:rsidRDefault="0010665D" w:rsidP="00252903">
      <w:r>
        <w:continuationSeparator/>
      </w:r>
    </w:p>
    <w:p w14:paraId="2EDB08AA" w14:textId="77777777" w:rsidR="0010665D" w:rsidRDefault="0010665D" w:rsidP="00252903"/>
  </w:endnote>
  <w:endnote w:type="continuationNotice" w:id="1">
    <w:p w14:paraId="1E2AD3DD" w14:textId="77777777" w:rsidR="0010665D" w:rsidRDefault="0010665D" w:rsidP="00252903"/>
    <w:p w14:paraId="6C0E805D" w14:textId="77777777" w:rsidR="0010665D" w:rsidRDefault="0010665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4D8C5" w14:textId="77777777" w:rsidR="0010665D" w:rsidRDefault="0010665D" w:rsidP="00252903">
      <w:r>
        <w:separator/>
      </w:r>
    </w:p>
    <w:p w14:paraId="006CDC6E" w14:textId="77777777" w:rsidR="0010665D" w:rsidRDefault="0010665D" w:rsidP="00252903"/>
  </w:footnote>
  <w:footnote w:type="continuationSeparator" w:id="0">
    <w:p w14:paraId="21572C35" w14:textId="77777777" w:rsidR="0010665D" w:rsidRDefault="0010665D" w:rsidP="00252903">
      <w:r>
        <w:continuationSeparator/>
      </w:r>
    </w:p>
    <w:p w14:paraId="2847B9C2" w14:textId="77777777" w:rsidR="0010665D" w:rsidRDefault="0010665D" w:rsidP="00252903"/>
  </w:footnote>
  <w:footnote w:type="continuationNotice" w:id="1">
    <w:p w14:paraId="4A1EF62E" w14:textId="77777777" w:rsidR="0010665D" w:rsidRDefault="0010665D" w:rsidP="00252903"/>
    <w:p w14:paraId="20D71AFB" w14:textId="77777777" w:rsidR="0010665D" w:rsidRDefault="0010665D"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1B77"/>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7CF33-6D77-47CD-9CF4-E85D2813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32</Pages>
  <Words>8741</Words>
  <Characters>49829</Characters>
  <Application>Microsoft Office Word</Application>
  <DocSecurity>0</DocSecurity>
  <Lines>415</Lines>
  <Paragraphs>116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24</cp:revision>
  <dcterms:created xsi:type="dcterms:W3CDTF">2020-03-27T09:15:00Z</dcterms:created>
  <dcterms:modified xsi:type="dcterms:W3CDTF">2020-04-07T09:16:00Z</dcterms:modified>
</cp:coreProperties>
</file>