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605B079D"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w:t>
      </w:r>
      <w:commentRangeStart w:id="0"/>
      <w:r w:rsidRPr="00F32498">
        <w:rPr>
          <w:color w:val="000000" w:themeColor="text1"/>
        </w:rPr>
        <w:t xml:space="preserve">A </w:t>
      </w:r>
      <w:ins w:id="1" w:author="Ian Hussey" w:date="2020-04-02T15:43:00Z">
        <w:r w:rsidR="00087440">
          <w:rPr>
            <w:color w:val="000000" w:themeColor="text1"/>
          </w:rPr>
          <w:t>R</w:t>
        </w:r>
      </w:ins>
      <w:del w:id="2" w:author="Ian Hussey" w:date="2020-04-02T15:43:00Z">
        <w:r w:rsidRPr="00F32498" w:rsidDel="00087440">
          <w:rPr>
            <w:color w:val="000000" w:themeColor="text1"/>
          </w:rPr>
          <w:delText>Pre</w:delText>
        </w:r>
        <w:r w:rsidR="00593649" w:rsidDel="00087440">
          <w:rPr>
            <w:color w:val="000000" w:themeColor="text1"/>
          </w:rPr>
          <w:delText>r</w:delText>
        </w:r>
      </w:del>
      <w:r w:rsidRPr="00F32498">
        <w:rPr>
          <w:color w:val="000000" w:themeColor="text1"/>
        </w:rPr>
        <w:t xml:space="preserve">egistered Replication </w:t>
      </w:r>
      <w:ins w:id="3" w:author="Ian Hussey" w:date="2020-04-02T15:43:00Z">
        <w:r w:rsidR="00087440">
          <w:rPr>
            <w:color w:val="000000" w:themeColor="text1"/>
          </w:rPr>
          <w:t xml:space="preserve">Report </w:t>
        </w:r>
        <w:commentRangeEnd w:id="0"/>
        <w:r w:rsidR="00087440">
          <w:rPr>
            <w:rStyle w:val="CommentReference"/>
          </w:rPr>
          <w:commentReference w:id="0"/>
        </w:r>
      </w:ins>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4" w:name="bookmark=id.gjdgxs" w:colFirst="0" w:colLast="0"/>
      <w:bookmarkEnd w:id="4"/>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F32498">
        <w:rPr>
          <w:color w:val="000000" w:themeColor="text1"/>
        </w:rPr>
        <w:t xml:space="preserve">Tamara </w:t>
      </w:r>
      <w:r w:rsidR="003D382D" w:rsidRPr="003D382D">
        <w:rPr>
          <w:color w:val="000000" w:themeColor="text1"/>
        </w:rPr>
        <w:t>Giménez-Fernández</w:t>
      </w:r>
      <w:r w:rsidR="00685E6F" w:rsidRPr="00F32498">
        <w:rPr>
          <w:color w:val="000000" w:themeColor="text1"/>
          <w:vertAlign w:val="superscript"/>
        </w:rPr>
        <w:t>2</w:t>
      </w:r>
      <w:r w:rsidR="00685E6F" w:rsidRPr="00F32498">
        <w:rPr>
          <w:color w:val="000000" w:themeColor="text1"/>
        </w:rPr>
        <w:t>, 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5" w:name="bookmark=id.30j0zll" w:colFirst="0" w:colLast="0"/>
      <w:bookmarkEnd w:id="5"/>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11"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12"/>
          <w:headerReference w:type="default" r:id="rId13"/>
          <w:footerReference w:type="default" r:id="rId14"/>
          <w:headerReference w:type="first" r:id="rId15"/>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621DE66F"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6"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6"/>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strong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2999A5ED"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ins w:id="7" w:author="Ian Hussey" w:date="2020-04-02T15:46:00Z">
        <w:r w:rsidR="00BB1075">
          <w:rPr>
            <w:color w:val="000000" w:themeColor="text1"/>
          </w:rPr>
          <w:t>R</w:t>
        </w:r>
      </w:ins>
      <w:del w:id="8" w:author="Ian Hussey" w:date="2020-04-02T15:46:00Z">
        <w:r w:rsidRPr="00F32498" w:rsidDel="00BB1075">
          <w:rPr>
            <w:color w:val="000000" w:themeColor="text1"/>
          </w:rPr>
          <w:delText>Pre</w:delText>
        </w:r>
        <w:r w:rsidR="00593649" w:rsidDel="00BB1075">
          <w:rPr>
            <w:color w:val="000000" w:themeColor="text1"/>
          </w:rPr>
          <w:delText>r</w:delText>
        </w:r>
      </w:del>
      <w:r w:rsidRPr="00F32498">
        <w:rPr>
          <w:color w:val="000000" w:themeColor="text1"/>
        </w:rPr>
        <w:t xml:space="preserve">egistered Replication </w:t>
      </w:r>
      <w:ins w:id="9" w:author="Ian Hussey" w:date="2020-04-02T15:46:00Z">
        <w:r w:rsidR="00BB1075">
          <w:rPr>
            <w:color w:val="000000" w:themeColor="text1"/>
          </w:rPr>
          <w:t xml:space="preserve">Report </w:t>
        </w:r>
      </w:ins>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6"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ins w:id="10" w:author="Ian Hussey" w:date="2020-04-01T13:49:00Z">
        <w:r w:rsidR="004B6AEF">
          <w:rPr>
            <w:color w:val="000000" w:themeColor="text1"/>
          </w:rPr>
          <w:t xml:space="preserve">the </w:t>
        </w:r>
      </w:ins>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7"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9"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20" w:history="1">
        <w:r w:rsidRPr="00F32498">
          <w:rPr>
            <w:rStyle w:val="Hyperlink"/>
            <w:color w:val="000000" w:themeColor="text1"/>
          </w:rPr>
          <w:t>osf.io/3hjpf</w:t>
        </w:r>
      </w:hyperlink>
      <w:r w:rsidRPr="00F32498">
        <w:rPr>
          <w:color w:val="000000" w:themeColor="text1"/>
        </w:rPr>
        <w:t xml:space="preserve">). </w:t>
      </w:r>
      <w:r w:rsidR="007628D7" w:rsidRPr="00F32498">
        <w:rPr>
          <w:color w:val="000000" w:themeColor="text1"/>
        </w:rPr>
        <w:t>All materials, data, analyses</w:t>
      </w:r>
      <w:ins w:id="11" w:author="Ian Hussey" w:date="2020-04-01T13:49:00Z">
        <w:r w:rsidR="004B6AEF">
          <w:rPr>
            <w:color w:val="000000" w:themeColor="text1"/>
          </w:rPr>
          <w:t>,</w:t>
        </w:r>
      </w:ins>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21" w:history="1">
        <w:r w:rsidR="007628D7" w:rsidRPr="00932B2A">
          <w:rPr>
            <w:rStyle w:val="Hyperlink"/>
            <w:color w:val="000000" w:themeColor="text1"/>
          </w:rPr>
          <w:t>osf.io/hs32y</w:t>
        </w:r>
      </w:hyperlink>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43F2C6F2"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del w:id="12" w:author="Ian Hussey" w:date="2020-04-01T13:59:00Z">
        <w:r w:rsidR="007628D7" w:rsidRPr="00F32498" w:rsidDel="007B2539">
          <w:rPr>
            <w:color w:val="000000" w:themeColor="text1"/>
          </w:rPr>
          <w:delText xml:space="preserve">. In each case, only native speaking participants </w:delText>
        </w:r>
        <w:r w:rsidRPr="00F32498" w:rsidDel="007B2539">
          <w:rPr>
            <w:color w:val="000000" w:themeColor="text1"/>
          </w:rPr>
          <w:delText>were</w:delText>
        </w:r>
        <w:r w:rsidR="007628D7" w:rsidRPr="00F32498" w:rsidDel="007B2539">
          <w:rPr>
            <w:color w:val="000000" w:themeColor="text1"/>
          </w:rPr>
          <w:delText xml:space="preserve"> recruited</w:delText>
        </w:r>
      </w:del>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22"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3"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4"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4C4972B4"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their native language</w:t>
      </w:r>
      <w:r w:rsidR="00235FFA">
        <w:rPr>
          <w:color w:val="000000" w:themeColor="text1"/>
        </w:rPr>
        <w:t xml:space="preserve"> </w:t>
      </w:r>
      <w:r w:rsidR="00235FFA" w:rsidRPr="00235FFA">
        <w:rPr>
          <w:color w:val="000000" w:themeColor="text1"/>
        </w:rPr>
        <w:t xml:space="preserve">(see </w:t>
      </w:r>
      <w:hyperlink r:id="rId25"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6"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63B1D50A" w14:textId="7A59E555" w:rsidR="007628D7" w:rsidRPr="00BC6C56" w:rsidRDefault="007628D7" w:rsidP="00252903">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5A74D59E" w14:textId="77777777" w:rsidR="00270DA4" w:rsidRDefault="00270DA4" w:rsidP="00252903">
      <w:pPr>
        <w:rPr>
          <w:ins w:id="13" w:author="Ian Hussey" w:date="2020-04-03T16:16:00Z"/>
          <w:i/>
          <w:color w:val="000000" w:themeColor="text1"/>
        </w:rPr>
      </w:pPr>
    </w:p>
    <w:p w14:paraId="3846C556" w14:textId="4320C00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7"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14" w:name="_Hlk36108002"/>
      <w:r w:rsidRPr="00F32498">
        <w:rPr>
          <w:color w:val="000000" w:themeColor="text1"/>
        </w:rPr>
        <w:t xml:space="preserve">original Olson and Fazio (2001) post-experiment questionnaire </w:t>
      </w:r>
      <w:bookmarkEnd w:id="14"/>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15" w:name="_Hlk36108018"/>
      <w:r w:rsidRPr="00F32498">
        <w:rPr>
          <w:color w:val="000000" w:themeColor="text1"/>
        </w:rPr>
        <w:t>Bar-Anan et al. (2010) protocol</w:t>
      </w:r>
      <w:bookmarkEnd w:id="15"/>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8">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ins w:id="16" w:author="Ian Hussey" w:date="2020-04-01T13:49:00Z">
        <w:r w:rsidR="004B6AEF">
          <w:rPr>
            <w:color w:val="000000" w:themeColor="text1"/>
          </w:rPr>
          <w:t xml:space="preserve">a </w:t>
        </w:r>
      </w:ins>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9"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30"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60004BA6"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ins w:id="17" w:author="Ian Hussey" w:date="2020-04-01T13:43:00Z">
        <w:r w:rsidR="00187DAA" w:rsidRPr="00187DAA">
          <w:rPr>
            <w:i/>
            <w:iCs/>
            <w:lang w:val="en-IE" w:bidi="ar-SA"/>
          </w:rPr>
          <w:t>Think back to the very first part of the experiment. Did you notice anything out of the ordinary in the way the words and pictures were presented during the surveillance tasks?</w:t>
        </w:r>
      </w:ins>
      <w:del w:id="18" w:author="Ian Hussey" w:date="2020-04-01T13:43:00Z">
        <w:r w:rsidR="007F3EB4" w:rsidRPr="000E0681" w:rsidDel="00187DAA">
          <w:rPr>
            <w:i/>
            <w:iCs/>
            <w:lang w:val="en-IE" w:bidi="ar-SA"/>
          </w:rPr>
          <w:delText>Did you notice anything systematic about how particular words and images appeared together during the surveillance tasks?</w:delText>
        </w:r>
      </w:del>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477E0A2A"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 xml:space="preserve">Specifically, participants were coded as “aware” if they (a) identified only one of the two CS-US pairings, (b) identified the CS-US pairings incorrectly (i.e., reversed), (c) identified that the two CS were paired with US stimuli but not specifying </w:t>
      </w:r>
      <w:r w:rsidR="0043013D" w:rsidRPr="00567AD4">
        <w:rPr>
          <w:color w:val="333333"/>
        </w:rPr>
        <w:t xml:space="preserve">the specific way in which the CSs and USs were paired. Participants were coded as “unaware” only if their answer did not contain any </w:t>
      </w:r>
      <w:r w:rsidR="0043013D" w:rsidRPr="00567AD4">
        <w:rPr>
          <w:color w:val="333333"/>
        </w:rPr>
        <w:lastRenderedPageBreak/>
        <w:t>mention of a systematic pairing between CSs and USs.</w:t>
      </w:r>
      <w:r w:rsidR="00567AD4" w:rsidRPr="00567AD4">
        <w:rPr>
          <w:color w:val="333333"/>
        </w:rPr>
        <w:t xml:space="preserve"> </w:t>
      </w:r>
      <w:r w:rsidR="00567AD4" w:rsidRPr="00567AD4">
        <w:rPr>
          <w:lang w:val="en-IE" w:bidi="ar-SA"/>
        </w:rPr>
        <w:t xml:space="preserve">In cases of 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w:t>
      </w:r>
      <w:del w:id="19" w:author="Ian Hussey" w:date="2020-04-01T13:50:00Z">
        <w:r w:rsidR="00567AD4" w:rsidRPr="00567AD4" w:rsidDel="00E63346">
          <w:rPr>
            <w:lang w:val="en-IE" w:bidi="ar-SA"/>
          </w:rPr>
          <w:delText>e</w:delText>
        </w:r>
      </w:del>
      <w:r w:rsidR="00567AD4" w:rsidRPr="00567AD4">
        <w:rPr>
          <w:lang w:val="en-IE" w:bidi="ar-SA"/>
        </w:rPr>
        <w:t>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3452C7B1" w:rsidR="00F43070" w:rsidRPr="00F32498" w:rsidRDefault="00F030C6" w:rsidP="00A50B74">
      <w:pPr>
        <w:ind w:firstLine="0"/>
        <w:rPr>
          <w:color w:val="000000" w:themeColor="text1"/>
        </w:rPr>
      </w:pPr>
      <w:ins w:id="20" w:author="Ian Hussey" w:date="2020-04-01T13:54:00Z">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31">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ins>
      <w:del w:id="21" w:author="Ian Hussey" w:date="2020-04-01T13:54:00Z">
        <w:r w:rsidR="00FE4CDA" w:rsidRPr="00F74F10" w:rsidDel="002A5EBF">
          <w:rPr>
            <w:noProof/>
            <w:color w:val="000000" w:themeColor="text1"/>
            <w:lang w:val="nl-BE" w:eastAsia="nl-BE" w:bidi="ar-SA"/>
          </w:rPr>
          <w:drawing>
            <wp:inline distT="0" distB="0" distL="0" distR="0" wp14:anchorId="1DDCB7AB" wp14:editId="34B04A42">
              <wp:extent cx="5733415" cy="4300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s.pdf"/>
                      <pic:cNvPicPr/>
                    </pic:nvPicPr>
                    <pic:blipFill>
                      <a:blip r:embed="rId32">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del>
    </w:p>
    <w:p w14:paraId="0A466CB6" w14:textId="7A51ACC3"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ins w:id="22" w:author="Ian Hussey" w:date="2020-04-01T13:54:00Z">
        <w:r w:rsidR="00F030C6">
          <w:t>a</w:t>
        </w:r>
      </w:ins>
      <w:del w:id="23" w:author="Ian Hussey" w:date="2020-04-01T13:54:00Z">
        <w:r w:rsidR="004571CB" w:rsidDel="00F030C6">
          <w:delText>on</w:delText>
        </w:r>
      </w:del>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24" w:name="_Hlk34652704"/>
      <w:r w:rsidR="00921629" w:rsidRPr="00F32498">
        <w:rPr>
          <w:color w:val="000000" w:themeColor="text1"/>
          <w:highlight w:val="white"/>
        </w:rPr>
        <w:t xml:space="preserve">exclusion </w:t>
      </w:r>
      <w:bookmarkEnd w:id="24"/>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25"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25"/>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26"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26"/>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50C5B352"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Of course, the difference between significant and non-significant is not itself significant (</w:t>
      </w:r>
      <w:bookmarkStart w:id="27"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27"/>
      <w:r w:rsidRPr="00F32498">
        <w:rPr>
          <w:color w:val="000000" w:themeColor="text1"/>
          <w:highlight w:val="white"/>
        </w:rPr>
        <w:t xml:space="preserve">): as such, it is 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ins w:id="28" w:author="Ian Hussey" w:date="2020-04-03T16:24:00Z">
        <w:r w:rsidR="00604B16">
          <w:rPr>
            <w:color w:val="000000" w:themeColor="text1"/>
            <w:highlight w:val="white"/>
          </w:rPr>
          <w:t xml:space="preserve">. We note that this combination of results from the multivariate moderator meta-analysis and </w:t>
        </w:r>
        <w:r w:rsidR="00604B16">
          <w:rPr>
            <w:color w:val="000000" w:themeColor="text1"/>
            <w:highlight w:val="white"/>
          </w:rPr>
          <w:lastRenderedPageBreak/>
          <w:t xml:space="preserve">the individual univariate meta analyses was not covered </w:t>
        </w:r>
      </w:ins>
      <w:ins w:id="29" w:author="Ian Hussey" w:date="2020-04-03T16:25:00Z">
        <w:r w:rsidR="00604B16">
          <w:rPr>
            <w:color w:val="000000" w:themeColor="text1"/>
            <w:highlight w:val="white"/>
          </w:rPr>
          <w:t xml:space="preserve">by our </w:t>
        </w:r>
        <w:r w:rsidR="001140CA">
          <w:rPr>
            <w:color w:val="000000" w:themeColor="text1"/>
            <w:highlight w:val="white"/>
          </w:rPr>
          <w:t>preregistered</w:t>
        </w:r>
        <w:r w:rsidR="00604B16">
          <w:rPr>
            <w:color w:val="000000" w:themeColor="text1"/>
            <w:highlight w:val="white"/>
          </w:rPr>
          <w:t xml:space="preserve"> plans for interpretation of results (for detailed discussion s</w:t>
        </w:r>
      </w:ins>
      <w:ins w:id="30" w:author="Ian Hussey" w:date="2020-04-03T16:22:00Z">
        <w:r w:rsidR="00604B16">
          <w:rPr>
            <w:color w:val="000000" w:themeColor="text1"/>
            <w:highlight w:val="white"/>
          </w:rPr>
          <w:t>ee Supplementary Online Materials – Reviewed)</w:t>
        </w:r>
      </w:ins>
      <w:r w:rsidRPr="00F32498">
        <w:rPr>
          <w:color w:val="000000" w:themeColor="text1"/>
          <w:highlight w:val="white"/>
        </w:rPr>
        <w:t>.</w:t>
      </w:r>
      <w:r w:rsidRPr="00F32498">
        <w:rPr>
          <w:color w:val="000000" w:themeColor="text1"/>
        </w:rPr>
        <w:t xml:space="preserve"> </w:t>
      </w:r>
      <w:bookmarkStart w:id="31" w:name="_GoBack"/>
      <w:bookmarkEnd w:id="31"/>
    </w:p>
    <w:p w14:paraId="49F13011" w14:textId="669EF5E8" w:rsidR="00A53161" w:rsidRDefault="007628D7" w:rsidP="00411429">
      <w:pPr>
        <w:rPr>
          <w:color w:val="000000" w:themeColor="text1"/>
          <w:highlight w:val="white"/>
        </w:rPr>
      </w:pPr>
      <w:bookmarkStart w:id="32"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32"/>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commentRangeStart w:id="33"/>
      <w:r w:rsidR="00A53161" w:rsidRPr="00E22145">
        <w:t xml:space="preserve">Note </w:t>
      </w:r>
      <w:r w:rsidR="00B9463E">
        <w:t xml:space="preserve">however </w:t>
      </w:r>
      <w:r w:rsidR="00A53161" w:rsidRPr="00E22145">
        <w:t xml:space="preserve">that the results obtained from such a comparison should be interpreted with extreme caution. </w:t>
      </w:r>
      <w:moveFromRangeStart w:id="34" w:author="Ian Hussey" w:date="2020-04-01T14:05:00Z" w:name="move36642373"/>
      <w:moveFrom w:id="35" w:author="Ian Hussey" w:date="2020-04-01T14:05:00Z">
        <w:r w:rsidR="00A53161" w:rsidRPr="00E22145" w:rsidDel="00345915">
          <w:t>First, any attempt to detect differences in EC effects between putatively ‘aware’ and ‘unaware’ participants will ultimately depend on the reliability of the awareness measure used, and of the EC procedure itself</w:t>
        </w:r>
        <w:r w:rsidR="00B67751" w:rsidDel="00345915">
          <w:t xml:space="preserve"> (Shanks, 2017)</w:t>
        </w:r>
        <w:r w:rsidR="00A53161" w:rsidRPr="00E22145" w:rsidDel="00345915">
          <w:t>. Previous evidence suggests that unconscious learning paradigms and awareness tests tend to yield unreliable measures (e.g., Vadillo</w:t>
        </w:r>
        <w:r w:rsidR="00A53161" w:rsidDel="00345915">
          <w:t xml:space="preserve"> et al.</w:t>
        </w:r>
        <w:r w:rsidR="00A53161" w:rsidRPr="00E22145" w:rsidDel="00345915">
          <w:t xml:space="preserve">, </w:t>
        </w:r>
        <w:r w:rsidR="00A53161" w:rsidDel="00345915">
          <w:t>2020</w:t>
        </w:r>
        <w:r w:rsidR="00A53161" w:rsidRPr="00E22145" w:rsidDel="00345915">
          <w:t xml:space="preserve">). Second, </w:t>
        </w:r>
      </w:moveFrom>
      <w:moveFromRangeEnd w:id="34"/>
      <w:ins w:id="36" w:author="Ian Hussey" w:date="2020-04-01T14:05:00Z">
        <w:r w:rsidR="00345915">
          <w:t xml:space="preserve">Previous research has argued that </w:t>
        </w:r>
      </w:ins>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commentRangeEnd w:id="33"/>
      <w:r w:rsidR="00345915">
        <w:rPr>
          <w:rStyle w:val="CommentReference"/>
        </w:rPr>
        <w:commentReference w:id="33"/>
      </w:r>
      <w:ins w:id="37" w:author="Ian Hussey" w:date="2020-04-01T14:05:00Z">
        <w:r w:rsidR="00345915">
          <w:t xml:space="preserve"> </w:t>
        </w:r>
      </w:ins>
      <w:ins w:id="38" w:author="Ian Hussey" w:date="2020-04-01T14:06:00Z">
        <w:r w:rsidR="00345915">
          <w:t xml:space="preserve">More broadly, caution </w:t>
        </w:r>
      </w:ins>
      <w:ins w:id="39" w:author="Ian Hussey" w:date="2020-04-01T14:07:00Z">
        <w:r w:rsidR="00345915">
          <w:t>is warranted in the interpretation of all analyses, given that</w:t>
        </w:r>
      </w:ins>
      <w:moveToRangeStart w:id="40" w:author="Ian Hussey" w:date="2020-04-01T14:05:00Z" w:name="move36642373"/>
      <w:moveTo w:id="41" w:author="Ian Hussey" w:date="2020-04-01T14:05:00Z">
        <w:del w:id="42" w:author="Ian Hussey" w:date="2020-04-01T14:06:00Z">
          <w:r w:rsidR="00345915" w:rsidRPr="00E22145" w:rsidDel="00345915">
            <w:delText>First,</w:delText>
          </w:r>
        </w:del>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moveTo>
      <w:moveToRangeEnd w:id="40"/>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w:t>
      </w:r>
      <w:r w:rsidRPr="00B72CB0">
        <w:rPr>
          <w:color w:val="000000" w:themeColor="text1"/>
          <w:highlight w:val="white"/>
        </w:rPr>
        <w:lastRenderedPageBreak/>
        <w:t xml:space="preserve">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43"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43"/>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lastRenderedPageBreak/>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 xml:space="preserve">or meta-analysis, given that two of the exclusion criteria (Olson &amp; Fazio, 2001 modified and Bar-Anan et al., 2010 </w:t>
      </w:r>
      <w:r w:rsidR="00666D17">
        <w:lastRenderedPageBreak/>
        <w:t>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6F48545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Pr="00F32498">
        <w:rPr>
          <w:color w:val="000000" w:themeColor="text1"/>
        </w:rPr>
        <w:t xml:space="preserve">fed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0756903A"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it is worth noting that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 xml:space="preserve">make a </w:t>
      </w:r>
      <w:r w:rsidR="00952BA5">
        <w:rPr>
          <w:color w:val="000000" w:themeColor="text1"/>
        </w:rPr>
        <w:lastRenderedPageBreak/>
        <w:t>global interpretation of</w:t>
      </w:r>
      <w:r w:rsidR="00FB1E77">
        <w:rPr>
          <w:color w:val="000000" w:themeColor="text1"/>
        </w:rPr>
        <w:t xml:space="preserve"> </w:t>
      </w:r>
      <w:r w:rsidR="001A0EB2">
        <w:rPr>
          <w:color w:val="000000" w:themeColor="text1"/>
        </w:rPr>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44" w:name="_Hlk34653619"/>
      <w:r w:rsidR="003F5246">
        <w:t xml:space="preserve">Open Science Collaboration, </w:t>
      </w:r>
      <w:r w:rsidR="003F5246" w:rsidRPr="003F5246">
        <w:t>2015</w:t>
      </w:r>
      <w:bookmarkEnd w:id="44"/>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578681DE" w:rsidR="006E596B" w:rsidRDefault="006E596B" w:rsidP="006E596B">
      <w:pPr>
        <w:pStyle w:val="AN"/>
      </w:pPr>
      <w:r w:rsidRPr="004071C9">
        <w:t xml:space="preserve">This research was conducted with the support of </w:t>
      </w:r>
      <w:ins w:id="45" w:author="Ian Hussey" w:date="2020-04-01T14:00:00Z">
        <w:r w:rsidR="00DD23E6">
          <w:t xml:space="preserve">the following grants: </w:t>
        </w:r>
      </w:ins>
      <w:r w:rsidRPr="004071C9">
        <w:t xml:space="preserve">FWO </w:t>
      </w:r>
      <w:ins w:id="46" w:author="Ian Hussey" w:date="2020-04-01T14:01:00Z">
        <w:r w:rsidR="00DD23E6">
          <w:t>g</w:t>
        </w:r>
      </w:ins>
      <w:del w:id="47" w:author="Ian Hussey" w:date="2020-04-01T14:01:00Z">
        <w:r w:rsidRPr="004071C9" w:rsidDel="00DD23E6">
          <w:delText>G</w:delText>
        </w:r>
      </w:del>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ins w:id="48" w:author="Ian Hussey" w:date="2020-04-01T14:01:00Z">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ins>
      <w:ins w:id="49" w:author="Ian Hussey" w:date="2020-04-01T13:45:00Z">
        <w:r w:rsidR="004071C9" w:rsidRPr="004071C9">
          <w:t xml:space="preserve">grants </w:t>
        </w:r>
      </w:ins>
      <w:ins w:id="50" w:author="Ian Hussey" w:date="2020-04-01T13:44:00Z">
        <w:r w:rsidR="006930F4" w:rsidRPr="004071C9">
          <w:t>PSI2017-85159-P (AEI / FEDER, UE) and 2016-T1/SOC-1395</w:t>
        </w:r>
      </w:ins>
      <w:ins w:id="51" w:author="Ian Hussey" w:date="2020-04-01T13:45:00Z">
        <w:r w:rsidR="004071C9" w:rsidRPr="004071C9">
          <w:t xml:space="preserve"> to Miguel Va</w:t>
        </w:r>
        <w:r w:rsidR="004071C9" w:rsidRPr="00640281">
          <w:t>dillo</w:t>
        </w:r>
      </w:ins>
      <w:ins w:id="52" w:author="Ian Hussey" w:date="2020-04-01T14:00:00Z">
        <w:r w:rsidR="00DD23E6">
          <w:t xml:space="preserve">, </w:t>
        </w:r>
      </w:ins>
      <w:ins w:id="53" w:author="Ian Hussey" w:date="2020-04-01T14:02:00Z">
        <w:r w:rsidR="00DD23E6">
          <w:t xml:space="preserve">and </w:t>
        </w:r>
      </w:ins>
      <w:ins w:id="54" w:author="Ian Hussey" w:date="2020-04-01T14:00:00Z">
        <w:r w:rsidR="00DD23E6" w:rsidRPr="00DD23E6">
          <w:t>FRS-FNRS grant T.0061.18 to Olivier Corneille.</w:t>
        </w:r>
      </w:ins>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33">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4"/>
      <w:pgSz w:w="11909" w:h="16834"/>
      <w:pgMar w:top="1440" w:right="1440" w:bottom="1440" w:left="1440" w:header="533"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4-02T15:43:00Z" w:initials="IH">
    <w:p w14:paraId="1F3FFD09" w14:textId="61FA51C2" w:rsidR="00087440" w:rsidRDefault="00087440">
      <w:pPr>
        <w:pStyle w:val="CommentText"/>
      </w:pPr>
      <w:r>
        <w:rPr>
          <w:rStyle w:val="CommentReference"/>
        </w:rPr>
        <w:annotationRef/>
      </w:r>
      <w:r>
        <w:t>I know its late in the game, but could I suggest changing the title from preregistered replication to a Registered Replication Report? The latter phrase a) carries more weight as it was reviewed prior to data collection, and b) twitter has shown me several times that people often ask for ‘complete lists of all the RRRs conducted to date’ so they can cite them. Given that we’ve done a RRR, I think we should be explicit to the reader that it is one – and reap the extra citations for it.</w:t>
      </w:r>
    </w:p>
  </w:comment>
  <w:comment w:id="33" w:author="Ian Hussey" w:date="2020-04-01T14:04:00Z" w:initials="IH">
    <w:p w14:paraId="530B6060" w14:textId="579727CD" w:rsidR="00345915" w:rsidRDefault="00345915">
      <w:pPr>
        <w:pStyle w:val="CommentText"/>
      </w:pPr>
      <w:r>
        <w:rPr>
          <w:rStyle w:val="CommentReference"/>
        </w:rPr>
        <w:annotationRef/>
      </w:r>
      <w:r>
        <w:t xml:space="preserve">Stahl raises the point that the first point here applies to all the analyses. He has a point. Maybe we should move this point to the end of the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FFD09" w15:done="0"/>
  <w15:commentEx w15:paraId="530B60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FFD09" w16cid:durableId="223086AF"/>
  <w16cid:commentId w16cid:paraId="530B6060" w16cid:durableId="222F1D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6D152" w14:textId="77777777" w:rsidR="00282F6D" w:rsidRDefault="00282F6D" w:rsidP="00252903">
      <w:r>
        <w:separator/>
      </w:r>
    </w:p>
    <w:p w14:paraId="0D891B32" w14:textId="77777777" w:rsidR="00282F6D" w:rsidRDefault="00282F6D" w:rsidP="00252903"/>
  </w:endnote>
  <w:endnote w:type="continuationSeparator" w:id="0">
    <w:p w14:paraId="71A0CADD" w14:textId="77777777" w:rsidR="00282F6D" w:rsidRDefault="00282F6D" w:rsidP="00252903">
      <w:r>
        <w:continuationSeparator/>
      </w:r>
    </w:p>
    <w:p w14:paraId="40938356" w14:textId="77777777" w:rsidR="00282F6D" w:rsidRDefault="00282F6D" w:rsidP="00252903"/>
  </w:endnote>
  <w:endnote w:type="continuationNotice" w:id="1">
    <w:p w14:paraId="1C3A4FBD" w14:textId="77777777" w:rsidR="00282F6D" w:rsidRDefault="00282F6D" w:rsidP="00252903"/>
    <w:p w14:paraId="0411B7A4" w14:textId="77777777" w:rsidR="00282F6D" w:rsidRDefault="00282F6D"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A2ABF" w14:textId="77777777" w:rsidR="00282F6D" w:rsidRDefault="00282F6D" w:rsidP="00252903">
      <w:r>
        <w:separator/>
      </w:r>
    </w:p>
    <w:p w14:paraId="2D06AF50" w14:textId="77777777" w:rsidR="00282F6D" w:rsidRDefault="00282F6D" w:rsidP="00252903"/>
  </w:footnote>
  <w:footnote w:type="continuationSeparator" w:id="0">
    <w:p w14:paraId="7CE19ACB" w14:textId="77777777" w:rsidR="00282F6D" w:rsidRDefault="00282F6D" w:rsidP="00252903">
      <w:r>
        <w:continuationSeparator/>
      </w:r>
    </w:p>
    <w:p w14:paraId="75FC63A4" w14:textId="77777777" w:rsidR="00282F6D" w:rsidRDefault="00282F6D" w:rsidP="00252903"/>
  </w:footnote>
  <w:footnote w:type="continuationNotice" w:id="1">
    <w:p w14:paraId="5E8E074D" w14:textId="77777777" w:rsidR="00282F6D" w:rsidRDefault="00282F6D" w:rsidP="00252903"/>
    <w:p w14:paraId="09BB0299" w14:textId="77777777" w:rsidR="00282F6D" w:rsidRDefault="00282F6D"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43EE"/>
    <w:rsid w:val="000E0681"/>
    <w:rsid w:val="000E437F"/>
    <w:rsid w:val="000E4CB2"/>
    <w:rsid w:val="000F3CF7"/>
    <w:rsid w:val="000F52C8"/>
    <w:rsid w:val="00101D5C"/>
    <w:rsid w:val="0010727C"/>
    <w:rsid w:val="00110330"/>
    <w:rsid w:val="00110A88"/>
    <w:rsid w:val="001134B2"/>
    <w:rsid w:val="001140CA"/>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2903"/>
    <w:rsid w:val="00252A11"/>
    <w:rsid w:val="00256670"/>
    <w:rsid w:val="00260726"/>
    <w:rsid w:val="00260D00"/>
    <w:rsid w:val="002622A9"/>
    <w:rsid w:val="002672F7"/>
    <w:rsid w:val="00270DA4"/>
    <w:rsid w:val="00280272"/>
    <w:rsid w:val="002826FF"/>
    <w:rsid w:val="00282F6D"/>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861CF"/>
    <w:rsid w:val="00490406"/>
    <w:rsid w:val="0049435B"/>
    <w:rsid w:val="00494814"/>
    <w:rsid w:val="0049728A"/>
    <w:rsid w:val="00497E0C"/>
    <w:rsid w:val="004A1463"/>
    <w:rsid w:val="004A4516"/>
    <w:rsid w:val="004A7D6A"/>
    <w:rsid w:val="004B033A"/>
    <w:rsid w:val="004B099E"/>
    <w:rsid w:val="004B5E99"/>
    <w:rsid w:val="004B6AEF"/>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C8F"/>
    <w:rsid w:val="005F286B"/>
    <w:rsid w:val="005F70DA"/>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3F05"/>
    <w:rsid w:val="00B73F85"/>
    <w:rsid w:val="00B74CFF"/>
    <w:rsid w:val="00B76294"/>
    <w:rsid w:val="00B86D4D"/>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hyperlink" Target="https://osf.io/wnckg/" TargetMode="External"/><Relationship Id="rId21" Type="http://schemas.openxmlformats.org/officeDocument/2006/relationships/hyperlink" Target="https://osf.io/hs32y/"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osf.io/4mh2d/" TargetMode="External"/><Relationship Id="rId25" Type="http://schemas.openxmlformats.org/officeDocument/2006/relationships/hyperlink" Target="https://osf.io/6n4fv/" TargetMode="External"/><Relationship Id="rId33" Type="http://schemas.openxmlformats.org/officeDocument/2006/relationships/hyperlink" Target="https://doi.org/10.1177/1088868318763261" TargetMode="External"/><Relationship Id="rId2" Type="http://schemas.openxmlformats.org/officeDocument/2006/relationships/numbering" Target="numbering.xml"/><Relationship Id="rId16" Type="http://schemas.openxmlformats.org/officeDocument/2006/relationships/hyperlink" Target="https://www.sciencedirect.com/science/article/pii/S0887618508001163" TargetMode="External"/><Relationship Id="rId20" Type="http://schemas.openxmlformats.org/officeDocument/2006/relationships/hyperlink" Target="https://osf.io/3hjpf" TargetMode="External"/><Relationship Id="rId29" Type="http://schemas.openxmlformats.org/officeDocument/2006/relationships/hyperlink" Target="https://osf.io/2dm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022103117308685" TargetMode="External"/><Relationship Id="rId24" Type="http://schemas.openxmlformats.org/officeDocument/2006/relationships/hyperlink" Target="https://osf.io/a3qj9/" TargetMode="External"/><Relationship Id="rId32" Type="http://schemas.openxmlformats.org/officeDocument/2006/relationships/image" Target="media/image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osf.io/4ecx5/" TargetMode="External"/><Relationship Id="rId28" Type="http://schemas.openxmlformats.org/officeDocument/2006/relationships/hyperlink" Target="https://www.tandfonline.com/doi/full/10.1080/02699930903485076"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osf.io/wnckg/" TargetMode="External"/><Relationship Id="rId31" Type="http://schemas.openxmlformats.org/officeDocument/2006/relationships/image" Target="media/image2.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hyperlink" Target="https://osf.io/uyng7" TargetMode="External"/><Relationship Id="rId27" Type="http://schemas.openxmlformats.org/officeDocument/2006/relationships/hyperlink" Target="https://osf.io/k9nrf/" TargetMode="External"/><Relationship Id="rId30" Type="http://schemas.openxmlformats.org/officeDocument/2006/relationships/hyperlink" Target="https://osf.io/k9nrf/"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C83DD-6850-D14F-91FD-2E57EC07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32</Pages>
  <Words>8812</Words>
  <Characters>50233</Characters>
  <Application>Microsoft Office Word</Application>
  <DocSecurity>0</DocSecurity>
  <Lines>418</Lines>
  <Paragraphs>117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Ian Hussey</cp:lastModifiedBy>
  <cp:revision>16</cp:revision>
  <dcterms:created xsi:type="dcterms:W3CDTF">2020-03-27T09:15:00Z</dcterms:created>
  <dcterms:modified xsi:type="dcterms:W3CDTF">2020-04-03T14:25:00Z</dcterms:modified>
</cp:coreProperties>
</file>