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3AA3" w14:textId="77777777" w:rsidR="001137BE" w:rsidRDefault="001137BE" w:rsidP="001137BE">
      <w:pPr>
        <w:ind w:firstLine="0"/>
      </w:pPr>
    </w:p>
    <w:p w14:paraId="64AE30D1" w14:textId="77777777" w:rsidR="001137BE" w:rsidRPr="00AC4A92" w:rsidRDefault="001137BE" w:rsidP="001137BE">
      <w:pPr>
        <w:pStyle w:val="figureandtabletitle"/>
        <w:rPr>
          <w:highlight w:val="cyan"/>
        </w:rPr>
      </w:pPr>
      <w:r w:rsidRPr="00AC4A92">
        <w:rPr>
          <w:b/>
          <w:bCs/>
          <w:highlight w:val="cyan"/>
        </w:rPr>
        <w:t>Table 2.</w:t>
      </w:r>
      <w:r w:rsidRPr="00AC4A92">
        <w:rPr>
          <w:highlight w:val="cyan"/>
        </w:rPr>
        <w:t xml:space="preserve"> Independent Welch’s </w:t>
      </w:r>
      <w:r w:rsidRPr="00AC4A92">
        <w:rPr>
          <w:i/>
          <w:iCs/>
          <w:highlight w:val="cyan"/>
        </w:rPr>
        <w:t>t</w:t>
      </w:r>
      <w:r w:rsidRPr="00AC4A92">
        <w:rPr>
          <w:highlight w:val="cyan"/>
        </w:rPr>
        <w:t xml:space="preserve">-tests comparing the hierarchical and distinction conditions at the post intervention time point. Adjusted </w:t>
      </w:r>
      <w:r w:rsidRPr="00AC4A92">
        <w:rPr>
          <w:i/>
          <w:iCs/>
          <w:highlight w:val="cyan"/>
        </w:rPr>
        <w:t>p</w:t>
      </w:r>
      <w:r w:rsidRPr="00AC4A92">
        <w:rPr>
          <w:highlight w:val="cyan"/>
        </w:rPr>
        <w:t xml:space="preserve"> values using Holm corrections. </w:t>
      </w:r>
    </w:p>
    <w:p w14:paraId="0993A536" w14:textId="77777777" w:rsidR="001137BE" w:rsidRPr="00AC4A92" w:rsidRDefault="001137BE" w:rsidP="001137BE">
      <w:pPr>
        <w:rPr>
          <w:highlight w:val="cyan"/>
        </w:rPr>
      </w:pPr>
    </w:p>
    <w:tbl>
      <w:tblPr>
        <w:tblW w:w="819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996"/>
        <w:gridCol w:w="541"/>
        <w:gridCol w:w="542"/>
        <w:gridCol w:w="261"/>
        <w:gridCol w:w="450"/>
        <w:gridCol w:w="450"/>
        <w:gridCol w:w="270"/>
        <w:gridCol w:w="900"/>
        <w:gridCol w:w="630"/>
        <w:gridCol w:w="630"/>
        <w:gridCol w:w="450"/>
        <w:gridCol w:w="630"/>
      </w:tblGrid>
      <w:tr w:rsidR="001137BE" w:rsidRPr="00AC4A92" w14:paraId="1AFA9552" w14:textId="77777777" w:rsidTr="002D69CC">
        <w:trPr>
          <w:trHeight w:val="245"/>
          <w:tblHeader/>
          <w:jc w:val="center"/>
        </w:trPr>
        <w:tc>
          <w:tcPr>
            <w:tcW w:w="1440" w:type="dxa"/>
            <w:shd w:val="clear" w:color="auto" w:fill="FFFFFF"/>
          </w:tcPr>
          <w:p w14:paraId="0035AF96" w14:textId="77777777" w:rsidR="001137BE" w:rsidRPr="00AC4A92" w:rsidRDefault="001137BE" w:rsidP="002D69CC">
            <w:pPr>
              <w:pStyle w:val="table"/>
              <w:jc w:val="left"/>
              <w:rPr>
                <w:highlight w:val="cyan"/>
              </w:rPr>
            </w:pPr>
          </w:p>
        </w:tc>
        <w:tc>
          <w:tcPr>
            <w:tcW w:w="996" w:type="dxa"/>
            <w:shd w:val="clear" w:color="auto" w:fill="FFFFFF"/>
            <w:tcMar>
              <w:top w:w="0" w:type="dxa"/>
              <w:left w:w="75" w:type="dxa"/>
              <w:bottom w:w="0" w:type="dxa"/>
              <w:right w:w="75" w:type="dxa"/>
            </w:tcMar>
            <w:vAlign w:val="center"/>
          </w:tcPr>
          <w:p w14:paraId="269DABFD" w14:textId="77777777" w:rsidR="001137BE" w:rsidRPr="00AC4A92" w:rsidRDefault="001137BE" w:rsidP="002D69CC">
            <w:pPr>
              <w:pStyle w:val="table"/>
              <w:jc w:val="left"/>
              <w:rPr>
                <w:highlight w:val="cyan"/>
              </w:rPr>
            </w:pPr>
          </w:p>
        </w:tc>
        <w:tc>
          <w:tcPr>
            <w:tcW w:w="1344" w:type="dxa"/>
            <w:gridSpan w:val="3"/>
            <w:tcBorders>
              <w:bottom w:val="single" w:sz="4" w:space="0" w:color="auto"/>
            </w:tcBorders>
            <w:shd w:val="clear" w:color="auto" w:fill="FFFFFF"/>
            <w:vAlign w:val="center"/>
          </w:tcPr>
          <w:p w14:paraId="09DBDFFB" w14:textId="77777777" w:rsidR="001137BE" w:rsidRPr="00AC4A92" w:rsidRDefault="001137BE" w:rsidP="002D69CC">
            <w:pPr>
              <w:pStyle w:val="table"/>
              <w:jc w:val="center"/>
              <w:rPr>
                <w:highlight w:val="cyan"/>
              </w:rPr>
            </w:pPr>
            <w:r w:rsidRPr="00AC4A92">
              <w:rPr>
                <w:highlight w:val="cyan"/>
              </w:rPr>
              <w:t>Distinction</w:t>
            </w:r>
          </w:p>
        </w:tc>
        <w:tc>
          <w:tcPr>
            <w:tcW w:w="1170" w:type="dxa"/>
            <w:gridSpan w:val="3"/>
            <w:tcBorders>
              <w:bottom w:val="single" w:sz="4" w:space="0" w:color="auto"/>
            </w:tcBorders>
            <w:shd w:val="clear" w:color="auto" w:fill="FFFFFF"/>
            <w:vAlign w:val="center"/>
          </w:tcPr>
          <w:p w14:paraId="532C6498" w14:textId="77777777" w:rsidR="001137BE" w:rsidRPr="00AC4A92" w:rsidRDefault="001137BE" w:rsidP="002D69CC">
            <w:pPr>
              <w:pStyle w:val="table"/>
              <w:jc w:val="center"/>
              <w:rPr>
                <w:highlight w:val="cyan"/>
              </w:rPr>
            </w:pPr>
            <w:r w:rsidRPr="00AC4A92">
              <w:rPr>
                <w:highlight w:val="cyan"/>
              </w:rPr>
              <w:t>Hierarchy</w:t>
            </w:r>
          </w:p>
        </w:tc>
        <w:tc>
          <w:tcPr>
            <w:tcW w:w="900" w:type="dxa"/>
            <w:shd w:val="clear" w:color="auto" w:fill="FFFFFF"/>
            <w:tcMar>
              <w:top w:w="0" w:type="dxa"/>
              <w:left w:w="75" w:type="dxa"/>
              <w:bottom w:w="0" w:type="dxa"/>
              <w:right w:w="75" w:type="dxa"/>
            </w:tcMar>
            <w:vAlign w:val="center"/>
          </w:tcPr>
          <w:p w14:paraId="691BEED6" w14:textId="77777777" w:rsidR="001137BE" w:rsidRPr="00AC4A92" w:rsidRDefault="001137BE" w:rsidP="002D69CC">
            <w:pPr>
              <w:pStyle w:val="table"/>
              <w:jc w:val="center"/>
              <w:rPr>
                <w:highlight w:val="cyan"/>
              </w:rP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FA67CDA" w14:textId="77777777" w:rsidR="001137BE" w:rsidRPr="00AC4A92" w:rsidRDefault="001137BE" w:rsidP="002D69CC">
            <w:pPr>
              <w:pStyle w:val="table"/>
              <w:jc w:val="center"/>
              <w:rPr>
                <w:highlight w:val="cyan"/>
              </w:rPr>
            </w:pPr>
            <w:r w:rsidRPr="00AC4A92">
              <w:rPr>
                <w:highlight w:val="cyan"/>
              </w:rPr>
              <w:t>95% CI</w:t>
            </w:r>
          </w:p>
        </w:tc>
        <w:tc>
          <w:tcPr>
            <w:tcW w:w="450" w:type="dxa"/>
            <w:shd w:val="clear" w:color="auto" w:fill="FFFFFF"/>
            <w:tcMar>
              <w:top w:w="0" w:type="dxa"/>
              <w:left w:w="75" w:type="dxa"/>
              <w:bottom w:w="0" w:type="dxa"/>
              <w:right w:w="75" w:type="dxa"/>
            </w:tcMar>
            <w:vAlign w:val="center"/>
          </w:tcPr>
          <w:p w14:paraId="6110B3B9" w14:textId="77777777" w:rsidR="001137BE" w:rsidRPr="00AC4A92" w:rsidRDefault="001137BE" w:rsidP="002D69CC">
            <w:pPr>
              <w:pStyle w:val="table"/>
              <w:jc w:val="center"/>
              <w:rPr>
                <w:highlight w:val="cyan"/>
              </w:rPr>
            </w:pPr>
          </w:p>
        </w:tc>
        <w:tc>
          <w:tcPr>
            <w:tcW w:w="630" w:type="dxa"/>
            <w:shd w:val="clear" w:color="auto" w:fill="FFFFFF"/>
            <w:tcMar>
              <w:top w:w="0" w:type="dxa"/>
              <w:left w:w="75" w:type="dxa"/>
              <w:bottom w:w="0" w:type="dxa"/>
              <w:right w:w="75" w:type="dxa"/>
            </w:tcMar>
            <w:vAlign w:val="center"/>
          </w:tcPr>
          <w:p w14:paraId="58CBBC10" w14:textId="77777777" w:rsidR="001137BE" w:rsidRPr="00AC4A92" w:rsidRDefault="001137BE" w:rsidP="002D69CC">
            <w:pPr>
              <w:pStyle w:val="table"/>
              <w:jc w:val="center"/>
              <w:rPr>
                <w:highlight w:val="cyan"/>
              </w:rPr>
            </w:pPr>
          </w:p>
        </w:tc>
      </w:tr>
      <w:tr w:rsidR="001137BE" w:rsidRPr="00AC4A92" w14:paraId="14FBCD17" w14:textId="77777777" w:rsidTr="002D69CC">
        <w:trPr>
          <w:trHeight w:val="245"/>
          <w:tblHeader/>
          <w:jc w:val="center"/>
        </w:trPr>
        <w:tc>
          <w:tcPr>
            <w:tcW w:w="1440" w:type="dxa"/>
            <w:tcBorders>
              <w:bottom w:val="single" w:sz="4" w:space="0" w:color="auto"/>
            </w:tcBorders>
            <w:shd w:val="clear" w:color="auto" w:fill="FFFFFF"/>
          </w:tcPr>
          <w:p w14:paraId="1A3F26A9" w14:textId="77777777" w:rsidR="001137BE" w:rsidRPr="00AC4A92" w:rsidRDefault="001137BE" w:rsidP="002D69CC">
            <w:pPr>
              <w:pStyle w:val="table"/>
              <w:jc w:val="left"/>
              <w:rPr>
                <w:highlight w:val="cyan"/>
              </w:rPr>
            </w:pPr>
            <w:r w:rsidRPr="00AC4A92">
              <w:rPr>
                <w:highlight w:val="cyan"/>
              </w:rPr>
              <w:t>Study</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03BAD9E5" w14:textId="77777777" w:rsidR="001137BE" w:rsidRPr="00AC4A92" w:rsidRDefault="001137BE" w:rsidP="002D69CC">
            <w:pPr>
              <w:pStyle w:val="table"/>
              <w:jc w:val="left"/>
              <w:rPr>
                <w:highlight w:val="cyan"/>
              </w:rPr>
            </w:pPr>
            <w:r w:rsidRPr="00AC4A92">
              <w:rPr>
                <w:highlight w:val="cyan"/>
              </w:rPr>
              <w:t>Outcome</w:t>
            </w:r>
          </w:p>
        </w:tc>
        <w:tc>
          <w:tcPr>
            <w:tcW w:w="541" w:type="dxa"/>
            <w:tcBorders>
              <w:top w:val="single" w:sz="4" w:space="0" w:color="auto"/>
              <w:bottom w:val="single" w:sz="4" w:space="0" w:color="auto"/>
            </w:tcBorders>
            <w:shd w:val="clear" w:color="auto" w:fill="FFFFFF"/>
            <w:vAlign w:val="center"/>
          </w:tcPr>
          <w:p w14:paraId="3245D805" w14:textId="77777777" w:rsidR="001137BE" w:rsidRPr="00AC4A92" w:rsidRDefault="001137BE" w:rsidP="002D69CC">
            <w:pPr>
              <w:pStyle w:val="table"/>
              <w:jc w:val="center"/>
              <w:rPr>
                <w:i/>
                <w:iCs/>
                <w:highlight w:val="cyan"/>
              </w:rPr>
            </w:pPr>
            <w:r w:rsidRPr="00AC4A92">
              <w:rPr>
                <w:i/>
                <w:iCs/>
                <w:highlight w:val="cyan"/>
              </w:rPr>
              <w:t>M</w:t>
            </w:r>
          </w:p>
        </w:tc>
        <w:tc>
          <w:tcPr>
            <w:tcW w:w="542" w:type="dxa"/>
            <w:tcBorders>
              <w:top w:val="single" w:sz="4" w:space="0" w:color="auto"/>
              <w:bottom w:val="single" w:sz="4" w:space="0" w:color="auto"/>
            </w:tcBorders>
            <w:shd w:val="clear" w:color="auto" w:fill="FFFFFF"/>
            <w:vAlign w:val="center"/>
          </w:tcPr>
          <w:p w14:paraId="3C7D09A3" w14:textId="77777777" w:rsidR="001137BE" w:rsidRPr="00AC4A92" w:rsidRDefault="001137BE" w:rsidP="002D69CC">
            <w:pPr>
              <w:pStyle w:val="table"/>
              <w:jc w:val="center"/>
              <w:rPr>
                <w:i/>
                <w:iCs/>
                <w:highlight w:val="cyan"/>
              </w:rPr>
            </w:pPr>
            <w:r w:rsidRPr="00AC4A92">
              <w:rPr>
                <w:i/>
                <w:iCs/>
                <w:highlight w:val="cyan"/>
              </w:rPr>
              <w:t>SD</w:t>
            </w:r>
          </w:p>
        </w:tc>
        <w:tc>
          <w:tcPr>
            <w:tcW w:w="261" w:type="dxa"/>
            <w:tcBorders>
              <w:top w:val="single" w:sz="4" w:space="0" w:color="auto"/>
              <w:bottom w:val="single" w:sz="4" w:space="0" w:color="auto"/>
            </w:tcBorders>
            <w:shd w:val="clear" w:color="auto" w:fill="FFFFFF"/>
            <w:vAlign w:val="center"/>
          </w:tcPr>
          <w:p w14:paraId="23E7998B" w14:textId="77777777" w:rsidR="001137BE" w:rsidRPr="00AC4A92" w:rsidRDefault="001137BE" w:rsidP="002D69CC">
            <w:pPr>
              <w:pStyle w:val="table"/>
              <w:jc w:val="center"/>
              <w:rPr>
                <w:i/>
                <w:iCs/>
                <w:highlight w:val="cyan"/>
              </w:rPr>
            </w:pPr>
            <w:r w:rsidRPr="00AC4A92">
              <w:rPr>
                <w:i/>
                <w:iCs/>
                <w:highlight w:val="cyan"/>
              </w:rPr>
              <w:t>n</w:t>
            </w:r>
          </w:p>
        </w:tc>
        <w:tc>
          <w:tcPr>
            <w:tcW w:w="450" w:type="dxa"/>
            <w:tcBorders>
              <w:top w:val="single" w:sz="4" w:space="0" w:color="auto"/>
              <w:bottom w:val="single" w:sz="4" w:space="0" w:color="auto"/>
            </w:tcBorders>
            <w:shd w:val="clear" w:color="auto" w:fill="FFFFFF"/>
            <w:vAlign w:val="center"/>
          </w:tcPr>
          <w:p w14:paraId="06FA2F7C" w14:textId="77777777" w:rsidR="001137BE" w:rsidRPr="00AC4A92" w:rsidRDefault="001137BE" w:rsidP="002D69CC">
            <w:pPr>
              <w:pStyle w:val="table"/>
              <w:jc w:val="center"/>
              <w:rPr>
                <w:i/>
                <w:iCs/>
                <w:highlight w:val="cyan"/>
              </w:rPr>
            </w:pPr>
            <w:r w:rsidRPr="00AC4A92">
              <w:rPr>
                <w:i/>
                <w:iCs/>
                <w:highlight w:val="cyan"/>
              </w:rPr>
              <w:t>M</w:t>
            </w:r>
          </w:p>
        </w:tc>
        <w:tc>
          <w:tcPr>
            <w:tcW w:w="450" w:type="dxa"/>
            <w:tcBorders>
              <w:top w:val="single" w:sz="4" w:space="0" w:color="auto"/>
              <w:bottom w:val="single" w:sz="4" w:space="0" w:color="auto"/>
            </w:tcBorders>
            <w:shd w:val="clear" w:color="auto" w:fill="FFFFFF"/>
            <w:vAlign w:val="center"/>
          </w:tcPr>
          <w:p w14:paraId="46FC4E2F" w14:textId="77777777" w:rsidR="001137BE" w:rsidRPr="00AC4A92" w:rsidRDefault="001137BE" w:rsidP="002D69CC">
            <w:pPr>
              <w:pStyle w:val="table"/>
              <w:jc w:val="center"/>
              <w:rPr>
                <w:i/>
                <w:iCs/>
                <w:highlight w:val="cyan"/>
              </w:rPr>
            </w:pPr>
            <w:r w:rsidRPr="00AC4A92">
              <w:rPr>
                <w:i/>
                <w:iCs/>
                <w:highlight w:val="cyan"/>
              </w:rPr>
              <w:t>SD</w:t>
            </w:r>
          </w:p>
        </w:tc>
        <w:tc>
          <w:tcPr>
            <w:tcW w:w="270" w:type="dxa"/>
            <w:tcBorders>
              <w:bottom w:val="single" w:sz="4" w:space="0" w:color="auto"/>
            </w:tcBorders>
            <w:shd w:val="clear" w:color="auto" w:fill="FFFFFF"/>
            <w:vAlign w:val="center"/>
          </w:tcPr>
          <w:p w14:paraId="58504C5F" w14:textId="77777777" w:rsidR="001137BE" w:rsidRPr="00AC4A92" w:rsidRDefault="001137BE" w:rsidP="002D69CC">
            <w:pPr>
              <w:pStyle w:val="table"/>
              <w:jc w:val="center"/>
              <w:rPr>
                <w:i/>
                <w:iCs/>
                <w:highlight w:val="cyan"/>
              </w:rPr>
            </w:pPr>
            <w:r w:rsidRPr="00AC4A92">
              <w:rPr>
                <w:i/>
                <w:iCs/>
                <w:highlight w:val="cyan"/>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1B8EB68D" w14:textId="77777777" w:rsidR="001137BE" w:rsidRPr="00AC4A92" w:rsidRDefault="001137BE" w:rsidP="002D69CC">
            <w:pPr>
              <w:pStyle w:val="table"/>
              <w:jc w:val="center"/>
              <w:rPr>
                <w:highlight w:val="cyan"/>
              </w:rPr>
            </w:pPr>
            <w:r w:rsidRPr="00AC4A92">
              <w:rPr>
                <w:highlight w:val="cyan"/>
              </w:rPr>
              <w:t xml:space="preserve">Hedges’ </w:t>
            </w:r>
            <w:r w:rsidRPr="00AC4A92">
              <w:rPr>
                <w:i/>
                <w:iCs/>
                <w:highlight w:val="cyan"/>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CFDF120" w14:textId="77777777" w:rsidR="001137BE" w:rsidRPr="00AC4A92" w:rsidRDefault="001137BE" w:rsidP="002D69CC">
            <w:pPr>
              <w:pStyle w:val="table"/>
              <w:jc w:val="center"/>
              <w:rPr>
                <w:highlight w:val="cyan"/>
              </w:rPr>
            </w:pPr>
            <w:r w:rsidRPr="00AC4A92">
              <w:rPr>
                <w:highlight w:val="cyan"/>
              </w:rPr>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518316A" w14:textId="77777777" w:rsidR="001137BE" w:rsidRPr="00AC4A92" w:rsidRDefault="001137BE" w:rsidP="002D69CC">
            <w:pPr>
              <w:pStyle w:val="table"/>
              <w:jc w:val="center"/>
              <w:rPr>
                <w:highlight w:val="cyan"/>
              </w:rPr>
            </w:pPr>
            <w:r w:rsidRPr="00AC4A92">
              <w:rPr>
                <w:highlight w:val="cyan"/>
              </w:rPr>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4C2C92B6" w14:textId="77777777" w:rsidR="001137BE" w:rsidRPr="00AC4A92" w:rsidRDefault="001137BE" w:rsidP="002D69CC">
            <w:pPr>
              <w:pStyle w:val="table"/>
              <w:jc w:val="center"/>
              <w:rPr>
                <w:i/>
                <w:iCs/>
                <w:highlight w:val="cyan"/>
              </w:rPr>
            </w:pPr>
            <w:r w:rsidRPr="00AC4A92">
              <w:rPr>
                <w:i/>
                <w:iCs/>
                <w:highlight w:val="cyan"/>
              </w:rPr>
              <w:t>p</w:t>
            </w:r>
          </w:p>
        </w:tc>
        <w:tc>
          <w:tcPr>
            <w:tcW w:w="630" w:type="dxa"/>
            <w:tcBorders>
              <w:bottom w:val="single" w:sz="4" w:space="0" w:color="auto"/>
            </w:tcBorders>
            <w:shd w:val="clear" w:color="auto" w:fill="FFFFFF"/>
            <w:tcMar>
              <w:top w:w="0" w:type="dxa"/>
              <w:left w:w="75" w:type="dxa"/>
              <w:bottom w:w="0" w:type="dxa"/>
              <w:right w:w="75" w:type="dxa"/>
            </w:tcMar>
            <w:vAlign w:val="center"/>
            <w:hideMark/>
          </w:tcPr>
          <w:p w14:paraId="65053CD6" w14:textId="77777777" w:rsidR="001137BE" w:rsidRPr="00AC4A92" w:rsidRDefault="001137BE" w:rsidP="002D69CC">
            <w:pPr>
              <w:pStyle w:val="table"/>
              <w:jc w:val="center"/>
              <w:rPr>
                <w:i/>
                <w:iCs/>
                <w:highlight w:val="cyan"/>
              </w:rPr>
            </w:pPr>
            <w:proofErr w:type="spellStart"/>
            <w:r w:rsidRPr="00AC4A92">
              <w:rPr>
                <w:i/>
                <w:iCs/>
                <w:highlight w:val="cyan"/>
              </w:rPr>
              <w:t>p</w:t>
            </w:r>
            <w:r w:rsidRPr="00AC4A92">
              <w:rPr>
                <w:highlight w:val="cyan"/>
                <w:vertAlign w:val="subscript"/>
              </w:rPr>
              <w:t>adj</w:t>
            </w:r>
            <w:proofErr w:type="spellEnd"/>
          </w:p>
        </w:tc>
      </w:tr>
      <w:tr w:rsidR="001137BE" w:rsidRPr="00AC4A92" w14:paraId="75F119F0" w14:textId="77777777" w:rsidTr="002D69CC">
        <w:trPr>
          <w:trHeight w:val="245"/>
          <w:jc w:val="center"/>
        </w:trPr>
        <w:tc>
          <w:tcPr>
            <w:tcW w:w="1440" w:type="dxa"/>
            <w:shd w:val="clear" w:color="auto" w:fill="FFFFFF"/>
            <w:vAlign w:val="center"/>
          </w:tcPr>
          <w:p w14:paraId="1AF79BB0"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281C687C" w14:textId="77777777" w:rsidR="001137BE" w:rsidRPr="00AC4A92" w:rsidRDefault="001137BE" w:rsidP="002D69CC">
            <w:pPr>
              <w:pStyle w:val="table"/>
              <w:jc w:val="left"/>
              <w:rPr>
                <w:highlight w:val="cyan"/>
              </w:rPr>
            </w:pPr>
            <w:r w:rsidRPr="00AC4A92">
              <w:rPr>
                <w:highlight w:val="cyan"/>
              </w:rPr>
              <w:t>Discomfort</w:t>
            </w:r>
          </w:p>
        </w:tc>
        <w:tc>
          <w:tcPr>
            <w:tcW w:w="541" w:type="dxa"/>
            <w:shd w:val="clear" w:color="auto" w:fill="FFFFFF"/>
            <w:vAlign w:val="center"/>
          </w:tcPr>
          <w:p w14:paraId="64E123B4" w14:textId="77777777" w:rsidR="001137BE" w:rsidRPr="00AC4A92" w:rsidRDefault="001137BE" w:rsidP="002D69CC">
            <w:pPr>
              <w:pStyle w:val="table"/>
              <w:jc w:val="center"/>
              <w:rPr>
                <w:highlight w:val="cyan"/>
              </w:rPr>
            </w:pPr>
            <w:r w:rsidRPr="00AC4A92">
              <w:rPr>
                <w:highlight w:val="cyan"/>
              </w:rPr>
              <w:t>24.76</w:t>
            </w:r>
          </w:p>
        </w:tc>
        <w:tc>
          <w:tcPr>
            <w:tcW w:w="542" w:type="dxa"/>
            <w:shd w:val="clear" w:color="auto" w:fill="FFFFFF"/>
            <w:vAlign w:val="center"/>
          </w:tcPr>
          <w:p w14:paraId="2C23953F" w14:textId="77777777" w:rsidR="001137BE" w:rsidRPr="00AC4A92" w:rsidRDefault="001137BE" w:rsidP="002D69CC">
            <w:pPr>
              <w:pStyle w:val="table"/>
              <w:jc w:val="center"/>
              <w:rPr>
                <w:highlight w:val="cyan"/>
              </w:rPr>
            </w:pPr>
            <w:r w:rsidRPr="00AC4A92">
              <w:rPr>
                <w:highlight w:val="cyan"/>
              </w:rPr>
              <w:t>16.97</w:t>
            </w:r>
          </w:p>
        </w:tc>
        <w:tc>
          <w:tcPr>
            <w:tcW w:w="261" w:type="dxa"/>
            <w:shd w:val="clear" w:color="auto" w:fill="FFFFFF"/>
            <w:vAlign w:val="center"/>
          </w:tcPr>
          <w:p w14:paraId="6C215818"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563D7220" w14:textId="77777777" w:rsidR="001137BE" w:rsidRPr="00AC4A92" w:rsidRDefault="001137BE" w:rsidP="002D69CC">
            <w:pPr>
              <w:pStyle w:val="table"/>
              <w:jc w:val="center"/>
              <w:rPr>
                <w:highlight w:val="cyan"/>
              </w:rPr>
            </w:pPr>
            <w:r w:rsidRPr="00AC4A92">
              <w:rPr>
                <w:highlight w:val="cyan"/>
              </w:rPr>
              <w:t>15.43</w:t>
            </w:r>
          </w:p>
        </w:tc>
        <w:tc>
          <w:tcPr>
            <w:tcW w:w="450" w:type="dxa"/>
            <w:shd w:val="clear" w:color="auto" w:fill="FFFFFF"/>
            <w:vAlign w:val="center"/>
          </w:tcPr>
          <w:p w14:paraId="0E501490" w14:textId="77777777" w:rsidR="001137BE" w:rsidRPr="00AC4A92" w:rsidRDefault="001137BE" w:rsidP="002D69CC">
            <w:pPr>
              <w:pStyle w:val="table"/>
              <w:jc w:val="center"/>
              <w:rPr>
                <w:highlight w:val="cyan"/>
              </w:rPr>
            </w:pPr>
            <w:r w:rsidRPr="00AC4A92">
              <w:rPr>
                <w:highlight w:val="cyan"/>
              </w:rPr>
              <w:t>19.09</w:t>
            </w:r>
          </w:p>
        </w:tc>
        <w:tc>
          <w:tcPr>
            <w:tcW w:w="270" w:type="dxa"/>
            <w:shd w:val="clear" w:color="auto" w:fill="FFFFFF"/>
            <w:vAlign w:val="center"/>
          </w:tcPr>
          <w:p w14:paraId="3131911C"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5598ACDF" w14:textId="77777777" w:rsidR="001137BE" w:rsidRPr="00AC4A92" w:rsidRDefault="001137BE" w:rsidP="002D69CC">
            <w:pPr>
              <w:pStyle w:val="table"/>
              <w:jc w:val="center"/>
              <w:rPr>
                <w:highlight w:val="cyan"/>
              </w:rPr>
            </w:pPr>
            <w:r w:rsidRPr="00AC4A92">
              <w:rPr>
                <w:highlight w:val="cyan"/>
              </w:rPr>
              <w:t>0.51</w:t>
            </w:r>
          </w:p>
        </w:tc>
        <w:tc>
          <w:tcPr>
            <w:tcW w:w="630" w:type="dxa"/>
            <w:shd w:val="clear" w:color="auto" w:fill="FFFFFF"/>
            <w:tcMar>
              <w:top w:w="0" w:type="dxa"/>
              <w:left w:w="75" w:type="dxa"/>
              <w:bottom w:w="0" w:type="dxa"/>
              <w:right w:w="75" w:type="dxa"/>
            </w:tcMar>
            <w:vAlign w:val="center"/>
          </w:tcPr>
          <w:p w14:paraId="5D2CCEB6" w14:textId="77777777" w:rsidR="001137BE" w:rsidRPr="00AC4A92" w:rsidRDefault="001137BE" w:rsidP="002D69CC">
            <w:pPr>
              <w:pStyle w:val="table"/>
              <w:tabs>
                <w:tab w:val="decimal" w:pos="181"/>
              </w:tabs>
              <w:jc w:val="center"/>
              <w:rPr>
                <w:highlight w:val="cyan"/>
              </w:rPr>
            </w:pPr>
            <w:r w:rsidRPr="00AC4A92">
              <w:rPr>
                <w:highlight w:val="cyan"/>
              </w:rPr>
              <w:t>-0.16</w:t>
            </w:r>
          </w:p>
        </w:tc>
        <w:tc>
          <w:tcPr>
            <w:tcW w:w="630" w:type="dxa"/>
            <w:shd w:val="clear" w:color="auto" w:fill="FFFFFF"/>
            <w:tcMar>
              <w:top w:w="0" w:type="dxa"/>
              <w:left w:w="75" w:type="dxa"/>
              <w:bottom w:w="0" w:type="dxa"/>
              <w:right w:w="75" w:type="dxa"/>
            </w:tcMar>
            <w:vAlign w:val="center"/>
          </w:tcPr>
          <w:p w14:paraId="1B0304F2" w14:textId="77777777" w:rsidR="001137BE" w:rsidRPr="00AC4A92" w:rsidRDefault="001137BE" w:rsidP="002D69CC">
            <w:pPr>
              <w:pStyle w:val="table"/>
              <w:jc w:val="center"/>
              <w:rPr>
                <w:highlight w:val="cyan"/>
              </w:rPr>
            </w:pPr>
            <w:r w:rsidRPr="00AC4A92">
              <w:rPr>
                <w:highlight w:val="cyan"/>
              </w:rPr>
              <w:t>1.17</w:t>
            </w:r>
          </w:p>
        </w:tc>
        <w:tc>
          <w:tcPr>
            <w:tcW w:w="450" w:type="dxa"/>
            <w:shd w:val="clear" w:color="auto" w:fill="FFFFFF"/>
            <w:tcMar>
              <w:top w:w="0" w:type="dxa"/>
              <w:left w:w="75" w:type="dxa"/>
              <w:bottom w:w="0" w:type="dxa"/>
              <w:right w:w="75" w:type="dxa"/>
            </w:tcMar>
            <w:vAlign w:val="center"/>
          </w:tcPr>
          <w:p w14:paraId="5DE16FCF" w14:textId="77777777" w:rsidR="001137BE" w:rsidRPr="00AC4A92" w:rsidRDefault="001137BE" w:rsidP="002D69CC">
            <w:pPr>
              <w:pStyle w:val="table"/>
              <w:jc w:val="center"/>
              <w:rPr>
                <w:highlight w:val="cyan"/>
              </w:rPr>
            </w:pPr>
            <w:r w:rsidRPr="00AC4A92">
              <w:rPr>
                <w:highlight w:val="cyan"/>
              </w:rPr>
              <w:t>.131</w:t>
            </w:r>
          </w:p>
        </w:tc>
        <w:tc>
          <w:tcPr>
            <w:tcW w:w="630" w:type="dxa"/>
            <w:shd w:val="clear" w:color="auto" w:fill="FFFFFF"/>
            <w:tcMar>
              <w:top w:w="0" w:type="dxa"/>
              <w:left w:w="75" w:type="dxa"/>
              <w:bottom w:w="0" w:type="dxa"/>
              <w:right w:w="75" w:type="dxa"/>
            </w:tcMar>
            <w:vAlign w:val="center"/>
          </w:tcPr>
          <w:p w14:paraId="2C8B455F" w14:textId="77777777" w:rsidR="001137BE" w:rsidRPr="00AC4A92" w:rsidRDefault="001137BE" w:rsidP="002D69CC">
            <w:pPr>
              <w:pStyle w:val="table"/>
              <w:jc w:val="center"/>
              <w:rPr>
                <w:highlight w:val="cyan"/>
              </w:rPr>
            </w:pPr>
            <w:r w:rsidRPr="00AC4A92">
              <w:rPr>
                <w:highlight w:val="cyan"/>
              </w:rPr>
              <w:t>.392</w:t>
            </w:r>
          </w:p>
        </w:tc>
      </w:tr>
      <w:tr w:rsidR="001137BE" w:rsidRPr="00AC4A92" w14:paraId="3DCE39A2" w14:textId="77777777" w:rsidTr="002D69CC">
        <w:trPr>
          <w:trHeight w:val="245"/>
          <w:jc w:val="center"/>
        </w:trPr>
        <w:tc>
          <w:tcPr>
            <w:tcW w:w="1440" w:type="dxa"/>
            <w:shd w:val="clear" w:color="auto" w:fill="FFFFFF"/>
            <w:vAlign w:val="center"/>
          </w:tcPr>
          <w:p w14:paraId="3D7CF084"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7D23DA2E" w14:textId="77777777" w:rsidR="001137BE" w:rsidRPr="00AC4A92" w:rsidRDefault="001137BE" w:rsidP="002D69CC">
            <w:pPr>
              <w:pStyle w:val="table"/>
              <w:jc w:val="left"/>
              <w:rPr>
                <w:highlight w:val="cyan"/>
              </w:rPr>
            </w:pPr>
            <w:r w:rsidRPr="00AC4A92">
              <w:rPr>
                <w:highlight w:val="cyan"/>
              </w:rPr>
              <w:t>Anxiety</w:t>
            </w:r>
          </w:p>
        </w:tc>
        <w:tc>
          <w:tcPr>
            <w:tcW w:w="541" w:type="dxa"/>
            <w:shd w:val="clear" w:color="auto" w:fill="FFFFFF"/>
            <w:vAlign w:val="center"/>
          </w:tcPr>
          <w:p w14:paraId="63761BEE" w14:textId="77777777" w:rsidR="001137BE" w:rsidRPr="00AC4A92" w:rsidRDefault="001137BE" w:rsidP="002D69CC">
            <w:pPr>
              <w:pStyle w:val="table"/>
              <w:jc w:val="center"/>
              <w:rPr>
                <w:highlight w:val="cyan"/>
              </w:rPr>
            </w:pPr>
            <w:r w:rsidRPr="00AC4A92">
              <w:rPr>
                <w:highlight w:val="cyan"/>
              </w:rPr>
              <w:t>17.97</w:t>
            </w:r>
          </w:p>
        </w:tc>
        <w:tc>
          <w:tcPr>
            <w:tcW w:w="542" w:type="dxa"/>
            <w:shd w:val="clear" w:color="auto" w:fill="FFFFFF"/>
            <w:vAlign w:val="center"/>
          </w:tcPr>
          <w:p w14:paraId="451A7804" w14:textId="77777777" w:rsidR="001137BE" w:rsidRPr="00AC4A92" w:rsidRDefault="001137BE" w:rsidP="002D69CC">
            <w:pPr>
              <w:pStyle w:val="table"/>
              <w:jc w:val="center"/>
              <w:rPr>
                <w:highlight w:val="cyan"/>
              </w:rPr>
            </w:pPr>
            <w:r w:rsidRPr="00AC4A92">
              <w:rPr>
                <w:highlight w:val="cyan"/>
              </w:rPr>
              <w:t>23.86</w:t>
            </w:r>
          </w:p>
        </w:tc>
        <w:tc>
          <w:tcPr>
            <w:tcW w:w="261" w:type="dxa"/>
            <w:shd w:val="clear" w:color="auto" w:fill="FFFFFF"/>
            <w:vAlign w:val="center"/>
          </w:tcPr>
          <w:p w14:paraId="237B0347"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41397BC2" w14:textId="77777777" w:rsidR="001137BE" w:rsidRPr="00AC4A92" w:rsidRDefault="001137BE" w:rsidP="002D69CC">
            <w:pPr>
              <w:pStyle w:val="table"/>
              <w:jc w:val="center"/>
              <w:rPr>
                <w:highlight w:val="cyan"/>
              </w:rPr>
            </w:pPr>
            <w:r w:rsidRPr="00AC4A92">
              <w:rPr>
                <w:highlight w:val="cyan"/>
              </w:rPr>
              <w:t>17.14</w:t>
            </w:r>
          </w:p>
        </w:tc>
        <w:tc>
          <w:tcPr>
            <w:tcW w:w="450" w:type="dxa"/>
            <w:shd w:val="clear" w:color="auto" w:fill="FFFFFF"/>
            <w:vAlign w:val="center"/>
          </w:tcPr>
          <w:p w14:paraId="554D8775" w14:textId="77777777" w:rsidR="001137BE" w:rsidRPr="00AC4A92" w:rsidRDefault="001137BE" w:rsidP="002D69CC">
            <w:pPr>
              <w:pStyle w:val="table"/>
              <w:jc w:val="center"/>
              <w:rPr>
                <w:highlight w:val="cyan"/>
              </w:rPr>
            </w:pPr>
            <w:r w:rsidRPr="00AC4A92">
              <w:rPr>
                <w:highlight w:val="cyan"/>
              </w:rPr>
              <w:t>23.86</w:t>
            </w:r>
          </w:p>
        </w:tc>
        <w:tc>
          <w:tcPr>
            <w:tcW w:w="270" w:type="dxa"/>
            <w:shd w:val="clear" w:color="auto" w:fill="FFFFFF"/>
            <w:vAlign w:val="center"/>
          </w:tcPr>
          <w:p w14:paraId="1A52865F"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6AF9AF72" w14:textId="77777777" w:rsidR="001137BE" w:rsidRPr="00AC4A92" w:rsidRDefault="001137BE" w:rsidP="002D69CC">
            <w:pPr>
              <w:pStyle w:val="table"/>
              <w:jc w:val="center"/>
              <w:rPr>
                <w:highlight w:val="cyan"/>
              </w:rPr>
            </w:pPr>
            <w:r w:rsidRPr="00AC4A92">
              <w:rPr>
                <w:highlight w:val="cyan"/>
              </w:rPr>
              <w:t>0.03</w:t>
            </w:r>
          </w:p>
        </w:tc>
        <w:tc>
          <w:tcPr>
            <w:tcW w:w="630" w:type="dxa"/>
            <w:shd w:val="clear" w:color="auto" w:fill="FFFFFF"/>
            <w:tcMar>
              <w:top w:w="0" w:type="dxa"/>
              <w:left w:w="75" w:type="dxa"/>
              <w:bottom w:w="0" w:type="dxa"/>
              <w:right w:w="75" w:type="dxa"/>
            </w:tcMar>
            <w:vAlign w:val="center"/>
          </w:tcPr>
          <w:p w14:paraId="07CC8674" w14:textId="77777777" w:rsidR="001137BE" w:rsidRPr="00AC4A92" w:rsidRDefault="001137BE" w:rsidP="002D69CC">
            <w:pPr>
              <w:pStyle w:val="table"/>
              <w:tabs>
                <w:tab w:val="decimal" w:pos="181"/>
              </w:tabs>
              <w:jc w:val="center"/>
              <w:rPr>
                <w:highlight w:val="cyan"/>
              </w:rPr>
            </w:pPr>
            <w:r w:rsidRPr="00AC4A92">
              <w:rPr>
                <w:highlight w:val="cyan"/>
              </w:rPr>
              <w:t>-0.62</w:t>
            </w:r>
          </w:p>
        </w:tc>
        <w:tc>
          <w:tcPr>
            <w:tcW w:w="630" w:type="dxa"/>
            <w:shd w:val="clear" w:color="auto" w:fill="FFFFFF"/>
            <w:tcMar>
              <w:top w:w="0" w:type="dxa"/>
              <w:left w:w="75" w:type="dxa"/>
              <w:bottom w:w="0" w:type="dxa"/>
              <w:right w:w="75" w:type="dxa"/>
            </w:tcMar>
            <w:vAlign w:val="center"/>
          </w:tcPr>
          <w:p w14:paraId="4C4EC21E" w14:textId="77777777" w:rsidR="001137BE" w:rsidRPr="00AC4A92" w:rsidRDefault="001137BE" w:rsidP="002D69CC">
            <w:pPr>
              <w:pStyle w:val="table"/>
              <w:jc w:val="center"/>
              <w:rPr>
                <w:highlight w:val="cyan"/>
              </w:rPr>
            </w:pPr>
            <w:r w:rsidRPr="00AC4A92">
              <w:rPr>
                <w:highlight w:val="cyan"/>
              </w:rPr>
              <w:t>0.69</w:t>
            </w:r>
          </w:p>
        </w:tc>
        <w:tc>
          <w:tcPr>
            <w:tcW w:w="450" w:type="dxa"/>
            <w:shd w:val="clear" w:color="auto" w:fill="FFFFFF"/>
            <w:tcMar>
              <w:top w:w="0" w:type="dxa"/>
              <w:left w:w="75" w:type="dxa"/>
              <w:bottom w:w="0" w:type="dxa"/>
              <w:right w:w="75" w:type="dxa"/>
            </w:tcMar>
            <w:vAlign w:val="center"/>
          </w:tcPr>
          <w:p w14:paraId="0479D8A9" w14:textId="77777777" w:rsidR="001137BE" w:rsidRPr="00AC4A92" w:rsidRDefault="001137BE" w:rsidP="002D69CC">
            <w:pPr>
              <w:pStyle w:val="table"/>
              <w:jc w:val="center"/>
              <w:rPr>
                <w:highlight w:val="cyan"/>
              </w:rPr>
            </w:pPr>
            <w:r w:rsidRPr="00AC4A92">
              <w:rPr>
                <w:highlight w:val="cyan"/>
              </w:rPr>
              <w:t>.918</w:t>
            </w:r>
          </w:p>
        </w:tc>
        <w:tc>
          <w:tcPr>
            <w:tcW w:w="630" w:type="dxa"/>
            <w:shd w:val="clear" w:color="auto" w:fill="FFFFFF"/>
            <w:tcMar>
              <w:top w:w="0" w:type="dxa"/>
              <w:left w:w="75" w:type="dxa"/>
              <w:bottom w:w="0" w:type="dxa"/>
              <w:right w:w="75" w:type="dxa"/>
            </w:tcMar>
            <w:vAlign w:val="center"/>
          </w:tcPr>
          <w:p w14:paraId="5179841D" w14:textId="77777777" w:rsidR="001137BE" w:rsidRPr="00AC4A92" w:rsidRDefault="001137BE" w:rsidP="002D69CC">
            <w:pPr>
              <w:pStyle w:val="table"/>
              <w:jc w:val="center"/>
              <w:rPr>
                <w:highlight w:val="cyan"/>
              </w:rPr>
            </w:pPr>
            <w:r w:rsidRPr="00AC4A92">
              <w:rPr>
                <w:highlight w:val="cyan"/>
              </w:rPr>
              <w:t>.918</w:t>
            </w:r>
          </w:p>
        </w:tc>
      </w:tr>
      <w:tr w:rsidR="001137BE" w:rsidRPr="00AC4A92" w14:paraId="13624FD6" w14:textId="77777777" w:rsidTr="002D69CC">
        <w:trPr>
          <w:trHeight w:val="245"/>
          <w:jc w:val="center"/>
        </w:trPr>
        <w:tc>
          <w:tcPr>
            <w:tcW w:w="1440" w:type="dxa"/>
            <w:shd w:val="clear" w:color="auto" w:fill="FFFFFF"/>
            <w:vAlign w:val="center"/>
          </w:tcPr>
          <w:p w14:paraId="2B85C150"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4555DC26" w14:textId="77777777" w:rsidR="001137BE" w:rsidRPr="00AC4A92" w:rsidRDefault="001137BE" w:rsidP="002D69CC">
            <w:pPr>
              <w:pStyle w:val="table"/>
              <w:jc w:val="left"/>
              <w:rPr>
                <w:highlight w:val="cyan"/>
              </w:rPr>
            </w:pPr>
            <w:r w:rsidRPr="00AC4A92">
              <w:rPr>
                <w:highlight w:val="cyan"/>
              </w:rPr>
              <w:t>Stress</w:t>
            </w:r>
          </w:p>
        </w:tc>
        <w:tc>
          <w:tcPr>
            <w:tcW w:w="541" w:type="dxa"/>
            <w:shd w:val="clear" w:color="auto" w:fill="FFFFFF"/>
            <w:vAlign w:val="center"/>
          </w:tcPr>
          <w:p w14:paraId="09EB7F97" w14:textId="77777777" w:rsidR="001137BE" w:rsidRPr="00AC4A92" w:rsidRDefault="001137BE" w:rsidP="002D69CC">
            <w:pPr>
              <w:pStyle w:val="table"/>
              <w:jc w:val="center"/>
              <w:rPr>
                <w:highlight w:val="cyan"/>
              </w:rPr>
            </w:pPr>
            <w:r w:rsidRPr="00AC4A92">
              <w:rPr>
                <w:highlight w:val="cyan"/>
              </w:rPr>
              <w:t>21.71</w:t>
            </w:r>
          </w:p>
        </w:tc>
        <w:tc>
          <w:tcPr>
            <w:tcW w:w="542" w:type="dxa"/>
            <w:shd w:val="clear" w:color="auto" w:fill="FFFFFF"/>
            <w:vAlign w:val="center"/>
          </w:tcPr>
          <w:p w14:paraId="2A8A78E8" w14:textId="77777777" w:rsidR="001137BE" w:rsidRPr="00AC4A92" w:rsidRDefault="001137BE" w:rsidP="002D69CC">
            <w:pPr>
              <w:pStyle w:val="table"/>
              <w:jc w:val="center"/>
              <w:rPr>
                <w:highlight w:val="cyan"/>
              </w:rPr>
            </w:pPr>
            <w:r w:rsidRPr="00AC4A92">
              <w:rPr>
                <w:highlight w:val="cyan"/>
              </w:rPr>
              <w:t>21.21</w:t>
            </w:r>
          </w:p>
        </w:tc>
        <w:tc>
          <w:tcPr>
            <w:tcW w:w="261" w:type="dxa"/>
            <w:shd w:val="clear" w:color="auto" w:fill="FFFFFF"/>
            <w:vAlign w:val="center"/>
          </w:tcPr>
          <w:p w14:paraId="1D4D26D6"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33D7AF51" w14:textId="77777777" w:rsidR="001137BE" w:rsidRPr="00AC4A92" w:rsidRDefault="001137BE" w:rsidP="002D69CC">
            <w:pPr>
              <w:pStyle w:val="table"/>
              <w:jc w:val="center"/>
              <w:rPr>
                <w:highlight w:val="cyan"/>
              </w:rPr>
            </w:pPr>
            <w:r w:rsidRPr="00AC4A92">
              <w:rPr>
                <w:highlight w:val="cyan"/>
              </w:rPr>
              <w:t>12.18</w:t>
            </w:r>
          </w:p>
        </w:tc>
        <w:tc>
          <w:tcPr>
            <w:tcW w:w="450" w:type="dxa"/>
            <w:shd w:val="clear" w:color="auto" w:fill="FFFFFF"/>
            <w:vAlign w:val="center"/>
          </w:tcPr>
          <w:p w14:paraId="746D8C84" w14:textId="77777777" w:rsidR="001137BE" w:rsidRPr="00AC4A92" w:rsidRDefault="001137BE" w:rsidP="002D69CC">
            <w:pPr>
              <w:pStyle w:val="table"/>
              <w:jc w:val="center"/>
              <w:rPr>
                <w:highlight w:val="cyan"/>
              </w:rPr>
            </w:pPr>
            <w:r w:rsidRPr="00AC4A92">
              <w:rPr>
                <w:highlight w:val="cyan"/>
              </w:rPr>
              <w:t>19.09</w:t>
            </w:r>
          </w:p>
        </w:tc>
        <w:tc>
          <w:tcPr>
            <w:tcW w:w="270" w:type="dxa"/>
            <w:shd w:val="clear" w:color="auto" w:fill="FFFFFF"/>
            <w:vAlign w:val="center"/>
          </w:tcPr>
          <w:p w14:paraId="29B498D8"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105857BC" w14:textId="77777777" w:rsidR="001137BE" w:rsidRPr="00AC4A92" w:rsidRDefault="001137BE" w:rsidP="002D69CC">
            <w:pPr>
              <w:pStyle w:val="table"/>
              <w:jc w:val="center"/>
              <w:rPr>
                <w:highlight w:val="cyan"/>
              </w:rPr>
            </w:pPr>
            <w:r w:rsidRPr="00AC4A92">
              <w:rPr>
                <w:highlight w:val="cyan"/>
              </w:rPr>
              <w:t>0.46</w:t>
            </w:r>
          </w:p>
        </w:tc>
        <w:tc>
          <w:tcPr>
            <w:tcW w:w="630" w:type="dxa"/>
            <w:shd w:val="clear" w:color="auto" w:fill="FFFFFF"/>
            <w:tcMar>
              <w:top w:w="0" w:type="dxa"/>
              <w:left w:w="75" w:type="dxa"/>
              <w:bottom w:w="0" w:type="dxa"/>
              <w:right w:w="75" w:type="dxa"/>
            </w:tcMar>
            <w:vAlign w:val="center"/>
          </w:tcPr>
          <w:p w14:paraId="282A82CB" w14:textId="77777777" w:rsidR="001137BE" w:rsidRPr="00AC4A92" w:rsidRDefault="001137BE" w:rsidP="002D69CC">
            <w:pPr>
              <w:pStyle w:val="table"/>
              <w:tabs>
                <w:tab w:val="decimal" w:pos="181"/>
              </w:tabs>
              <w:jc w:val="center"/>
              <w:rPr>
                <w:highlight w:val="cyan"/>
              </w:rPr>
            </w:pPr>
            <w:r w:rsidRPr="00AC4A92">
              <w:rPr>
                <w:highlight w:val="cyan"/>
              </w:rPr>
              <w:t>-0.20</w:t>
            </w:r>
          </w:p>
        </w:tc>
        <w:tc>
          <w:tcPr>
            <w:tcW w:w="630" w:type="dxa"/>
            <w:shd w:val="clear" w:color="auto" w:fill="FFFFFF"/>
            <w:tcMar>
              <w:top w:w="0" w:type="dxa"/>
              <w:left w:w="75" w:type="dxa"/>
              <w:bottom w:w="0" w:type="dxa"/>
              <w:right w:w="75" w:type="dxa"/>
            </w:tcMar>
            <w:vAlign w:val="center"/>
          </w:tcPr>
          <w:p w14:paraId="01E861C5" w14:textId="77777777" w:rsidR="001137BE" w:rsidRPr="00AC4A92" w:rsidRDefault="001137BE" w:rsidP="002D69CC">
            <w:pPr>
              <w:pStyle w:val="table"/>
              <w:jc w:val="center"/>
              <w:rPr>
                <w:highlight w:val="cyan"/>
              </w:rPr>
            </w:pPr>
            <w:r w:rsidRPr="00AC4A92">
              <w:rPr>
                <w:highlight w:val="cyan"/>
              </w:rPr>
              <w:t>1.12</w:t>
            </w:r>
          </w:p>
        </w:tc>
        <w:tc>
          <w:tcPr>
            <w:tcW w:w="450" w:type="dxa"/>
            <w:shd w:val="clear" w:color="auto" w:fill="FFFFFF"/>
            <w:tcMar>
              <w:top w:w="0" w:type="dxa"/>
              <w:left w:w="75" w:type="dxa"/>
              <w:bottom w:w="0" w:type="dxa"/>
              <w:right w:w="75" w:type="dxa"/>
            </w:tcMar>
            <w:vAlign w:val="center"/>
          </w:tcPr>
          <w:p w14:paraId="4AFB62A3" w14:textId="77777777" w:rsidR="001137BE" w:rsidRPr="00AC4A92" w:rsidRDefault="001137BE" w:rsidP="002D69CC">
            <w:pPr>
              <w:pStyle w:val="table"/>
              <w:jc w:val="center"/>
              <w:rPr>
                <w:highlight w:val="cyan"/>
              </w:rPr>
            </w:pPr>
            <w:r w:rsidRPr="00AC4A92">
              <w:rPr>
                <w:highlight w:val="cyan"/>
              </w:rPr>
              <w:t>.166</w:t>
            </w:r>
          </w:p>
        </w:tc>
        <w:tc>
          <w:tcPr>
            <w:tcW w:w="630" w:type="dxa"/>
            <w:shd w:val="clear" w:color="auto" w:fill="FFFFFF"/>
            <w:tcMar>
              <w:top w:w="0" w:type="dxa"/>
              <w:left w:w="75" w:type="dxa"/>
              <w:bottom w:w="0" w:type="dxa"/>
              <w:right w:w="75" w:type="dxa"/>
            </w:tcMar>
            <w:vAlign w:val="center"/>
          </w:tcPr>
          <w:p w14:paraId="2903D72B" w14:textId="77777777" w:rsidR="001137BE" w:rsidRPr="00AC4A92" w:rsidRDefault="001137BE" w:rsidP="002D69CC">
            <w:pPr>
              <w:pStyle w:val="table"/>
              <w:jc w:val="center"/>
              <w:rPr>
                <w:highlight w:val="cyan"/>
              </w:rPr>
            </w:pPr>
            <w:r w:rsidRPr="00AC4A92">
              <w:rPr>
                <w:highlight w:val="cyan"/>
              </w:rPr>
              <w:t>.392</w:t>
            </w:r>
          </w:p>
        </w:tc>
      </w:tr>
      <w:tr w:rsidR="001137BE" w:rsidRPr="00AC4A92" w14:paraId="3A28DFDA" w14:textId="77777777" w:rsidTr="002D69CC">
        <w:trPr>
          <w:trHeight w:val="245"/>
          <w:jc w:val="center"/>
        </w:trPr>
        <w:tc>
          <w:tcPr>
            <w:tcW w:w="1440" w:type="dxa"/>
            <w:tcBorders>
              <w:bottom w:val="nil"/>
            </w:tcBorders>
            <w:shd w:val="clear" w:color="auto" w:fill="FFFFFF"/>
            <w:vAlign w:val="center"/>
          </w:tcPr>
          <w:p w14:paraId="3D9D7599" w14:textId="77777777" w:rsidR="001137BE" w:rsidRPr="00AC4A92" w:rsidRDefault="001137BE" w:rsidP="002D69CC">
            <w:pPr>
              <w:pStyle w:val="table"/>
              <w:jc w:val="left"/>
              <w:rPr>
                <w:highlight w:val="cyan"/>
              </w:rPr>
            </w:pPr>
            <w:r w:rsidRPr="00AC4A92">
              <w:rPr>
                <w:highlight w:val="cyan"/>
              </w:rPr>
              <w:t>Foody et al. (2013)</w:t>
            </w:r>
          </w:p>
        </w:tc>
        <w:tc>
          <w:tcPr>
            <w:tcW w:w="996" w:type="dxa"/>
            <w:tcBorders>
              <w:bottom w:val="nil"/>
            </w:tcBorders>
            <w:shd w:val="clear" w:color="auto" w:fill="FFFFFF"/>
            <w:tcMar>
              <w:top w:w="0" w:type="dxa"/>
              <w:left w:w="75" w:type="dxa"/>
              <w:bottom w:w="0" w:type="dxa"/>
              <w:right w:w="75" w:type="dxa"/>
            </w:tcMar>
            <w:vAlign w:val="center"/>
          </w:tcPr>
          <w:p w14:paraId="5CB5328A" w14:textId="77777777" w:rsidR="001137BE" w:rsidRPr="00AC4A92" w:rsidRDefault="001137BE" w:rsidP="002D69CC">
            <w:pPr>
              <w:pStyle w:val="table"/>
              <w:jc w:val="left"/>
              <w:rPr>
                <w:highlight w:val="cyan"/>
              </w:rPr>
            </w:pPr>
            <w:r w:rsidRPr="00AC4A92">
              <w:rPr>
                <w:highlight w:val="cyan"/>
              </w:rPr>
              <w:t>Pooled*</w:t>
            </w:r>
          </w:p>
        </w:tc>
        <w:tc>
          <w:tcPr>
            <w:tcW w:w="541" w:type="dxa"/>
            <w:tcBorders>
              <w:bottom w:val="nil"/>
            </w:tcBorders>
            <w:shd w:val="clear" w:color="auto" w:fill="FFFFFF"/>
            <w:vAlign w:val="center"/>
          </w:tcPr>
          <w:p w14:paraId="2E60CEAC" w14:textId="77777777" w:rsidR="001137BE" w:rsidRPr="00AC4A92" w:rsidRDefault="001137BE" w:rsidP="002D69CC">
            <w:pPr>
              <w:pStyle w:val="table"/>
              <w:jc w:val="center"/>
              <w:rPr>
                <w:highlight w:val="cyan"/>
              </w:rPr>
            </w:pPr>
            <w:r w:rsidRPr="00AC4A92">
              <w:rPr>
                <w:highlight w:val="cyan"/>
              </w:rPr>
              <w:t>21.48</w:t>
            </w:r>
          </w:p>
        </w:tc>
        <w:tc>
          <w:tcPr>
            <w:tcW w:w="542" w:type="dxa"/>
            <w:tcBorders>
              <w:bottom w:val="nil"/>
            </w:tcBorders>
            <w:shd w:val="clear" w:color="auto" w:fill="FFFFFF"/>
            <w:vAlign w:val="center"/>
          </w:tcPr>
          <w:p w14:paraId="52E55D99" w14:textId="77777777" w:rsidR="001137BE" w:rsidRPr="00AC4A92" w:rsidRDefault="001137BE" w:rsidP="002D69CC">
            <w:pPr>
              <w:pStyle w:val="table"/>
              <w:jc w:val="center"/>
              <w:rPr>
                <w:highlight w:val="cyan"/>
              </w:rPr>
            </w:pPr>
            <w:r w:rsidRPr="00AC4A92">
              <w:rPr>
                <w:highlight w:val="cyan"/>
              </w:rPr>
              <w:t>20.88</w:t>
            </w:r>
          </w:p>
        </w:tc>
        <w:tc>
          <w:tcPr>
            <w:tcW w:w="261" w:type="dxa"/>
            <w:tcBorders>
              <w:bottom w:val="nil"/>
            </w:tcBorders>
            <w:shd w:val="clear" w:color="auto" w:fill="FFFFFF"/>
            <w:vAlign w:val="center"/>
          </w:tcPr>
          <w:p w14:paraId="44448A80" w14:textId="77777777" w:rsidR="001137BE" w:rsidRPr="00AC4A92" w:rsidRDefault="001137BE" w:rsidP="002D69CC">
            <w:pPr>
              <w:pStyle w:val="table"/>
              <w:jc w:val="center"/>
              <w:rPr>
                <w:highlight w:val="cyan"/>
              </w:rPr>
            </w:pPr>
            <w:r w:rsidRPr="00AC4A92">
              <w:rPr>
                <w:highlight w:val="cyan"/>
              </w:rPr>
              <w:t>18</w:t>
            </w:r>
          </w:p>
        </w:tc>
        <w:tc>
          <w:tcPr>
            <w:tcW w:w="450" w:type="dxa"/>
            <w:tcBorders>
              <w:bottom w:val="nil"/>
            </w:tcBorders>
            <w:shd w:val="clear" w:color="auto" w:fill="FFFFFF"/>
            <w:vAlign w:val="center"/>
          </w:tcPr>
          <w:p w14:paraId="14823B20" w14:textId="77777777" w:rsidR="001137BE" w:rsidRPr="00AC4A92" w:rsidRDefault="001137BE" w:rsidP="002D69CC">
            <w:pPr>
              <w:pStyle w:val="table"/>
              <w:jc w:val="center"/>
              <w:rPr>
                <w:highlight w:val="cyan"/>
              </w:rPr>
            </w:pPr>
            <w:r w:rsidRPr="00AC4A92">
              <w:rPr>
                <w:highlight w:val="cyan"/>
              </w:rPr>
              <w:t>14.92</w:t>
            </w:r>
          </w:p>
        </w:tc>
        <w:tc>
          <w:tcPr>
            <w:tcW w:w="450" w:type="dxa"/>
            <w:tcBorders>
              <w:bottom w:val="nil"/>
            </w:tcBorders>
            <w:shd w:val="clear" w:color="auto" w:fill="FFFFFF"/>
            <w:vAlign w:val="center"/>
          </w:tcPr>
          <w:p w14:paraId="6323004E" w14:textId="77777777" w:rsidR="001137BE" w:rsidRPr="00AC4A92" w:rsidRDefault="001137BE" w:rsidP="002D69CC">
            <w:pPr>
              <w:pStyle w:val="table"/>
              <w:jc w:val="center"/>
              <w:rPr>
                <w:highlight w:val="cyan"/>
              </w:rPr>
            </w:pPr>
            <w:r w:rsidRPr="00AC4A92">
              <w:rPr>
                <w:highlight w:val="cyan"/>
              </w:rPr>
              <w:t>20.80</w:t>
            </w:r>
          </w:p>
        </w:tc>
        <w:tc>
          <w:tcPr>
            <w:tcW w:w="270" w:type="dxa"/>
            <w:tcBorders>
              <w:bottom w:val="nil"/>
            </w:tcBorders>
            <w:shd w:val="clear" w:color="auto" w:fill="FFFFFF"/>
            <w:vAlign w:val="center"/>
          </w:tcPr>
          <w:p w14:paraId="50CFADB1" w14:textId="77777777" w:rsidR="001137BE" w:rsidRPr="00AC4A92" w:rsidRDefault="001137BE" w:rsidP="002D69CC">
            <w:pPr>
              <w:pStyle w:val="table"/>
              <w:jc w:val="center"/>
              <w:rPr>
                <w:highlight w:val="cyan"/>
              </w:rPr>
            </w:pPr>
            <w:r w:rsidRPr="00AC4A92">
              <w:rPr>
                <w:highlight w:val="cyan"/>
              </w:rPr>
              <w:t>18</w:t>
            </w:r>
          </w:p>
        </w:tc>
        <w:tc>
          <w:tcPr>
            <w:tcW w:w="900" w:type="dxa"/>
            <w:tcBorders>
              <w:bottom w:val="nil"/>
            </w:tcBorders>
            <w:shd w:val="clear" w:color="auto" w:fill="FFFFFF"/>
            <w:tcMar>
              <w:top w:w="0" w:type="dxa"/>
              <w:left w:w="75" w:type="dxa"/>
              <w:bottom w:w="0" w:type="dxa"/>
              <w:right w:w="75" w:type="dxa"/>
            </w:tcMar>
            <w:vAlign w:val="center"/>
          </w:tcPr>
          <w:p w14:paraId="4A4734B8" w14:textId="77777777" w:rsidR="001137BE" w:rsidRPr="00AC4A92" w:rsidRDefault="001137BE" w:rsidP="002D69CC">
            <w:pPr>
              <w:pStyle w:val="table"/>
              <w:jc w:val="center"/>
              <w:rPr>
                <w:highlight w:val="cyan"/>
              </w:rPr>
            </w:pPr>
            <w:r w:rsidRPr="00AC4A92">
              <w:rPr>
                <w:highlight w:val="cyan"/>
              </w:rPr>
              <w:t>0.31</w:t>
            </w:r>
          </w:p>
        </w:tc>
        <w:tc>
          <w:tcPr>
            <w:tcW w:w="630" w:type="dxa"/>
            <w:tcBorders>
              <w:bottom w:val="nil"/>
            </w:tcBorders>
            <w:shd w:val="clear" w:color="auto" w:fill="FFFFFF"/>
            <w:tcMar>
              <w:top w:w="0" w:type="dxa"/>
              <w:left w:w="75" w:type="dxa"/>
              <w:bottom w:w="0" w:type="dxa"/>
              <w:right w:w="75" w:type="dxa"/>
            </w:tcMar>
            <w:vAlign w:val="center"/>
          </w:tcPr>
          <w:p w14:paraId="28BE5362" w14:textId="77777777" w:rsidR="001137BE" w:rsidRPr="00AC4A92" w:rsidRDefault="001137BE" w:rsidP="002D69CC">
            <w:pPr>
              <w:pStyle w:val="table"/>
              <w:tabs>
                <w:tab w:val="decimal" w:pos="181"/>
              </w:tabs>
              <w:jc w:val="center"/>
              <w:rPr>
                <w:highlight w:val="cyan"/>
              </w:rPr>
            </w:pPr>
            <w:r w:rsidRPr="00AC4A92">
              <w:rPr>
                <w:highlight w:val="cyan"/>
              </w:rPr>
              <w:t>-0.35</w:t>
            </w:r>
          </w:p>
        </w:tc>
        <w:tc>
          <w:tcPr>
            <w:tcW w:w="630" w:type="dxa"/>
            <w:tcBorders>
              <w:bottom w:val="nil"/>
            </w:tcBorders>
            <w:shd w:val="clear" w:color="auto" w:fill="FFFFFF"/>
            <w:tcMar>
              <w:top w:w="0" w:type="dxa"/>
              <w:left w:w="75" w:type="dxa"/>
              <w:bottom w:w="0" w:type="dxa"/>
              <w:right w:w="75" w:type="dxa"/>
            </w:tcMar>
            <w:vAlign w:val="center"/>
          </w:tcPr>
          <w:p w14:paraId="28919698" w14:textId="77777777" w:rsidR="001137BE" w:rsidRPr="00AC4A92" w:rsidRDefault="001137BE" w:rsidP="002D69CC">
            <w:pPr>
              <w:pStyle w:val="table"/>
              <w:jc w:val="center"/>
              <w:rPr>
                <w:highlight w:val="cyan"/>
              </w:rPr>
            </w:pPr>
            <w:r w:rsidRPr="00AC4A92">
              <w:rPr>
                <w:highlight w:val="cyan"/>
              </w:rPr>
              <w:t>0.96</w:t>
            </w:r>
          </w:p>
        </w:tc>
        <w:tc>
          <w:tcPr>
            <w:tcW w:w="450" w:type="dxa"/>
            <w:tcBorders>
              <w:bottom w:val="nil"/>
            </w:tcBorders>
            <w:shd w:val="clear" w:color="auto" w:fill="FFFFFF"/>
            <w:tcMar>
              <w:top w:w="0" w:type="dxa"/>
              <w:left w:w="75" w:type="dxa"/>
              <w:bottom w:w="0" w:type="dxa"/>
              <w:right w:w="75" w:type="dxa"/>
            </w:tcMar>
            <w:vAlign w:val="center"/>
          </w:tcPr>
          <w:p w14:paraId="744AFD56" w14:textId="77777777" w:rsidR="001137BE" w:rsidRPr="00AC4A92" w:rsidRDefault="001137BE" w:rsidP="002D69CC">
            <w:pPr>
              <w:pStyle w:val="table"/>
              <w:jc w:val="center"/>
              <w:rPr>
                <w:highlight w:val="cyan"/>
              </w:rPr>
            </w:pPr>
            <w:r w:rsidRPr="00AC4A92">
              <w:rPr>
                <w:highlight w:val="cyan"/>
              </w:rPr>
              <w:t>.352</w:t>
            </w:r>
          </w:p>
        </w:tc>
        <w:tc>
          <w:tcPr>
            <w:tcW w:w="630" w:type="dxa"/>
            <w:tcBorders>
              <w:bottom w:val="nil"/>
            </w:tcBorders>
            <w:shd w:val="clear" w:color="auto" w:fill="FFFFFF"/>
            <w:tcMar>
              <w:top w:w="0" w:type="dxa"/>
              <w:left w:w="75" w:type="dxa"/>
              <w:bottom w:w="0" w:type="dxa"/>
              <w:right w:w="75" w:type="dxa"/>
            </w:tcMar>
            <w:vAlign w:val="center"/>
          </w:tcPr>
          <w:p w14:paraId="7BE5CE50" w14:textId="77777777" w:rsidR="001137BE" w:rsidRPr="00AC4A92" w:rsidRDefault="001137BE" w:rsidP="002D69CC">
            <w:pPr>
              <w:pStyle w:val="table"/>
              <w:jc w:val="center"/>
              <w:rPr>
                <w:highlight w:val="cyan"/>
              </w:rPr>
            </w:pPr>
            <w:r w:rsidRPr="00AC4A92">
              <w:rPr>
                <w:highlight w:val="cyan"/>
              </w:rPr>
              <w:t>-</w:t>
            </w:r>
          </w:p>
        </w:tc>
      </w:tr>
      <w:tr w:rsidR="001137BE" w:rsidRPr="00AC4A92" w14:paraId="16CCBFAA" w14:textId="77777777" w:rsidTr="002D69CC">
        <w:trPr>
          <w:trHeight w:val="245"/>
          <w:jc w:val="center"/>
        </w:trPr>
        <w:tc>
          <w:tcPr>
            <w:tcW w:w="1440" w:type="dxa"/>
            <w:tcBorders>
              <w:top w:val="nil"/>
              <w:bottom w:val="nil"/>
            </w:tcBorders>
            <w:shd w:val="clear" w:color="auto" w:fill="FFFFFF"/>
            <w:vAlign w:val="center"/>
          </w:tcPr>
          <w:p w14:paraId="4D2093B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75CFFEC3" w14:textId="77777777" w:rsidR="001137BE" w:rsidRPr="00AC4A92" w:rsidRDefault="001137BE" w:rsidP="002D69CC">
            <w:pPr>
              <w:pStyle w:val="table"/>
              <w:jc w:val="left"/>
              <w:rPr>
                <w:highlight w:val="cyan"/>
              </w:rPr>
            </w:pPr>
            <w:r w:rsidRPr="00AC4A92">
              <w:rPr>
                <w:highlight w:val="cyan"/>
              </w:rPr>
              <w:t>Discomfort</w:t>
            </w:r>
          </w:p>
        </w:tc>
        <w:tc>
          <w:tcPr>
            <w:tcW w:w="541" w:type="dxa"/>
            <w:tcBorders>
              <w:top w:val="nil"/>
              <w:bottom w:val="nil"/>
            </w:tcBorders>
            <w:shd w:val="clear" w:color="auto" w:fill="FFFFFF"/>
            <w:vAlign w:val="center"/>
          </w:tcPr>
          <w:p w14:paraId="476D87E2" w14:textId="77777777" w:rsidR="001137BE" w:rsidRPr="00AC4A92" w:rsidRDefault="001137BE" w:rsidP="002D69CC">
            <w:pPr>
              <w:pStyle w:val="table"/>
              <w:jc w:val="center"/>
              <w:rPr>
                <w:highlight w:val="cyan"/>
              </w:rPr>
            </w:pPr>
            <w:r w:rsidRPr="00B72259">
              <w:rPr>
                <w:highlight w:val="cyan"/>
                <w:lang w:val="en-CH"/>
              </w:rPr>
              <w:t>19.86</w:t>
            </w:r>
          </w:p>
        </w:tc>
        <w:tc>
          <w:tcPr>
            <w:tcW w:w="542" w:type="dxa"/>
            <w:tcBorders>
              <w:top w:val="nil"/>
              <w:bottom w:val="nil"/>
            </w:tcBorders>
            <w:shd w:val="clear" w:color="auto" w:fill="FFFFFF"/>
            <w:vAlign w:val="center"/>
          </w:tcPr>
          <w:p w14:paraId="5002CB7B" w14:textId="77777777" w:rsidR="001137BE" w:rsidRPr="00AC4A92" w:rsidRDefault="001137BE" w:rsidP="002D69CC">
            <w:pPr>
              <w:pStyle w:val="table"/>
              <w:jc w:val="center"/>
              <w:rPr>
                <w:highlight w:val="cyan"/>
              </w:rPr>
            </w:pPr>
            <w:r w:rsidRPr="00B72259">
              <w:rPr>
                <w:highlight w:val="cyan"/>
                <w:lang w:val="en-CH"/>
              </w:rPr>
              <w:t>24.98</w:t>
            </w:r>
          </w:p>
        </w:tc>
        <w:tc>
          <w:tcPr>
            <w:tcW w:w="261" w:type="dxa"/>
            <w:tcBorders>
              <w:top w:val="nil"/>
              <w:bottom w:val="nil"/>
            </w:tcBorders>
            <w:shd w:val="clear" w:color="auto" w:fill="FFFFFF"/>
            <w:vAlign w:val="center"/>
          </w:tcPr>
          <w:p w14:paraId="16451A7B"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7415B0A1" w14:textId="77777777" w:rsidR="001137BE" w:rsidRPr="00AC4A92" w:rsidRDefault="001137BE" w:rsidP="002D69CC">
            <w:pPr>
              <w:pStyle w:val="table"/>
              <w:jc w:val="center"/>
              <w:rPr>
                <w:highlight w:val="cyan"/>
              </w:rPr>
            </w:pPr>
            <w:r w:rsidRPr="00B72259">
              <w:rPr>
                <w:highlight w:val="cyan"/>
                <w:lang w:val="en-CH"/>
              </w:rPr>
              <w:t>14.17</w:t>
            </w:r>
          </w:p>
        </w:tc>
        <w:tc>
          <w:tcPr>
            <w:tcW w:w="450" w:type="dxa"/>
            <w:tcBorders>
              <w:top w:val="nil"/>
              <w:bottom w:val="nil"/>
            </w:tcBorders>
            <w:shd w:val="clear" w:color="auto" w:fill="FFFFFF"/>
            <w:vAlign w:val="center"/>
          </w:tcPr>
          <w:p w14:paraId="7F26096B" w14:textId="77777777" w:rsidR="001137BE" w:rsidRPr="00AC4A92" w:rsidRDefault="001137BE" w:rsidP="002D69CC">
            <w:pPr>
              <w:pStyle w:val="table"/>
              <w:jc w:val="center"/>
              <w:rPr>
                <w:highlight w:val="cyan"/>
              </w:rPr>
            </w:pPr>
            <w:r w:rsidRPr="00B72259">
              <w:rPr>
                <w:highlight w:val="cyan"/>
                <w:lang w:val="en-CH"/>
              </w:rPr>
              <w:t>17.50</w:t>
            </w:r>
          </w:p>
        </w:tc>
        <w:tc>
          <w:tcPr>
            <w:tcW w:w="270" w:type="dxa"/>
            <w:tcBorders>
              <w:top w:val="nil"/>
              <w:bottom w:val="nil"/>
            </w:tcBorders>
            <w:shd w:val="clear" w:color="auto" w:fill="FFFFFF"/>
            <w:vAlign w:val="center"/>
          </w:tcPr>
          <w:p w14:paraId="71445484"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656B3586" w14:textId="77777777" w:rsidR="001137BE" w:rsidRPr="00AC4A92" w:rsidRDefault="001137BE" w:rsidP="002D69CC">
            <w:pPr>
              <w:pStyle w:val="table"/>
              <w:jc w:val="center"/>
              <w:rPr>
                <w:highlight w:val="cyan"/>
              </w:rPr>
            </w:pPr>
            <w:r w:rsidRPr="00B72259">
              <w:rPr>
                <w:highlight w:val="cyan"/>
                <w:lang w:val="en-CH"/>
              </w:rPr>
              <w:t>0.25</w:t>
            </w:r>
          </w:p>
        </w:tc>
        <w:tc>
          <w:tcPr>
            <w:tcW w:w="630" w:type="dxa"/>
            <w:tcBorders>
              <w:top w:val="nil"/>
              <w:bottom w:val="nil"/>
            </w:tcBorders>
            <w:shd w:val="clear" w:color="auto" w:fill="FFFFFF"/>
            <w:tcMar>
              <w:top w:w="0" w:type="dxa"/>
              <w:left w:w="75" w:type="dxa"/>
              <w:bottom w:w="0" w:type="dxa"/>
              <w:right w:w="75" w:type="dxa"/>
            </w:tcMar>
            <w:vAlign w:val="center"/>
          </w:tcPr>
          <w:p w14:paraId="5CF15355" w14:textId="77777777" w:rsidR="001137BE" w:rsidRPr="00AC4A92" w:rsidRDefault="001137BE" w:rsidP="002D69CC">
            <w:pPr>
              <w:pStyle w:val="table"/>
              <w:tabs>
                <w:tab w:val="decimal" w:pos="181"/>
              </w:tabs>
              <w:jc w:val="center"/>
              <w:rPr>
                <w:highlight w:val="cyan"/>
              </w:rPr>
            </w:pPr>
            <w:r w:rsidRPr="00B72259">
              <w:rPr>
                <w:highlight w:val="cyan"/>
                <w:lang w:val="en-CH"/>
              </w:rPr>
              <w:t>-0.55</w:t>
            </w:r>
          </w:p>
        </w:tc>
        <w:tc>
          <w:tcPr>
            <w:tcW w:w="630" w:type="dxa"/>
            <w:tcBorders>
              <w:top w:val="nil"/>
              <w:bottom w:val="nil"/>
            </w:tcBorders>
            <w:shd w:val="clear" w:color="auto" w:fill="FFFFFF"/>
            <w:tcMar>
              <w:top w:w="0" w:type="dxa"/>
              <w:left w:w="75" w:type="dxa"/>
              <w:bottom w:w="0" w:type="dxa"/>
              <w:right w:w="75" w:type="dxa"/>
            </w:tcMar>
            <w:vAlign w:val="center"/>
          </w:tcPr>
          <w:p w14:paraId="3116D52C" w14:textId="77777777" w:rsidR="001137BE" w:rsidRPr="00AC4A92" w:rsidRDefault="001137BE" w:rsidP="002D69CC">
            <w:pPr>
              <w:pStyle w:val="table"/>
              <w:jc w:val="center"/>
              <w:rPr>
                <w:highlight w:val="cyan"/>
              </w:rPr>
            </w:pPr>
            <w:r w:rsidRPr="00B72259">
              <w:rPr>
                <w:highlight w:val="cyan"/>
                <w:lang w:val="en-CH"/>
              </w:rPr>
              <w:t>1.06</w:t>
            </w:r>
          </w:p>
        </w:tc>
        <w:tc>
          <w:tcPr>
            <w:tcW w:w="450" w:type="dxa"/>
            <w:tcBorders>
              <w:top w:val="nil"/>
              <w:bottom w:val="nil"/>
            </w:tcBorders>
            <w:shd w:val="clear" w:color="auto" w:fill="FFFFFF"/>
            <w:tcMar>
              <w:top w:w="0" w:type="dxa"/>
              <w:left w:w="75" w:type="dxa"/>
              <w:bottom w:w="0" w:type="dxa"/>
              <w:right w:w="75" w:type="dxa"/>
            </w:tcMar>
            <w:vAlign w:val="center"/>
          </w:tcPr>
          <w:p w14:paraId="53FCC509" w14:textId="77777777" w:rsidR="001137BE" w:rsidRPr="00AC4A92" w:rsidRDefault="001137BE" w:rsidP="002D69CC">
            <w:pPr>
              <w:pStyle w:val="table"/>
              <w:jc w:val="center"/>
              <w:rPr>
                <w:highlight w:val="cyan"/>
              </w:rPr>
            </w:pPr>
            <w:r w:rsidRPr="00B72259">
              <w:rPr>
                <w:highlight w:val="cyan"/>
                <w:lang w:val="en-CH"/>
              </w:rPr>
              <w:t>.526</w:t>
            </w:r>
          </w:p>
        </w:tc>
        <w:tc>
          <w:tcPr>
            <w:tcW w:w="630" w:type="dxa"/>
            <w:tcBorders>
              <w:top w:val="nil"/>
              <w:bottom w:val="nil"/>
            </w:tcBorders>
            <w:shd w:val="clear" w:color="auto" w:fill="FFFFFF"/>
            <w:tcMar>
              <w:top w:w="0" w:type="dxa"/>
              <w:left w:w="75" w:type="dxa"/>
              <w:bottom w:w="0" w:type="dxa"/>
              <w:right w:w="75" w:type="dxa"/>
            </w:tcMar>
            <w:vAlign w:val="center"/>
          </w:tcPr>
          <w:p w14:paraId="231FD21F" w14:textId="77777777" w:rsidR="001137BE" w:rsidRPr="00AC4A92" w:rsidRDefault="001137BE" w:rsidP="002D69CC">
            <w:pPr>
              <w:pStyle w:val="table"/>
              <w:jc w:val="center"/>
              <w:rPr>
                <w:highlight w:val="cyan"/>
              </w:rPr>
            </w:pPr>
            <w:r w:rsidRPr="00AC4A92">
              <w:rPr>
                <w:highlight w:val="cyan"/>
                <w:lang w:val="en-CH"/>
              </w:rPr>
              <w:t>&gt;.999</w:t>
            </w:r>
          </w:p>
        </w:tc>
      </w:tr>
      <w:tr w:rsidR="001137BE" w:rsidRPr="00AC4A92" w14:paraId="0C72C8C0" w14:textId="77777777" w:rsidTr="002D69CC">
        <w:trPr>
          <w:trHeight w:val="245"/>
          <w:jc w:val="center"/>
        </w:trPr>
        <w:tc>
          <w:tcPr>
            <w:tcW w:w="1440" w:type="dxa"/>
            <w:tcBorders>
              <w:top w:val="nil"/>
              <w:bottom w:val="nil"/>
            </w:tcBorders>
            <w:shd w:val="clear" w:color="auto" w:fill="FFFFFF"/>
            <w:vAlign w:val="center"/>
          </w:tcPr>
          <w:p w14:paraId="47E18C6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32D48611" w14:textId="77777777" w:rsidR="001137BE" w:rsidRPr="00AC4A92" w:rsidRDefault="001137BE" w:rsidP="002D69CC">
            <w:pPr>
              <w:pStyle w:val="table"/>
              <w:jc w:val="left"/>
              <w:rPr>
                <w:highlight w:val="cyan"/>
              </w:rPr>
            </w:pPr>
            <w:r w:rsidRPr="00AC4A92">
              <w:rPr>
                <w:highlight w:val="cyan"/>
              </w:rPr>
              <w:t>Anxiety</w:t>
            </w:r>
          </w:p>
        </w:tc>
        <w:tc>
          <w:tcPr>
            <w:tcW w:w="541" w:type="dxa"/>
            <w:tcBorders>
              <w:top w:val="nil"/>
              <w:bottom w:val="nil"/>
            </w:tcBorders>
            <w:shd w:val="clear" w:color="auto" w:fill="FFFFFF"/>
            <w:vAlign w:val="center"/>
          </w:tcPr>
          <w:p w14:paraId="1E27FF90" w14:textId="77777777" w:rsidR="001137BE" w:rsidRPr="00AC4A92" w:rsidRDefault="001137BE" w:rsidP="002D69CC">
            <w:pPr>
              <w:pStyle w:val="table"/>
              <w:jc w:val="center"/>
              <w:rPr>
                <w:highlight w:val="cyan"/>
              </w:rPr>
            </w:pPr>
            <w:r w:rsidRPr="00B72259">
              <w:rPr>
                <w:highlight w:val="cyan"/>
                <w:lang w:val="en-CH"/>
              </w:rPr>
              <w:t>25.23</w:t>
            </w:r>
          </w:p>
        </w:tc>
        <w:tc>
          <w:tcPr>
            <w:tcW w:w="542" w:type="dxa"/>
            <w:tcBorders>
              <w:top w:val="nil"/>
              <w:bottom w:val="nil"/>
            </w:tcBorders>
            <w:shd w:val="clear" w:color="auto" w:fill="FFFFFF"/>
            <w:vAlign w:val="center"/>
          </w:tcPr>
          <w:p w14:paraId="7F83F26D" w14:textId="77777777" w:rsidR="001137BE" w:rsidRPr="00AC4A92" w:rsidRDefault="001137BE" w:rsidP="002D69CC">
            <w:pPr>
              <w:pStyle w:val="table"/>
              <w:jc w:val="center"/>
              <w:rPr>
                <w:highlight w:val="cyan"/>
              </w:rPr>
            </w:pPr>
            <w:r w:rsidRPr="00B72259">
              <w:rPr>
                <w:highlight w:val="cyan"/>
                <w:lang w:val="en-CH"/>
              </w:rPr>
              <w:t>25.91</w:t>
            </w:r>
          </w:p>
        </w:tc>
        <w:tc>
          <w:tcPr>
            <w:tcW w:w="261" w:type="dxa"/>
            <w:tcBorders>
              <w:top w:val="nil"/>
              <w:bottom w:val="nil"/>
            </w:tcBorders>
            <w:shd w:val="clear" w:color="auto" w:fill="FFFFFF"/>
            <w:vAlign w:val="center"/>
          </w:tcPr>
          <w:p w14:paraId="03F84BDE"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67833852" w14:textId="77777777" w:rsidR="001137BE" w:rsidRPr="00AC4A92" w:rsidRDefault="001137BE" w:rsidP="002D69CC">
            <w:pPr>
              <w:pStyle w:val="table"/>
              <w:jc w:val="center"/>
              <w:rPr>
                <w:highlight w:val="cyan"/>
              </w:rPr>
            </w:pPr>
            <w:r w:rsidRPr="00B72259">
              <w:rPr>
                <w:highlight w:val="cyan"/>
                <w:lang w:val="en-CH"/>
              </w:rPr>
              <w:t>15.33</w:t>
            </w:r>
          </w:p>
        </w:tc>
        <w:tc>
          <w:tcPr>
            <w:tcW w:w="450" w:type="dxa"/>
            <w:tcBorders>
              <w:top w:val="nil"/>
              <w:bottom w:val="nil"/>
            </w:tcBorders>
            <w:shd w:val="clear" w:color="auto" w:fill="FFFFFF"/>
            <w:vAlign w:val="center"/>
          </w:tcPr>
          <w:p w14:paraId="3014963B" w14:textId="77777777" w:rsidR="001137BE" w:rsidRPr="00AC4A92" w:rsidRDefault="001137BE" w:rsidP="002D69CC">
            <w:pPr>
              <w:pStyle w:val="table"/>
              <w:jc w:val="center"/>
              <w:rPr>
                <w:highlight w:val="cyan"/>
              </w:rPr>
            </w:pPr>
            <w:r w:rsidRPr="00B72259">
              <w:rPr>
                <w:highlight w:val="cyan"/>
                <w:lang w:val="en-CH"/>
              </w:rPr>
              <w:t>16.37</w:t>
            </w:r>
          </w:p>
        </w:tc>
        <w:tc>
          <w:tcPr>
            <w:tcW w:w="270" w:type="dxa"/>
            <w:tcBorders>
              <w:top w:val="nil"/>
              <w:bottom w:val="nil"/>
            </w:tcBorders>
            <w:shd w:val="clear" w:color="auto" w:fill="FFFFFF"/>
            <w:vAlign w:val="center"/>
          </w:tcPr>
          <w:p w14:paraId="20D41340"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02F35279" w14:textId="77777777" w:rsidR="001137BE" w:rsidRPr="00AC4A92" w:rsidRDefault="001137BE" w:rsidP="002D69CC">
            <w:pPr>
              <w:pStyle w:val="table"/>
              <w:jc w:val="center"/>
              <w:rPr>
                <w:highlight w:val="cyan"/>
              </w:rPr>
            </w:pPr>
            <w:r w:rsidRPr="00B72259">
              <w:rPr>
                <w:highlight w:val="cyan"/>
                <w:lang w:val="en-CH"/>
              </w:rPr>
              <w:t>0.44</w:t>
            </w:r>
          </w:p>
        </w:tc>
        <w:tc>
          <w:tcPr>
            <w:tcW w:w="630" w:type="dxa"/>
            <w:tcBorders>
              <w:top w:val="nil"/>
              <w:bottom w:val="nil"/>
            </w:tcBorders>
            <w:shd w:val="clear" w:color="auto" w:fill="FFFFFF"/>
            <w:tcMar>
              <w:top w:w="0" w:type="dxa"/>
              <w:left w:w="75" w:type="dxa"/>
              <w:bottom w:w="0" w:type="dxa"/>
              <w:right w:w="75" w:type="dxa"/>
            </w:tcMar>
            <w:vAlign w:val="center"/>
          </w:tcPr>
          <w:p w14:paraId="4BAFA5BA" w14:textId="77777777" w:rsidR="001137BE" w:rsidRPr="00AC4A92" w:rsidRDefault="001137BE" w:rsidP="002D69CC">
            <w:pPr>
              <w:pStyle w:val="table"/>
              <w:tabs>
                <w:tab w:val="decimal" w:pos="181"/>
              </w:tabs>
              <w:jc w:val="center"/>
              <w:rPr>
                <w:highlight w:val="cyan"/>
              </w:rPr>
            </w:pPr>
            <w:r w:rsidRPr="00B72259">
              <w:rPr>
                <w:highlight w:val="cyan"/>
                <w:lang w:val="en-CH"/>
              </w:rPr>
              <w:t>-0.37</w:t>
            </w:r>
          </w:p>
        </w:tc>
        <w:tc>
          <w:tcPr>
            <w:tcW w:w="630" w:type="dxa"/>
            <w:tcBorders>
              <w:top w:val="nil"/>
              <w:bottom w:val="nil"/>
            </w:tcBorders>
            <w:shd w:val="clear" w:color="auto" w:fill="FFFFFF"/>
            <w:tcMar>
              <w:top w:w="0" w:type="dxa"/>
              <w:left w:w="75" w:type="dxa"/>
              <w:bottom w:w="0" w:type="dxa"/>
              <w:right w:w="75" w:type="dxa"/>
            </w:tcMar>
            <w:vAlign w:val="center"/>
          </w:tcPr>
          <w:p w14:paraId="2C75AC23" w14:textId="77777777" w:rsidR="001137BE" w:rsidRPr="00AC4A92" w:rsidRDefault="001137BE" w:rsidP="002D69CC">
            <w:pPr>
              <w:pStyle w:val="table"/>
              <w:jc w:val="center"/>
              <w:rPr>
                <w:highlight w:val="cyan"/>
              </w:rPr>
            </w:pPr>
            <w:r w:rsidRPr="00B72259">
              <w:rPr>
                <w:highlight w:val="cyan"/>
                <w:lang w:val="en-CH"/>
              </w:rPr>
              <w:t>1.25</w:t>
            </w:r>
          </w:p>
        </w:tc>
        <w:tc>
          <w:tcPr>
            <w:tcW w:w="450" w:type="dxa"/>
            <w:tcBorders>
              <w:top w:val="nil"/>
              <w:bottom w:val="nil"/>
            </w:tcBorders>
            <w:shd w:val="clear" w:color="auto" w:fill="FFFFFF"/>
            <w:tcMar>
              <w:top w:w="0" w:type="dxa"/>
              <w:left w:w="75" w:type="dxa"/>
              <w:bottom w:w="0" w:type="dxa"/>
              <w:right w:w="75" w:type="dxa"/>
            </w:tcMar>
            <w:vAlign w:val="center"/>
          </w:tcPr>
          <w:p w14:paraId="395983D8" w14:textId="77777777" w:rsidR="001137BE" w:rsidRPr="00AC4A92" w:rsidRDefault="001137BE" w:rsidP="002D69CC">
            <w:pPr>
              <w:pStyle w:val="table"/>
              <w:jc w:val="center"/>
              <w:rPr>
                <w:highlight w:val="cyan"/>
              </w:rPr>
            </w:pPr>
            <w:r w:rsidRPr="00B72259">
              <w:rPr>
                <w:highlight w:val="cyan"/>
                <w:lang w:val="en-CH"/>
              </w:rPr>
              <w:t>.278</w:t>
            </w:r>
          </w:p>
        </w:tc>
        <w:tc>
          <w:tcPr>
            <w:tcW w:w="630" w:type="dxa"/>
            <w:tcBorders>
              <w:top w:val="nil"/>
              <w:bottom w:val="nil"/>
            </w:tcBorders>
            <w:shd w:val="clear" w:color="auto" w:fill="FFFFFF"/>
            <w:tcMar>
              <w:top w:w="0" w:type="dxa"/>
              <w:left w:w="75" w:type="dxa"/>
              <w:bottom w:w="0" w:type="dxa"/>
              <w:right w:w="75" w:type="dxa"/>
            </w:tcMar>
            <w:vAlign w:val="center"/>
          </w:tcPr>
          <w:p w14:paraId="3A23DA19" w14:textId="77777777" w:rsidR="001137BE" w:rsidRPr="00AC4A92" w:rsidRDefault="001137BE" w:rsidP="002D69CC">
            <w:pPr>
              <w:pStyle w:val="table"/>
              <w:jc w:val="center"/>
              <w:rPr>
                <w:highlight w:val="cyan"/>
              </w:rPr>
            </w:pPr>
            <w:r w:rsidRPr="00B72259">
              <w:rPr>
                <w:highlight w:val="cyan"/>
                <w:lang w:val="en-CH"/>
              </w:rPr>
              <w:t>.83</w:t>
            </w:r>
            <w:r w:rsidRPr="00AC4A92">
              <w:rPr>
                <w:highlight w:val="cyan"/>
                <w:lang w:val="en-CH"/>
              </w:rPr>
              <w:t>0</w:t>
            </w:r>
          </w:p>
        </w:tc>
      </w:tr>
      <w:tr w:rsidR="001137BE" w:rsidRPr="00AC4A92" w14:paraId="358B0475" w14:textId="77777777" w:rsidTr="002D69CC">
        <w:trPr>
          <w:trHeight w:val="245"/>
          <w:jc w:val="center"/>
        </w:trPr>
        <w:tc>
          <w:tcPr>
            <w:tcW w:w="1440" w:type="dxa"/>
            <w:tcBorders>
              <w:top w:val="nil"/>
              <w:bottom w:val="nil"/>
            </w:tcBorders>
            <w:shd w:val="clear" w:color="auto" w:fill="FFFFFF"/>
            <w:vAlign w:val="center"/>
          </w:tcPr>
          <w:p w14:paraId="2A8C352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5FE01D57" w14:textId="77777777" w:rsidR="001137BE" w:rsidRPr="00AC4A92" w:rsidRDefault="001137BE" w:rsidP="002D69CC">
            <w:pPr>
              <w:pStyle w:val="table"/>
              <w:jc w:val="left"/>
              <w:rPr>
                <w:highlight w:val="cyan"/>
              </w:rPr>
            </w:pPr>
            <w:r w:rsidRPr="00AC4A92">
              <w:rPr>
                <w:highlight w:val="cyan"/>
              </w:rPr>
              <w:t>Stress</w:t>
            </w:r>
          </w:p>
        </w:tc>
        <w:tc>
          <w:tcPr>
            <w:tcW w:w="541" w:type="dxa"/>
            <w:tcBorders>
              <w:top w:val="nil"/>
              <w:bottom w:val="nil"/>
            </w:tcBorders>
            <w:shd w:val="clear" w:color="auto" w:fill="FFFFFF"/>
            <w:vAlign w:val="center"/>
          </w:tcPr>
          <w:p w14:paraId="33D27C55" w14:textId="77777777" w:rsidR="001137BE" w:rsidRPr="00AC4A92" w:rsidRDefault="001137BE" w:rsidP="002D69CC">
            <w:pPr>
              <w:pStyle w:val="table"/>
              <w:jc w:val="center"/>
              <w:rPr>
                <w:highlight w:val="cyan"/>
              </w:rPr>
            </w:pPr>
            <w:r w:rsidRPr="00B72259">
              <w:rPr>
                <w:highlight w:val="cyan"/>
                <w:lang w:val="en-CH"/>
              </w:rPr>
              <w:t>17.23</w:t>
            </w:r>
          </w:p>
        </w:tc>
        <w:tc>
          <w:tcPr>
            <w:tcW w:w="542" w:type="dxa"/>
            <w:tcBorders>
              <w:top w:val="nil"/>
              <w:bottom w:val="nil"/>
            </w:tcBorders>
            <w:shd w:val="clear" w:color="auto" w:fill="FFFFFF"/>
            <w:vAlign w:val="center"/>
          </w:tcPr>
          <w:p w14:paraId="2CF887AC" w14:textId="77777777" w:rsidR="001137BE" w:rsidRPr="00AC4A92" w:rsidRDefault="001137BE" w:rsidP="002D69CC">
            <w:pPr>
              <w:pStyle w:val="table"/>
              <w:jc w:val="center"/>
              <w:rPr>
                <w:highlight w:val="cyan"/>
              </w:rPr>
            </w:pPr>
            <w:r w:rsidRPr="00B72259">
              <w:rPr>
                <w:highlight w:val="cyan"/>
                <w:lang w:val="en-CH"/>
              </w:rPr>
              <w:t>17.79</w:t>
            </w:r>
          </w:p>
        </w:tc>
        <w:tc>
          <w:tcPr>
            <w:tcW w:w="261" w:type="dxa"/>
            <w:tcBorders>
              <w:top w:val="nil"/>
              <w:bottom w:val="nil"/>
            </w:tcBorders>
            <w:shd w:val="clear" w:color="auto" w:fill="FFFFFF"/>
            <w:vAlign w:val="center"/>
          </w:tcPr>
          <w:p w14:paraId="55798D34"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332AD4D0" w14:textId="77777777" w:rsidR="001137BE" w:rsidRPr="00AC4A92" w:rsidRDefault="001137BE" w:rsidP="002D69CC">
            <w:pPr>
              <w:pStyle w:val="table"/>
              <w:jc w:val="center"/>
              <w:rPr>
                <w:highlight w:val="cyan"/>
              </w:rPr>
            </w:pPr>
            <w:r w:rsidRPr="00B72259">
              <w:rPr>
                <w:highlight w:val="cyan"/>
                <w:lang w:val="en-CH"/>
              </w:rPr>
              <w:t>13.92</w:t>
            </w:r>
          </w:p>
        </w:tc>
        <w:tc>
          <w:tcPr>
            <w:tcW w:w="450" w:type="dxa"/>
            <w:tcBorders>
              <w:top w:val="nil"/>
              <w:bottom w:val="nil"/>
            </w:tcBorders>
            <w:shd w:val="clear" w:color="auto" w:fill="FFFFFF"/>
            <w:vAlign w:val="center"/>
          </w:tcPr>
          <w:p w14:paraId="0D331000" w14:textId="77777777" w:rsidR="001137BE" w:rsidRPr="00AC4A92" w:rsidRDefault="001137BE" w:rsidP="002D69CC">
            <w:pPr>
              <w:pStyle w:val="table"/>
              <w:jc w:val="center"/>
              <w:rPr>
                <w:highlight w:val="cyan"/>
              </w:rPr>
            </w:pPr>
            <w:r w:rsidRPr="00B72259">
              <w:rPr>
                <w:highlight w:val="cyan"/>
                <w:lang w:val="en-CH"/>
              </w:rPr>
              <w:t>17.82</w:t>
            </w:r>
          </w:p>
        </w:tc>
        <w:tc>
          <w:tcPr>
            <w:tcW w:w="270" w:type="dxa"/>
            <w:tcBorders>
              <w:top w:val="nil"/>
              <w:bottom w:val="nil"/>
            </w:tcBorders>
            <w:shd w:val="clear" w:color="auto" w:fill="FFFFFF"/>
            <w:vAlign w:val="center"/>
          </w:tcPr>
          <w:p w14:paraId="7AF97AB5"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4FE5601F" w14:textId="77777777" w:rsidR="001137BE" w:rsidRPr="00AC4A92" w:rsidRDefault="001137BE" w:rsidP="002D69CC">
            <w:pPr>
              <w:pStyle w:val="table"/>
              <w:jc w:val="center"/>
              <w:rPr>
                <w:highlight w:val="cyan"/>
              </w:rPr>
            </w:pPr>
            <w:r w:rsidRPr="00B72259">
              <w:rPr>
                <w:highlight w:val="cyan"/>
                <w:lang w:val="en-CH"/>
              </w:rPr>
              <w:t>0.18</w:t>
            </w:r>
          </w:p>
        </w:tc>
        <w:tc>
          <w:tcPr>
            <w:tcW w:w="630" w:type="dxa"/>
            <w:tcBorders>
              <w:top w:val="nil"/>
              <w:bottom w:val="nil"/>
            </w:tcBorders>
            <w:shd w:val="clear" w:color="auto" w:fill="FFFFFF"/>
            <w:tcMar>
              <w:top w:w="0" w:type="dxa"/>
              <w:left w:w="75" w:type="dxa"/>
              <w:bottom w:w="0" w:type="dxa"/>
              <w:right w:w="75" w:type="dxa"/>
            </w:tcMar>
            <w:vAlign w:val="center"/>
          </w:tcPr>
          <w:p w14:paraId="2DA57488" w14:textId="77777777" w:rsidR="001137BE" w:rsidRPr="00AC4A92" w:rsidRDefault="001137BE" w:rsidP="002D69CC">
            <w:pPr>
              <w:pStyle w:val="table"/>
              <w:tabs>
                <w:tab w:val="decimal" w:pos="181"/>
              </w:tabs>
              <w:jc w:val="center"/>
              <w:rPr>
                <w:highlight w:val="cyan"/>
              </w:rPr>
            </w:pPr>
            <w:r w:rsidRPr="00B72259">
              <w:rPr>
                <w:highlight w:val="cyan"/>
                <w:lang w:val="en-CH"/>
              </w:rPr>
              <w:t>-0.62</w:t>
            </w:r>
          </w:p>
        </w:tc>
        <w:tc>
          <w:tcPr>
            <w:tcW w:w="630" w:type="dxa"/>
            <w:tcBorders>
              <w:top w:val="nil"/>
              <w:bottom w:val="nil"/>
            </w:tcBorders>
            <w:shd w:val="clear" w:color="auto" w:fill="FFFFFF"/>
            <w:tcMar>
              <w:top w:w="0" w:type="dxa"/>
              <w:left w:w="75" w:type="dxa"/>
              <w:bottom w:w="0" w:type="dxa"/>
              <w:right w:w="75" w:type="dxa"/>
            </w:tcMar>
            <w:vAlign w:val="center"/>
          </w:tcPr>
          <w:p w14:paraId="3F745521" w14:textId="77777777" w:rsidR="001137BE" w:rsidRPr="00AC4A92" w:rsidRDefault="001137BE" w:rsidP="002D69CC">
            <w:pPr>
              <w:pStyle w:val="table"/>
              <w:jc w:val="center"/>
              <w:rPr>
                <w:highlight w:val="cyan"/>
              </w:rPr>
            </w:pPr>
            <w:r w:rsidRPr="00B72259">
              <w:rPr>
                <w:highlight w:val="cyan"/>
                <w:lang w:val="en-CH"/>
              </w:rPr>
              <w:t>0.98</w:t>
            </w:r>
          </w:p>
        </w:tc>
        <w:tc>
          <w:tcPr>
            <w:tcW w:w="450" w:type="dxa"/>
            <w:tcBorders>
              <w:top w:val="nil"/>
              <w:bottom w:val="nil"/>
            </w:tcBorders>
            <w:shd w:val="clear" w:color="auto" w:fill="FFFFFF"/>
            <w:tcMar>
              <w:top w:w="0" w:type="dxa"/>
              <w:left w:w="75" w:type="dxa"/>
              <w:bottom w:w="0" w:type="dxa"/>
              <w:right w:w="75" w:type="dxa"/>
            </w:tcMar>
            <w:vAlign w:val="center"/>
          </w:tcPr>
          <w:p w14:paraId="6CF2B704" w14:textId="77777777" w:rsidR="001137BE" w:rsidRPr="00AC4A92" w:rsidRDefault="001137BE" w:rsidP="002D69CC">
            <w:pPr>
              <w:pStyle w:val="table"/>
              <w:jc w:val="center"/>
              <w:rPr>
                <w:highlight w:val="cyan"/>
              </w:rPr>
            </w:pPr>
            <w:r w:rsidRPr="00B72259">
              <w:rPr>
                <w:highlight w:val="cyan"/>
                <w:lang w:val="en-CH"/>
              </w:rPr>
              <w:t>.654</w:t>
            </w:r>
          </w:p>
        </w:tc>
        <w:tc>
          <w:tcPr>
            <w:tcW w:w="630" w:type="dxa"/>
            <w:tcBorders>
              <w:top w:val="nil"/>
              <w:bottom w:val="nil"/>
            </w:tcBorders>
            <w:shd w:val="clear" w:color="auto" w:fill="FFFFFF"/>
            <w:tcMar>
              <w:top w:w="0" w:type="dxa"/>
              <w:left w:w="75" w:type="dxa"/>
              <w:bottom w:w="0" w:type="dxa"/>
              <w:right w:w="75" w:type="dxa"/>
            </w:tcMar>
            <w:vAlign w:val="center"/>
          </w:tcPr>
          <w:p w14:paraId="3664011A" w14:textId="77777777" w:rsidR="001137BE" w:rsidRPr="00AC4A92" w:rsidRDefault="001137BE" w:rsidP="002D69CC">
            <w:pPr>
              <w:pStyle w:val="table"/>
              <w:jc w:val="center"/>
              <w:rPr>
                <w:highlight w:val="cyan"/>
              </w:rPr>
            </w:pPr>
            <w:r w:rsidRPr="00AC4A92">
              <w:rPr>
                <w:highlight w:val="cyan"/>
                <w:lang w:val="en-CH"/>
              </w:rPr>
              <w:t>&gt;.999</w:t>
            </w:r>
          </w:p>
        </w:tc>
      </w:tr>
      <w:tr w:rsidR="001137BE" w:rsidRPr="00AC4A92" w14:paraId="40BBC3A0" w14:textId="77777777" w:rsidTr="002D69CC">
        <w:trPr>
          <w:trHeight w:val="245"/>
          <w:jc w:val="center"/>
        </w:trPr>
        <w:tc>
          <w:tcPr>
            <w:tcW w:w="1440" w:type="dxa"/>
            <w:tcBorders>
              <w:top w:val="nil"/>
              <w:bottom w:val="single" w:sz="4" w:space="0" w:color="auto"/>
            </w:tcBorders>
            <w:shd w:val="clear" w:color="auto" w:fill="FFFFFF"/>
            <w:vAlign w:val="center"/>
          </w:tcPr>
          <w:p w14:paraId="3136D751"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1FEF1DF6" w14:textId="77777777" w:rsidR="001137BE" w:rsidRPr="00AC4A92" w:rsidRDefault="001137BE" w:rsidP="002D69CC">
            <w:pPr>
              <w:pStyle w:val="table"/>
              <w:jc w:val="left"/>
              <w:rPr>
                <w:highlight w:val="cyan"/>
              </w:rPr>
            </w:pPr>
            <w:r w:rsidRPr="00AC4A92">
              <w:rPr>
                <w:highlight w:val="cyan"/>
              </w:rPr>
              <w:t>Pooled*</w:t>
            </w:r>
          </w:p>
        </w:tc>
        <w:tc>
          <w:tcPr>
            <w:tcW w:w="541" w:type="dxa"/>
            <w:tcBorders>
              <w:top w:val="nil"/>
              <w:bottom w:val="single" w:sz="4" w:space="0" w:color="auto"/>
            </w:tcBorders>
            <w:shd w:val="clear" w:color="auto" w:fill="FFFFFF"/>
            <w:vAlign w:val="center"/>
          </w:tcPr>
          <w:p w14:paraId="335D308C" w14:textId="77777777" w:rsidR="001137BE" w:rsidRPr="00AC4A92" w:rsidRDefault="001137BE" w:rsidP="002D69CC">
            <w:pPr>
              <w:pStyle w:val="table"/>
              <w:jc w:val="center"/>
              <w:rPr>
                <w:highlight w:val="cyan"/>
              </w:rPr>
            </w:pPr>
            <w:r w:rsidRPr="00F1209B">
              <w:rPr>
                <w:highlight w:val="cyan"/>
                <w:lang w:val="en-CH"/>
              </w:rPr>
              <w:t>20.77</w:t>
            </w:r>
          </w:p>
        </w:tc>
        <w:tc>
          <w:tcPr>
            <w:tcW w:w="542" w:type="dxa"/>
            <w:tcBorders>
              <w:top w:val="nil"/>
              <w:bottom w:val="single" w:sz="4" w:space="0" w:color="auto"/>
            </w:tcBorders>
            <w:shd w:val="clear" w:color="auto" w:fill="FFFFFF"/>
            <w:vAlign w:val="center"/>
          </w:tcPr>
          <w:p w14:paraId="191C3DF5" w14:textId="77777777" w:rsidR="001137BE" w:rsidRPr="00AC4A92" w:rsidRDefault="001137BE" w:rsidP="002D69CC">
            <w:pPr>
              <w:pStyle w:val="table"/>
              <w:jc w:val="center"/>
              <w:rPr>
                <w:highlight w:val="cyan"/>
              </w:rPr>
            </w:pPr>
            <w:r w:rsidRPr="00F1209B">
              <w:rPr>
                <w:highlight w:val="cyan"/>
                <w:lang w:val="en-CH"/>
              </w:rPr>
              <w:t>23.18</w:t>
            </w:r>
          </w:p>
        </w:tc>
        <w:tc>
          <w:tcPr>
            <w:tcW w:w="261" w:type="dxa"/>
            <w:tcBorders>
              <w:top w:val="nil"/>
              <w:bottom w:val="single" w:sz="4" w:space="0" w:color="auto"/>
            </w:tcBorders>
            <w:shd w:val="clear" w:color="auto" w:fill="FFFFFF"/>
            <w:vAlign w:val="center"/>
          </w:tcPr>
          <w:p w14:paraId="6B81A456" w14:textId="77777777" w:rsidR="001137BE" w:rsidRPr="00AC4A92" w:rsidRDefault="001137BE" w:rsidP="002D69CC">
            <w:pPr>
              <w:pStyle w:val="table"/>
              <w:jc w:val="center"/>
              <w:rPr>
                <w:highlight w:val="cyan"/>
              </w:rPr>
            </w:pPr>
            <w:r w:rsidRPr="00F1209B">
              <w:rPr>
                <w:highlight w:val="cyan"/>
                <w:lang w:val="en-CH"/>
              </w:rPr>
              <w:t>12</w:t>
            </w:r>
          </w:p>
        </w:tc>
        <w:tc>
          <w:tcPr>
            <w:tcW w:w="450" w:type="dxa"/>
            <w:tcBorders>
              <w:top w:val="nil"/>
              <w:bottom w:val="single" w:sz="4" w:space="0" w:color="auto"/>
            </w:tcBorders>
            <w:shd w:val="clear" w:color="auto" w:fill="FFFFFF"/>
            <w:vAlign w:val="center"/>
          </w:tcPr>
          <w:p w14:paraId="678A6A41" w14:textId="77777777" w:rsidR="001137BE" w:rsidRPr="00AC4A92" w:rsidRDefault="001137BE" w:rsidP="002D69CC">
            <w:pPr>
              <w:pStyle w:val="table"/>
              <w:jc w:val="center"/>
              <w:rPr>
                <w:highlight w:val="cyan"/>
              </w:rPr>
            </w:pPr>
            <w:r w:rsidRPr="00F1209B">
              <w:rPr>
                <w:highlight w:val="cyan"/>
                <w:lang w:val="en-CH"/>
              </w:rPr>
              <w:t>14.47</w:t>
            </w:r>
          </w:p>
        </w:tc>
        <w:tc>
          <w:tcPr>
            <w:tcW w:w="450" w:type="dxa"/>
            <w:tcBorders>
              <w:top w:val="nil"/>
              <w:bottom w:val="single" w:sz="4" w:space="0" w:color="auto"/>
            </w:tcBorders>
            <w:shd w:val="clear" w:color="auto" w:fill="FFFFFF"/>
            <w:vAlign w:val="center"/>
          </w:tcPr>
          <w:p w14:paraId="441B38EC" w14:textId="77777777" w:rsidR="001137BE" w:rsidRPr="00AC4A92" w:rsidRDefault="001137BE" w:rsidP="002D69CC">
            <w:pPr>
              <w:pStyle w:val="table"/>
              <w:jc w:val="center"/>
              <w:rPr>
                <w:highlight w:val="cyan"/>
              </w:rPr>
            </w:pPr>
            <w:r w:rsidRPr="00F1209B">
              <w:rPr>
                <w:highlight w:val="cyan"/>
                <w:lang w:val="en-CH"/>
              </w:rPr>
              <w:t>17.24</w:t>
            </w:r>
          </w:p>
        </w:tc>
        <w:tc>
          <w:tcPr>
            <w:tcW w:w="270" w:type="dxa"/>
            <w:tcBorders>
              <w:top w:val="nil"/>
              <w:bottom w:val="single" w:sz="4" w:space="0" w:color="auto"/>
            </w:tcBorders>
            <w:shd w:val="clear" w:color="auto" w:fill="FFFFFF"/>
            <w:vAlign w:val="center"/>
          </w:tcPr>
          <w:p w14:paraId="6363927E" w14:textId="77777777" w:rsidR="001137BE" w:rsidRPr="00AC4A92" w:rsidRDefault="001137BE" w:rsidP="002D69CC">
            <w:pPr>
              <w:pStyle w:val="table"/>
              <w:jc w:val="center"/>
              <w:rPr>
                <w:highlight w:val="cyan"/>
              </w:rPr>
            </w:pPr>
            <w:r w:rsidRPr="00F1209B">
              <w:rPr>
                <w:highlight w:val="cyan"/>
                <w:lang w:val="en-CH"/>
              </w:rPr>
              <w:t>12</w:t>
            </w:r>
          </w:p>
        </w:tc>
        <w:tc>
          <w:tcPr>
            <w:tcW w:w="900" w:type="dxa"/>
            <w:tcBorders>
              <w:top w:val="nil"/>
              <w:bottom w:val="single" w:sz="4" w:space="0" w:color="auto"/>
            </w:tcBorders>
            <w:shd w:val="clear" w:color="auto" w:fill="FFFFFF"/>
            <w:tcMar>
              <w:top w:w="0" w:type="dxa"/>
              <w:left w:w="75" w:type="dxa"/>
              <w:bottom w:w="0" w:type="dxa"/>
              <w:right w:w="75" w:type="dxa"/>
            </w:tcMar>
            <w:vAlign w:val="center"/>
          </w:tcPr>
          <w:p w14:paraId="7DF7E707" w14:textId="77777777" w:rsidR="001137BE" w:rsidRPr="00AC4A92" w:rsidRDefault="001137BE" w:rsidP="002D69CC">
            <w:pPr>
              <w:pStyle w:val="table"/>
              <w:jc w:val="center"/>
              <w:rPr>
                <w:highlight w:val="cyan"/>
              </w:rPr>
            </w:pPr>
            <w:r w:rsidRPr="00F1209B">
              <w:rPr>
                <w:highlight w:val="cyan"/>
                <w:lang w:val="en-CH"/>
              </w:rPr>
              <w:t>0.3</w:t>
            </w:r>
            <w:r w:rsidRPr="00AC4A92">
              <w:rPr>
                <w:highlight w:val="cyan"/>
                <w:lang w:val="en-CH"/>
              </w:rPr>
              <w:t>0</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2A66F008" w14:textId="77777777" w:rsidR="001137BE" w:rsidRPr="00AC4A92" w:rsidRDefault="001137BE" w:rsidP="002D69CC">
            <w:pPr>
              <w:pStyle w:val="table"/>
              <w:tabs>
                <w:tab w:val="decimal" w:pos="181"/>
              </w:tabs>
              <w:jc w:val="center"/>
              <w:rPr>
                <w:highlight w:val="cyan"/>
              </w:rPr>
            </w:pPr>
            <w:r w:rsidRPr="00F1209B">
              <w:rPr>
                <w:highlight w:val="cyan"/>
                <w:lang w:val="en-CH"/>
              </w:rPr>
              <w:t>-0.51</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4A131961" w14:textId="77777777" w:rsidR="001137BE" w:rsidRPr="00AC4A92" w:rsidRDefault="001137BE" w:rsidP="002D69CC">
            <w:pPr>
              <w:pStyle w:val="table"/>
              <w:jc w:val="center"/>
              <w:rPr>
                <w:highlight w:val="cyan"/>
              </w:rPr>
            </w:pPr>
            <w:r w:rsidRPr="00F1209B">
              <w:rPr>
                <w:highlight w:val="cyan"/>
                <w:lang w:val="en-CH"/>
              </w:rPr>
              <w:t>1.1</w:t>
            </w:r>
            <w:r w:rsidRPr="00AC4A92">
              <w:rPr>
                <w:highlight w:val="cyan"/>
                <w:lang w:val="en-CH"/>
              </w:rPr>
              <w:t>0</w:t>
            </w:r>
          </w:p>
        </w:tc>
        <w:tc>
          <w:tcPr>
            <w:tcW w:w="450" w:type="dxa"/>
            <w:tcBorders>
              <w:top w:val="nil"/>
              <w:bottom w:val="single" w:sz="4" w:space="0" w:color="auto"/>
            </w:tcBorders>
            <w:shd w:val="clear" w:color="auto" w:fill="FFFFFF"/>
            <w:tcMar>
              <w:top w:w="0" w:type="dxa"/>
              <w:left w:w="75" w:type="dxa"/>
              <w:bottom w:w="0" w:type="dxa"/>
              <w:right w:w="75" w:type="dxa"/>
            </w:tcMar>
            <w:vAlign w:val="center"/>
          </w:tcPr>
          <w:p w14:paraId="59C17A19" w14:textId="77777777" w:rsidR="001137BE" w:rsidRPr="00AC4A92" w:rsidRDefault="001137BE" w:rsidP="002D69CC">
            <w:pPr>
              <w:pStyle w:val="table"/>
              <w:jc w:val="center"/>
              <w:rPr>
                <w:highlight w:val="cyan"/>
              </w:rPr>
            </w:pPr>
            <w:r w:rsidRPr="00F1209B">
              <w:rPr>
                <w:highlight w:val="cyan"/>
                <w:lang w:val="en-CH"/>
              </w:rPr>
              <w:t>.459</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6E760571" w14:textId="77777777" w:rsidR="001137BE" w:rsidRPr="00AC4A92" w:rsidRDefault="001137BE" w:rsidP="002D69CC">
            <w:pPr>
              <w:pStyle w:val="table"/>
              <w:jc w:val="center"/>
              <w:rPr>
                <w:highlight w:val="cyan"/>
              </w:rPr>
            </w:pPr>
            <w:r w:rsidRPr="00AC4A92">
              <w:rPr>
                <w:highlight w:val="cyan"/>
              </w:rPr>
              <w:t>-</w:t>
            </w:r>
          </w:p>
        </w:tc>
      </w:tr>
      <w:tr w:rsidR="001137BE" w:rsidRPr="00F676B9" w14:paraId="5E07DDFE" w14:textId="77777777" w:rsidTr="002D69CC">
        <w:trPr>
          <w:trHeight w:val="434"/>
          <w:jc w:val="center"/>
        </w:trPr>
        <w:tc>
          <w:tcPr>
            <w:tcW w:w="8190" w:type="dxa"/>
            <w:gridSpan w:val="13"/>
            <w:tcBorders>
              <w:top w:val="single" w:sz="4" w:space="0" w:color="auto"/>
              <w:bottom w:val="nil"/>
            </w:tcBorders>
            <w:shd w:val="clear" w:color="auto" w:fill="FFFFFF"/>
            <w:vAlign w:val="center"/>
          </w:tcPr>
          <w:p w14:paraId="7E4CA976" w14:textId="77777777" w:rsidR="001137BE" w:rsidRPr="00AC4A92" w:rsidRDefault="001137BE" w:rsidP="002D69CC">
            <w:pPr>
              <w:pStyle w:val="table"/>
              <w:jc w:val="left"/>
              <w:rPr>
                <w:i/>
                <w:iCs/>
                <w:highlight w:val="cyan"/>
              </w:rPr>
            </w:pPr>
            <w:r w:rsidRPr="00AC4A92">
              <w:rPr>
                <w:i/>
                <w:iCs/>
                <w:highlight w:val="cyan"/>
              </w:rPr>
              <w:t>Notes:</w:t>
            </w:r>
          </w:p>
          <w:p w14:paraId="5E0E19FD" w14:textId="77777777" w:rsidR="001137BE" w:rsidRPr="00B47E3B" w:rsidRDefault="001137BE" w:rsidP="002D69CC">
            <w:pPr>
              <w:ind w:firstLine="0"/>
              <w:jc w:val="left"/>
              <w:rPr>
                <w:sz w:val="16"/>
                <w:szCs w:val="16"/>
              </w:rPr>
            </w:pPr>
            <w:r w:rsidRPr="00AC4A92">
              <w:rPr>
                <w:sz w:val="16"/>
                <w:szCs w:val="16"/>
                <w:highlight w:val="cyan"/>
              </w:rPr>
              <w:t>* Pooled outcome measure were created for these reanalyses and were not reported in the original articles.</w:t>
            </w:r>
          </w:p>
        </w:tc>
      </w:tr>
    </w:tbl>
    <w:p w14:paraId="6EDC465E" w14:textId="77777777" w:rsidR="001137BE" w:rsidRPr="00F676B9" w:rsidRDefault="001137BE" w:rsidP="001137BE"/>
    <w:p w14:paraId="13846FF9" w14:textId="77777777" w:rsidR="001137BE" w:rsidRDefault="001137BE" w:rsidP="001137BE">
      <w:pPr>
        <w:ind w:firstLine="0"/>
      </w:pPr>
    </w:p>
    <w:p w14:paraId="5AC8659E" w14:textId="77777777" w:rsidR="001137BE" w:rsidRDefault="001137BE" w:rsidP="001137BE">
      <w:pPr>
        <w:ind w:firstLine="0"/>
      </w:pPr>
    </w:p>
    <w:p w14:paraId="54EF4726" w14:textId="77777777" w:rsidR="001137BE" w:rsidRPr="00F676B9" w:rsidRDefault="001137BE" w:rsidP="001137BE">
      <w:pPr>
        <w:ind w:firstLine="0"/>
      </w:pPr>
    </w:p>
    <w:p w14:paraId="7A895418" w14:textId="77777777" w:rsidR="001137BE" w:rsidRDefault="001137BE" w:rsidP="001137BE"/>
    <w:p w14:paraId="016C0E04" w14:textId="77777777" w:rsidR="001137BE" w:rsidRPr="00493310" w:rsidRDefault="001137BE" w:rsidP="001137BE">
      <w:pPr>
        <w:pStyle w:val="Heading2"/>
        <w:rPr>
          <w:highlight w:val="cyan"/>
        </w:rPr>
      </w:pPr>
      <w:r w:rsidRPr="00493310">
        <w:rPr>
          <w:highlight w:val="cyan"/>
        </w:rPr>
        <w:t>Assessment of whether intervals were likely to be 95% CIs or SEMs</w:t>
      </w:r>
    </w:p>
    <w:p w14:paraId="29625525" w14:textId="77777777" w:rsidR="001137BE" w:rsidRPr="00493310" w:rsidRDefault="001137BE" w:rsidP="001137BE">
      <w:pPr>
        <w:rPr>
          <w:highlight w:val="cyan"/>
        </w:rPr>
      </w:pPr>
      <w:r w:rsidRPr="00493310">
        <w:rPr>
          <w:highlight w:val="cyan"/>
        </w:rPr>
        <w:t>Given that several of the previously reported reanalyses provide different results depending on whether we assume the intervals reported in Foody et al. (2013) were 95% CIs or SEMs, and the authors of Foody et al. (2013) are unable or unwilling to answer this question, it seems important to gather relevant information to aid our abduction here.</w:t>
      </w:r>
    </w:p>
    <w:p w14:paraId="3C692DEE" w14:textId="77777777" w:rsidR="001137BE" w:rsidRPr="00493310" w:rsidRDefault="001137BE" w:rsidP="001137BE">
      <w:pPr>
        <w:rPr>
          <w:highlight w:val="cyan"/>
        </w:rPr>
      </w:pPr>
      <w:r w:rsidRPr="00493310">
        <w:rPr>
          <w:highlight w:val="cyan"/>
        </w:rPr>
        <w:t xml:space="preserve">One useful source of information is what the authors’ of Foody et al. (2013) report in their other publications. Publications that came from the Barnes-Holmes research group around the time as </w:t>
      </w:r>
      <w:proofErr w:type="spellStart"/>
      <w:r w:rsidRPr="00493310">
        <w:rPr>
          <w:highlight w:val="cyan"/>
        </w:rPr>
        <w:t>Foody’s</w:t>
      </w:r>
      <w:proofErr w:type="spellEnd"/>
      <w:r w:rsidRPr="00493310">
        <w:rPr>
          <w:highlight w:val="cyan"/>
        </w:rPr>
        <w:t xml:space="preserve"> articles were published employed SEMs as error bars in their plots </w:t>
      </w:r>
      <w:r w:rsidRPr="00493310">
        <w:rPr>
          <w:highlight w:val="cyan"/>
        </w:rPr>
        <w:fldChar w:fldCharType="begin"/>
      </w:r>
      <w:r w:rsidRPr="00493310">
        <w:rPr>
          <w:highlight w:val="cyan"/>
        </w:rPr>
        <w:instrText xml:space="preserve"> ADDIN ZOTERO_ITEM CSL_CITATION {"citationID":"i4kPRArt","properties":{"formattedCitation":"(e.g., Hughes &amp; Barnes-Holmes, 2011)","plainCitation":"(e.g., Hughes &amp; Barnes-Holmes, 2011)","noteIndex":0},"citationItems":[{"id":5017,"uris":["http://zotero.org/users/1687755/items/WXEVPCLV"],"itemData":{"id":5017,"type":"article-journal","abstract":"Research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Pr="00493310">
        <w:rPr>
          <w:highlight w:val="cyan"/>
        </w:rPr>
        <w:fldChar w:fldCharType="separate"/>
      </w:r>
      <w:r w:rsidRPr="00493310">
        <w:rPr>
          <w:noProof/>
          <w:highlight w:val="cyan"/>
        </w:rPr>
        <w:t>(e.g., Hughes &amp; Barnes-Holmes, 2011)</w:t>
      </w:r>
      <w:r w:rsidRPr="00493310">
        <w:rPr>
          <w:highlight w:val="cyan"/>
        </w:rPr>
        <w:fldChar w:fldCharType="end"/>
      </w:r>
      <w:r w:rsidRPr="00493310">
        <w:rPr>
          <w:highlight w:val="cyan"/>
        </w:rPr>
        <w:t xml:space="preserve">. This includes one of my own studies which, I should note, also failed to clarify this in text </w:t>
      </w:r>
      <w:r w:rsidRPr="00493310">
        <w:rPr>
          <w:highlight w:val="cyan"/>
        </w:rPr>
        <w:fldChar w:fldCharType="begin"/>
      </w:r>
      <w:r w:rsidRPr="00493310">
        <w:rPr>
          <w:highlight w:val="cyan"/>
        </w:rPr>
        <w:instrText xml:space="preserve"> ADDIN ZOTERO_ITEM CSL_CITATION {"citationID":"ZXBzI0xJ","properties":{"formattedCitation":"(Hussey &amp; Barnes-Holmes, 2012)","plainCitation":"(Hussey &amp; Barnes-Holmes, 2012)","noteIndex":0},"citationItems":[{"id":4339,"uris":["http://zotero.org/users/1687755/items/EJCN67X6"],"itemData":{"id":4339,"type":"article-journal","abstract":"A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Pr="00493310">
        <w:rPr>
          <w:highlight w:val="cyan"/>
        </w:rPr>
        <w:fldChar w:fldCharType="separate"/>
      </w:r>
      <w:r w:rsidRPr="00493310">
        <w:rPr>
          <w:noProof/>
          <w:highlight w:val="cyan"/>
        </w:rPr>
        <w:t>(Hussey &amp; Barnes-Holmes, 2012)</w:t>
      </w:r>
      <w:r w:rsidRPr="00493310">
        <w:rPr>
          <w:highlight w:val="cyan"/>
        </w:rPr>
        <w:fldChar w:fldCharType="end"/>
      </w:r>
      <w:r w:rsidRPr="00493310">
        <w:rPr>
          <w:highlight w:val="cyan"/>
        </w:rPr>
        <w:t xml:space="preserve">. My personal recollection is that we were generally trained by them to plot SEMs. </w:t>
      </w:r>
    </w:p>
    <w:p w14:paraId="2A13DF5D" w14:textId="77777777" w:rsidR="001137BE" w:rsidRPr="00493310" w:rsidRDefault="001137BE" w:rsidP="001137BE">
      <w:pPr>
        <w:rPr>
          <w:highlight w:val="cyan"/>
        </w:rPr>
      </w:pPr>
      <w:r w:rsidRPr="00493310">
        <w:rPr>
          <w:highlight w:val="cyan"/>
        </w:rPr>
        <w:t xml:space="preserve">Another source of information is to compare the known standard deviations reported in previously published studies with the standard deviations extracted from </w:t>
      </w:r>
      <w:proofErr w:type="spellStart"/>
      <w:r w:rsidRPr="00493310">
        <w:rPr>
          <w:highlight w:val="cyan"/>
        </w:rPr>
        <w:t>Foody’s</w:t>
      </w:r>
      <w:proofErr w:type="spellEnd"/>
      <w:r w:rsidRPr="00493310">
        <w:rPr>
          <w:highlight w:val="cyan"/>
        </w:rPr>
        <w:t xml:space="preserve"> work under both assumptions of what the intervals represent (Foody et al., 2012; Foody et al., 2013; Foody, 2013). Given that the interventions involve an unknown degree of inter-individual heterogeneity, it is safer to compare the standard deviations of the baseline and post induction time points between studies. </w:t>
      </w:r>
    </w:p>
    <w:p w14:paraId="60507E11" w14:textId="77777777" w:rsidR="00BC474F" w:rsidRDefault="00BC474F"/>
    <w:p w14:paraId="6979BFC2" w14:textId="77777777" w:rsidR="008237F2" w:rsidRDefault="008237F2"/>
    <w:p w14:paraId="66E43D5D" w14:textId="77777777" w:rsidR="008237F2" w:rsidRDefault="008237F2"/>
    <w:p w14:paraId="3B5FF0E2" w14:textId="77777777" w:rsidR="008237F2" w:rsidRDefault="008237F2"/>
    <w:p w14:paraId="5C4ABB58" w14:textId="77777777" w:rsidR="008237F2" w:rsidRDefault="008237F2" w:rsidP="008237F2">
      <w:r w:rsidRPr="00D050C7">
        <w:rPr>
          <w:highlight w:val="yellow"/>
        </w:rPr>
        <w:t>There is good reason to believe that Foody et al. were aware that some form of pairwise comparisons between groups or timepoints beyond the RM-ANOVAs would be informative: because Foody, in her unpublished direct replication of their 2013 study (Foody, 2013, experiment 10) reported such pairwise comparisons between timepoints for each condition</w:t>
      </w:r>
      <w:r w:rsidRPr="003F4DE4">
        <w:rPr>
          <w:highlight w:val="yellow"/>
        </w:rPr>
        <w:t>. – and claimed she found significant results where she did not</w:t>
      </w:r>
      <w:r>
        <w:rPr>
          <w:highlight w:val="yellow"/>
        </w:rPr>
        <w:t xml:space="preserve"> (e.g., p.180)</w:t>
      </w:r>
      <w:r w:rsidRPr="003F4DE4">
        <w:rPr>
          <w:highlight w:val="yellow"/>
        </w:rPr>
        <w:t>.</w:t>
      </w:r>
    </w:p>
    <w:p w14:paraId="6C4CE06E" w14:textId="77777777" w:rsidR="008237F2" w:rsidRDefault="008237F2"/>
    <w:p w14:paraId="7A061F9B" w14:textId="77777777" w:rsidR="008237F2" w:rsidRDefault="008237F2"/>
    <w:p w14:paraId="669466E3" w14:textId="663C03AE" w:rsidR="008237F2" w:rsidRDefault="008237F2">
      <w:r w:rsidRPr="001C2503">
        <w:rPr>
          <w:highlight w:val="cyan"/>
        </w:rPr>
        <w:t>Foody et al. (2013) do present mean change scores between time points for each of the visual analogue scales: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inferences about the population effect cannot be made on the basis of the sample means alone.</w:t>
      </w:r>
    </w:p>
    <w:sectPr w:rsidR="0082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BE"/>
    <w:rsid w:val="000351E4"/>
    <w:rsid w:val="001137BE"/>
    <w:rsid w:val="006513D9"/>
    <w:rsid w:val="008237F2"/>
    <w:rsid w:val="00BC474F"/>
    <w:rsid w:val="00D61A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9E4D11E"/>
  <w15:chartTrackingRefBased/>
  <w15:docId w15:val="{AE3C109A-EC1A-8446-B1AC-3F8BB5E5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E"/>
    <w:pPr>
      <w:ind w:firstLine="360"/>
      <w:jc w:val="both"/>
    </w:pPr>
    <w:rPr>
      <w:rFonts w:ascii="CMU Serif Roman" w:eastAsia="Times New Roman" w:hAnsi="CMU Serif Roman" w:cs="CMU Serif Roman"/>
      <w:kern w:val="0"/>
      <w:sz w:val="18"/>
      <w:szCs w:val="18"/>
      <w:lang w:val="en-IE" w:eastAsia="en-GB"/>
      <w14:ligatures w14:val="none"/>
    </w:rPr>
  </w:style>
  <w:style w:type="paragraph" w:styleId="Heading1">
    <w:name w:val="heading 1"/>
    <w:basedOn w:val="Normal"/>
    <w:next w:val="Normal"/>
    <w:link w:val="Heading1Char"/>
    <w:uiPriority w:val="9"/>
    <w:qFormat/>
    <w:rsid w:val="001137BE"/>
    <w:pPr>
      <w:keepNext/>
      <w:keepLines/>
      <w:spacing w:before="360" w:after="80"/>
      <w:ind w:firstLine="0"/>
      <w:jc w:val="left"/>
      <w:outlineLvl w:val="0"/>
    </w:pPr>
    <w:rPr>
      <w:rFonts w:asciiTheme="majorHAnsi" w:eastAsiaTheme="majorEastAsia" w:hAnsiTheme="majorHAnsi" w:cstheme="majorBidi"/>
      <w:color w:val="0F4761" w:themeColor="accent1" w:themeShade="BF"/>
      <w:kern w:val="2"/>
      <w:sz w:val="40"/>
      <w:szCs w:val="40"/>
      <w:lang w:val="en-CH" w:eastAsia="en-US"/>
      <w14:ligatures w14:val="standardContextual"/>
    </w:rPr>
  </w:style>
  <w:style w:type="paragraph" w:styleId="Heading2">
    <w:name w:val="heading 2"/>
    <w:basedOn w:val="Normal"/>
    <w:next w:val="Normal"/>
    <w:link w:val="Heading2Char"/>
    <w:uiPriority w:val="9"/>
    <w:unhideWhenUsed/>
    <w:qFormat/>
    <w:rsid w:val="001137BE"/>
    <w:pPr>
      <w:keepNext/>
      <w:keepLines/>
      <w:spacing w:before="160" w:after="80"/>
      <w:ind w:firstLine="0"/>
      <w:jc w:val="left"/>
      <w:outlineLvl w:val="1"/>
    </w:pPr>
    <w:rPr>
      <w:rFonts w:asciiTheme="majorHAnsi" w:eastAsiaTheme="majorEastAsia" w:hAnsiTheme="majorHAnsi" w:cstheme="majorBidi"/>
      <w:color w:val="0F4761" w:themeColor="accent1" w:themeShade="BF"/>
      <w:kern w:val="2"/>
      <w:sz w:val="32"/>
      <w:szCs w:val="32"/>
      <w:lang w:val="en-CH" w:eastAsia="en-US"/>
      <w14:ligatures w14:val="standardContextual"/>
    </w:rPr>
  </w:style>
  <w:style w:type="paragraph" w:styleId="Heading3">
    <w:name w:val="heading 3"/>
    <w:basedOn w:val="Normal"/>
    <w:next w:val="Normal"/>
    <w:link w:val="Heading3Char"/>
    <w:uiPriority w:val="9"/>
    <w:semiHidden/>
    <w:unhideWhenUsed/>
    <w:qFormat/>
    <w:rsid w:val="001137BE"/>
    <w:pPr>
      <w:keepNext/>
      <w:keepLines/>
      <w:spacing w:before="160" w:after="80"/>
      <w:ind w:firstLine="0"/>
      <w:jc w:val="left"/>
      <w:outlineLvl w:val="2"/>
    </w:pPr>
    <w:rPr>
      <w:rFonts w:asciiTheme="minorHAnsi" w:eastAsiaTheme="majorEastAsia" w:hAnsiTheme="minorHAnsi" w:cstheme="majorBidi"/>
      <w:color w:val="0F4761" w:themeColor="accent1" w:themeShade="BF"/>
      <w:kern w:val="2"/>
      <w:sz w:val="28"/>
      <w:szCs w:val="28"/>
      <w:lang w:val="en-CH" w:eastAsia="en-US"/>
      <w14:ligatures w14:val="standardContextual"/>
    </w:rPr>
  </w:style>
  <w:style w:type="paragraph" w:styleId="Heading4">
    <w:name w:val="heading 4"/>
    <w:basedOn w:val="Normal"/>
    <w:next w:val="Normal"/>
    <w:link w:val="Heading4Char"/>
    <w:uiPriority w:val="9"/>
    <w:semiHidden/>
    <w:unhideWhenUsed/>
    <w:qFormat/>
    <w:rsid w:val="001137BE"/>
    <w:pPr>
      <w:keepNext/>
      <w:keepLines/>
      <w:spacing w:before="80" w:after="40"/>
      <w:ind w:firstLine="0"/>
      <w:jc w:val="left"/>
      <w:outlineLvl w:val="3"/>
    </w:pPr>
    <w:rPr>
      <w:rFonts w:asciiTheme="minorHAnsi" w:eastAsiaTheme="majorEastAsia" w:hAnsiTheme="minorHAnsi" w:cstheme="majorBidi"/>
      <w:i/>
      <w:iCs/>
      <w:color w:val="0F4761" w:themeColor="accent1" w:themeShade="BF"/>
      <w:kern w:val="2"/>
      <w:sz w:val="24"/>
      <w:szCs w:val="24"/>
      <w:lang w:val="en-CH" w:eastAsia="en-US"/>
      <w14:ligatures w14:val="standardContextual"/>
    </w:rPr>
  </w:style>
  <w:style w:type="paragraph" w:styleId="Heading5">
    <w:name w:val="heading 5"/>
    <w:basedOn w:val="Normal"/>
    <w:next w:val="Normal"/>
    <w:link w:val="Heading5Char"/>
    <w:uiPriority w:val="9"/>
    <w:semiHidden/>
    <w:unhideWhenUsed/>
    <w:qFormat/>
    <w:rsid w:val="001137BE"/>
    <w:pPr>
      <w:keepNext/>
      <w:keepLines/>
      <w:spacing w:before="80" w:after="40"/>
      <w:ind w:firstLine="0"/>
      <w:jc w:val="left"/>
      <w:outlineLvl w:val="4"/>
    </w:pPr>
    <w:rPr>
      <w:rFonts w:asciiTheme="minorHAnsi" w:eastAsiaTheme="majorEastAsia" w:hAnsiTheme="minorHAnsi" w:cstheme="majorBidi"/>
      <w:color w:val="0F4761" w:themeColor="accent1" w:themeShade="BF"/>
      <w:kern w:val="2"/>
      <w:sz w:val="24"/>
      <w:szCs w:val="24"/>
      <w:lang w:val="en-CH" w:eastAsia="en-US"/>
      <w14:ligatures w14:val="standardContextual"/>
    </w:rPr>
  </w:style>
  <w:style w:type="paragraph" w:styleId="Heading6">
    <w:name w:val="heading 6"/>
    <w:basedOn w:val="Normal"/>
    <w:next w:val="Normal"/>
    <w:link w:val="Heading6Char"/>
    <w:uiPriority w:val="9"/>
    <w:semiHidden/>
    <w:unhideWhenUsed/>
    <w:qFormat/>
    <w:rsid w:val="001137BE"/>
    <w:pPr>
      <w:keepNext/>
      <w:keepLines/>
      <w:spacing w:before="40"/>
      <w:ind w:firstLine="0"/>
      <w:jc w:val="left"/>
      <w:outlineLvl w:val="5"/>
    </w:pPr>
    <w:rPr>
      <w:rFonts w:asciiTheme="minorHAnsi" w:eastAsiaTheme="majorEastAsia" w:hAnsiTheme="minorHAnsi" w:cstheme="majorBidi"/>
      <w:i/>
      <w:iCs/>
      <w:color w:val="595959" w:themeColor="text1" w:themeTint="A6"/>
      <w:kern w:val="2"/>
      <w:sz w:val="24"/>
      <w:szCs w:val="24"/>
      <w:lang w:val="en-CH" w:eastAsia="en-US"/>
      <w14:ligatures w14:val="standardContextual"/>
    </w:rPr>
  </w:style>
  <w:style w:type="paragraph" w:styleId="Heading7">
    <w:name w:val="heading 7"/>
    <w:basedOn w:val="Normal"/>
    <w:next w:val="Normal"/>
    <w:link w:val="Heading7Char"/>
    <w:uiPriority w:val="9"/>
    <w:semiHidden/>
    <w:unhideWhenUsed/>
    <w:qFormat/>
    <w:rsid w:val="001137BE"/>
    <w:pPr>
      <w:keepNext/>
      <w:keepLines/>
      <w:spacing w:before="40"/>
      <w:ind w:firstLine="0"/>
      <w:jc w:val="left"/>
      <w:outlineLvl w:val="6"/>
    </w:pPr>
    <w:rPr>
      <w:rFonts w:asciiTheme="minorHAnsi" w:eastAsiaTheme="majorEastAsia" w:hAnsiTheme="minorHAnsi" w:cstheme="majorBidi"/>
      <w:color w:val="595959" w:themeColor="text1" w:themeTint="A6"/>
      <w:kern w:val="2"/>
      <w:sz w:val="24"/>
      <w:szCs w:val="24"/>
      <w:lang w:val="en-CH" w:eastAsia="en-US"/>
      <w14:ligatures w14:val="standardContextual"/>
    </w:rPr>
  </w:style>
  <w:style w:type="paragraph" w:styleId="Heading8">
    <w:name w:val="heading 8"/>
    <w:basedOn w:val="Normal"/>
    <w:next w:val="Normal"/>
    <w:link w:val="Heading8Char"/>
    <w:uiPriority w:val="9"/>
    <w:semiHidden/>
    <w:unhideWhenUsed/>
    <w:qFormat/>
    <w:rsid w:val="001137BE"/>
    <w:pPr>
      <w:keepNext/>
      <w:keepLines/>
      <w:ind w:firstLine="0"/>
      <w:jc w:val="left"/>
      <w:outlineLvl w:val="7"/>
    </w:pPr>
    <w:rPr>
      <w:rFonts w:asciiTheme="minorHAnsi" w:eastAsiaTheme="majorEastAsia" w:hAnsiTheme="minorHAnsi" w:cstheme="majorBidi"/>
      <w:i/>
      <w:iCs/>
      <w:color w:val="272727" w:themeColor="text1" w:themeTint="D8"/>
      <w:kern w:val="2"/>
      <w:sz w:val="24"/>
      <w:szCs w:val="24"/>
      <w:lang w:val="en-CH" w:eastAsia="en-US"/>
      <w14:ligatures w14:val="standardContextual"/>
    </w:rPr>
  </w:style>
  <w:style w:type="paragraph" w:styleId="Heading9">
    <w:name w:val="heading 9"/>
    <w:basedOn w:val="Normal"/>
    <w:next w:val="Normal"/>
    <w:link w:val="Heading9Char"/>
    <w:uiPriority w:val="9"/>
    <w:semiHidden/>
    <w:unhideWhenUsed/>
    <w:qFormat/>
    <w:rsid w:val="001137BE"/>
    <w:pPr>
      <w:keepNext/>
      <w:keepLines/>
      <w:ind w:firstLine="0"/>
      <w:jc w:val="left"/>
      <w:outlineLvl w:val="8"/>
    </w:pPr>
    <w:rPr>
      <w:rFonts w:asciiTheme="minorHAnsi" w:eastAsiaTheme="majorEastAsia" w:hAnsiTheme="minorHAnsi" w:cstheme="majorBidi"/>
      <w:color w:val="272727" w:themeColor="text1" w:themeTint="D8"/>
      <w:kern w:val="2"/>
      <w:sz w:val="24"/>
      <w:szCs w:val="24"/>
      <w:lang w:val="en-CH"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BE"/>
    <w:rPr>
      <w:rFonts w:eastAsiaTheme="majorEastAsia" w:cstheme="majorBidi"/>
      <w:color w:val="272727" w:themeColor="text1" w:themeTint="D8"/>
    </w:rPr>
  </w:style>
  <w:style w:type="paragraph" w:styleId="Title">
    <w:name w:val="Title"/>
    <w:basedOn w:val="Normal"/>
    <w:next w:val="Normal"/>
    <w:link w:val="TitleChar"/>
    <w:uiPriority w:val="10"/>
    <w:qFormat/>
    <w:rsid w:val="001137BE"/>
    <w:pPr>
      <w:spacing w:after="80"/>
      <w:ind w:firstLine="0"/>
      <w:contextualSpacing/>
      <w:jc w:val="left"/>
    </w:pPr>
    <w:rPr>
      <w:rFonts w:asciiTheme="majorHAnsi" w:eastAsiaTheme="majorEastAsia" w:hAnsiTheme="majorHAnsi" w:cstheme="majorBidi"/>
      <w:spacing w:val="-10"/>
      <w:kern w:val="28"/>
      <w:sz w:val="56"/>
      <w:szCs w:val="56"/>
      <w:lang w:val="en-CH" w:eastAsia="en-US"/>
      <w14:ligatures w14:val="standardContextual"/>
    </w:rPr>
  </w:style>
  <w:style w:type="character" w:customStyle="1" w:styleId="TitleChar">
    <w:name w:val="Title Char"/>
    <w:basedOn w:val="DefaultParagraphFont"/>
    <w:link w:val="Title"/>
    <w:uiPriority w:val="10"/>
    <w:rsid w:val="00113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BE"/>
    <w:pPr>
      <w:numPr>
        <w:ilvl w:val="1"/>
      </w:numPr>
      <w:spacing w:after="160"/>
      <w:ind w:firstLine="360"/>
      <w:jc w:val="left"/>
    </w:pPr>
    <w:rPr>
      <w:rFonts w:asciiTheme="minorHAnsi" w:eastAsiaTheme="majorEastAsia" w:hAnsiTheme="minorHAnsi" w:cstheme="majorBidi"/>
      <w:color w:val="595959" w:themeColor="text1" w:themeTint="A6"/>
      <w:spacing w:val="15"/>
      <w:kern w:val="2"/>
      <w:sz w:val="28"/>
      <w:szCs w:val="28"/>
      <w:lang w:val="en-CH" w:eastAsia="en-US"/>
      <w14:ligatures w14:val="standardContextual"/>
    </w:rPr>
  </w:style>
  <w:style w:type="character" w:customStyle="1" w:styleId="SubtitleChar">
    <w:name w:val="Subtitle Char"/>
    <w:basedOn w:val="DefaultParagraphFont"/>
    <w:link w:val="Subtitle"/>
    <w:uiPriority w:val="11"/>
    <w:rsid w:val="00113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BE"/>
    <w:pPr>
      <w:spacing w:before="160" w:after="160"/>
      <w:ind w:firstLine="0"/>
      <w:jc w:val="center"/>
    </w:pPr>
    <w:rPr>
      <w:rFonts w:asciiTheme="minorHAnsi" w:eastAsiaTheme="minorHAnsi" w:hAnsiTheme="minorHAnsi" w:cstheme="minorBidi"/>
      <w:i/>
      <w:iCs/>
      <w:color w:val="404040" w:themeColor="text1" w:themeTint="BF"/>
      <w:kern w:val="2"/>
      <w:sz w:val="24"/>
      <w:szCs w:val="24"/>
      <w:lang w:val="en-CH" w:eastAsia="en-US"/>
      <w14:ligatures w14:val="standardContextual"/>
    </w:rPr>
  </w:style>
  <w:style w:type="character" w:customStyle="1" w:styleId="QuoteChar">
    <w:name w:val="Quote Char"/>
    <w:basedOn w:val="DefaultParagraphFont"/>
    <w:link w:val="Quote"/>
    <w:uiPriority w:val="29"/>
    <w:rsid w:val="001137BE"/>
    <w:rPr>
      <w:i/>
      <w:iCs/>
      <w:color w:val="404040" w:themeColor="text1" w:themeTint="BF"/>
    </w:rPr>
  </w:style>
  <w:style w:type="paragraph" w:styleId="ListParagraph">
    <w:name w:val="List Paragraph"/>
    <w:basedOn w:val="Normal"/>
    <w:uiPriority w:val="34"/>
    <w:qFormat/>
    <w:rsid w:val="001137BE"/>
    <w:pPr>
      <w:ind w:left="720" w:firstLine="0"/>
      <w:contextualSpacing/>
      <w:jc w:val="left"/>
    </w:pPr>
    <w:rPr>
      <w:rFonts w:asciiTheme="minorHAnsi" w:eastAsiaTheme="minorHAnsi" w:hAnsiTheme="minorHAnsi" w:cstheme="minorBidi"/>
      <w:kern w:val="2"/>
      <w:sz w:val="24"/>
      <w:szCs w:val="24"/>
      <w:lang w:val="en-CH" w:eastAsia="en-US"/>
      <w14:ligatures w14:val="standardContextual"/>
    </w:rPr>
  </w:style>
  <w:style w:type="character" w:styleId="IntenseEmphasis">
    <w:name w:val="Intense Emphasis"/>
    <w:basedOn w:val="DefaultParagraphFont"/>
    <w:uiPriority w:val="21"/>
    <w:qFormat/>
    <w:rsid w:val="001137BE"/>
    <w:rPr>
      <w:i/>
      <w:iCs/>
      <w:color w:val="0F4761" w:themeColor="accent1" w:themeShade="BF"/>
    </w:rPr>
  </w:style>
  <w:style w:type="paragraph" w:styleId="IntenseQuote">
    <w:name w:val="Intense Quote"/>
    <w:basedOn w:val="Normal"/>
    <w:next w:val="Normal"/>
    <w:link w:val="IntenseQuoteChar"/>
    <w:uiPriority w:val="30"/>
    <w:qFormat/>
    <w:rsid w:val="001137BE"/>
    <w:pPr>
      <w:pBdr>
        <w:top w:val="single" w:sz="4" w:space="10" w:color="0F4761" w:themeColor="accent1" w:themeShade="BF"/>
        <w:bottom w:val="single" w:sz="4" w:space="10" w:color="0F4761" w:themeColor="accent1" w:themeShade="BF"/>
      </w:pBdr>
      <w:spacing w:before="360" w:after="360"/>
      <w:ind w:left="864" w:right="864" w:firstLine="0"/>
      <w:jc w:val="center"/>
    </w:pPr>
    <w:rPr>
      <w:rFonts w:asciiTheme="minorHAnsi" w:eastAsiaTheme="minorHAnsi" w:hAnsiTheme="minorHAnsi" w:cstheme="minorBidi"/>
      <w:i/>
      <w:iCs/>
      <w:color w:val="0F4761" w:themeColor="accent1" w:themeShade="BF"/>
      <w:kern w:val="2"/>
      <w:sz w:val="24"/>
      <w:szCs w:val="24"/>
      <w:lang w:val="en-CH" w:eastAsia="en-US"/>
      <w14:ligatures w14:val="standardContextual"/>
    </w:rPr>
  </w:style>
  <w:style w:type="character" w:customStyle="1" w:styleId="IntenseQuoteChar">
    <w:name w:val="Intense Quote Char"/>
    <w:basedOn w:val="DefaultParagraphFont"/>
    <w:link w:val="IntenseQuote"/>
    <w:uiPriority w:val="30"/>
    <w:rsid w:val="001137BE"/>
    <w:rPr>
      <w:i/>
      <w:iCs/>
      <w:color w:val="0F4761" w:themeColor="accent1" w:themeShade="BF"/>
    </w:rPr>
  </w:style>
  <w:style w:type="character" w:styleId="IntenseReference">
    <w:name w:val="Intense Reference"/>
    <w:basedOn w:val="DefaultParagraphFont"/>
    <w:uiPriority w:val="32"/>
    <w:qFormat/>
    <w:rsid w:val="001137BE"/>
    <w:rPr>
      <w:b/>
      <w:bCs/>
      <w:smallCaps/>
      <w:color w:val="0F4761" w:themeColor="accent1" w:themeShade="BF"/>
      <w:spacing w:val="5"/>
    </w:rPr>
  </w:style>
  <w:style w:type="paragraph" w:customStyle="1" w:styleId="table">
    <w:name w:val="table"/>
    <w:basedOn w:val="Normal"/>
    <w:qFormat/>
    <w:rsid w:val="001137BE"/>
    <w:pPr>
      <w:ind w:firstLine="15"/>
    </w:pPr>
    <w:rPr>
      <w:sz w:val="16"/>
      <w:szCs w:val="16"/>
    </w:rPr>
  </w:style>
  <w:style w:type="paragraph" w:customStyle="1" w:styleId="figureandtabletitle">
    <w:name w:val="figure and table title"/>
    <w:basedOn w:val="Normal"/>
    <w:qFormat/>
    <w:rsid w:val="001137BE"/>
    <w:pPr>
      <w:spacing w:before="120" w:after="12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cp:revision>
  <dcterms:created xsi:type="dcterms:W3CDTF">2024-08-05T16:59:00Z</dcterms:created>
  <dcterms:modified xsi:type="dcterms:W3CDTF">2024-09-03T23:02:00Z</dcterms:modified>
</cp:coreProperties>
</file>