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7908" w14:textId="4D9F23CD" w:rsidR="005231F8" w:rsidRDefault="005231F8" w:rsidP="005231F8">
      <w:pPr>
        <w:pStyle w:val="Heading3"/>
      </w:pPr>
      <w:r>
        <w:t>Status as a replication</w:t>
      </w:r>
    </w:p>
    <w:p w14:paraId="63E979FC" w14:textId="77777777" w:rsidR="00832EB7" w:rsidRDefault="007F71CD" w:rsidP="00A95530">
      <w:pPr>
        <w:ind w:firstLine="720"/>
      </w:pPr>
      <w:r>
        <w:t>Replication studies can provide important insights into phenomena as they assess whether procedures, analyses, results, and claims can be reproduced and generalized</w:t>
      </w:r>
      <w:r w:rsidR="00E85C0D">
        <w:t xml:space="preserve"> (</w:t>
      </w:r>
      <w:r w:rsidR="00E85C0D" w:rsidRPr="00E85C0D">
        <w:rPr>
          <w:highlight w:val="yellow"/>
        </w:rPr>
        <w:t>REF</w:t>
      </w:r>
      <w:r w:rsidR="00E85C0D">
        <w:t>).</w:t>
      </w:r>
      <w:r>
        <w:t xml:space="preserve"> </w:t>
      </w:r>
      <w:r w:rsidR="009112E3">
        <w:t xml:space="preserve">There is no single definition of what does and does not constitute a replication, and there is ongoing debate about what nomenclature and taxonomy is useful in distinguishing between subtypes such as conceptual versus direct replications (e.g., REFs). </w:t>
      </w:r>
      <w:r w:rsidR="006B5E62">
        <w:t xml:space="preserve">However, a common theme in attempts to describe the defining features of replication is a strong overlap between studies in their </w:t>
      </w:r>
      <w:r w:rsidR="008B4C2A">
        <w:t>hypothesis</w:t>
      </w:r>
      <w:r w:rsidR="006B5E62">
        <w:t xml:space="preserve">, design, measures, and/or analyses. </w:t>
      </w:r>
      <w:r w:rsidR="008B4C2A" w:rsidRPr="00450788">
        <w:rPr>
          <w:highlight w:val="yellow"/>
        </w:rPr>
        <w:t xml:space="preserve">The “success” or “failure” of a replication study is typically defined in terms of the congruence </w:t>
      </w:r>
      <w:r w:rsidR="005E3F9D" w:rsidRPr="00450788">
        <w:rPr>
          <w:highlight w:val="yellow"/>
        </w:rPr>
        <w:t>in</w:t>
      </w:r>
      <w:r w:rsidR="008B4C2A" w:rsidRPr="00450788">
        <w:rPr>
          <w:highlight w:val="yellow"/>
        </w:rPr>
        <w:t xml:space="preserve"> its results and support for the </w:t>
      </w:r>
      <w:r w:rsidR="005E3F9D" w:rsidRPr="00450788">
        <w:rPr>
          <w:highlight w:val="yellow"/>
        </w:rPr>
        <w:t>hypothesis</w:t>
      </w:r>
      <w:r w:rsidR="008B4C2A" w:rsidRPr="00450788">
        <w:rPr>
          <w:highlight w:val="yellow"/>
        </w:rPr>
        <w:t xml:space="preserve"> </w:t>
      </w:r>
      <w:r w:rsidR="005E3F9D" w:rsidRPr="00450788">
        <w:rPr>
          <w:highlight w:val="yellow"/>
        </w:rPr>
        <w:t xml:space="preserve">between the replication study and the </w:t>
      </w:r>
      <w:r w:rsidR="008B4C2A" w:rsidRPr="00450788">
        <w:rPr>
          <w:highlight w:val="yellow"/>
        </w:rPr>
        <w:t>original study</w:t>
      </w:r>
      <w:r w:rsidR="005E3F9D" w:rsidRPr="00450788">
        <w:rPr>
          <w:highlight w:val="yellow"/>
        </w:rPr>
        <w:t>.</w:t>
      </w:r>
      <w:r w:rsidR="005E3F9D">
        <w:t xml:space="preserve"> </w:t>
      </w:r>
      <w:r w:rsidR="008E6690">
        <w:t xml:space="preserve">Such overlaps serve to constrain Researcher Degrees of Freedom, that is, flexibility in conduction of a study which may (inadvertently or not) </w:t>
      </w:r>
      <w:r w:rsidR="006B2182">
        <w:t xml:space="preserve">serve to </w:t>
      </w:r>
      <w:r w:rsidR="008E6690">
        <w:t xml:space="preserve">weaken </w:t>
      </w:r>
      <w:r w:rsidR="00BC4F15">
        <w:t xml:space="preserve">the evidence supporting </w:t>
      </w:r>
      <w:r w:rsidR="008E6690">
        <w:t xml:space="preserve">a study’s claims and give rise to non-replicable results. Researcher Degrees of Freedom have been argued to play a central role in the replication crisis in psychology </w:t>
      </w:r>
      <w:r w:rsidR="008E6690">
        <w:fldChar w:fldCharType="begin"/>
      </w:r>
      <w:r w:rsidR="008E6690">
        <w:instrText xml:space="preserve"> ADDIN ZOTERO_ITEM CSL_CITATION {"citationID":"obXVqkMD","properties":{"formattedCitation":"(Nosek et al., 2022; Simmons et al., 2011)","plainCitation":"(Nosek et al., 2022; Simmons et al., 2011)","noteIndex":0},"citationItems":[{"id":15249,"uris":["http://zotero.org/users/1687755/items/UH4PXK54"],"itemData":{"id":15249,"type":"article-journal","abstract":"Replication—an important, uncommon, and misunderstood practice—is gaining appreciation in psychology. Achieving replicability is important for making research progress. If findings are not replicable, then prediction and theory development are stifled. If findings are replicable, then interrogation of their meaning and validity can advance knowledge. Assessing replicability can be productive for generating and testing hypotheses by actively confronting current understandings to identify weaknesses and spur innovation. For psychology, the 2010s might be characterized as a decade of active confrontation. Systematic and multi-site replication projects assessed current understandings and observed surprising failures to replicate many published findings. Replication efforts highlighted sociocultural challenges such as disincentives to conduct replications and a tendency to frame replication as a personal attack rather than a healthy scientific practice, and they raised awareness that replication contributes to self-correction. Nevertheless, innovation in doing and understanding replication and its cousins, reproducibility and robustness, has positioned psychology to improve research practices and accelerate progress.","container-title":"Annual Review of Psychology","DOI":"10.1146/annurev-psych-020821-114157","issue":"1","note":"_eprint: https://doi.org/10.1146/annurev-psych-020821-114157\nPMID: 34665669","page":"719-748","source":"Annual Reviews","title":"Replicability, Robustness, and Reproducibility in Psychological Science","volume":"73","author":[{"family":"Nosek","given":"Brian A."},{"family":"Hardwicke","given":"Tom E."},{"family":"Moshontz","given":"Hannah"},{"family":"Allard","given":"Aurélien"},{"family":"Corker","given":"Katherine S."},{"family":"Dreber","given":"Anna"},{"family":"Fidler","given":"Fiona"},{"family":"Hilgard","given":"Joe"},{"family":"Kline Struhl","given":"Melissa"},{"family":"Nuijten","given":"Michèle B."},{"family":"Rohrer","given":"Julia M."},{"family":"Romero","given":"Felipe"},{"family":"Scheel","given":"Anne M."},{"family":"Scherer","given":"Laura D."},{"family":"Schönbrodt","given":"Felix D."},{"family":"Vazire","given":"Simine"}],"issued":{"date-parts":[["2022"]]}}},{"id":3054,"uris":["http://zotero.org/users/1687755/items/MWZZTGDR"],"itemData":{"id":3054,"type":"article-journal","container-title":"Psychological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8E6690">
        <w:fldChar w:fldCharType="separate"/>
      </w:r>
      <w:r w:rsidR="008E6690">
        <w:rPr>
          <w:noProof/>
        </w:rPr>
        <w:t>(Nosek et al., 2022; Simmons et al., 2011)</w:t>
      </w:r>
      <w:r w:rsidR="008E6690">
        <w:fldChar w:fldCharType="end"/>
      </w:r>
      <w:r w:rsidR="008E6690">
        <w:t xml:space="preserve">. </w:t>
      </w:r>
    </w:p>
    <w:p w14:paraId="05CE0E9F" w14:textId="17CDC581" w:rsidR="009112E3" w:rsidRDefault="00832EB7" w:rsidP="00E009E3">
      <w:pPr>
        <w:ind w:firstLine="720"/>
      </w:pPr>
      <w:r>
        <w:t xml:space="preserve">Foody et al. (2013) state that </w:t>
      </w:r>
      <w:r w:rsidRPr="00A95530">
        <w:t>“the research was a replication of a previous study by Luciano et al. (2011)</w:t>
      </w:r>
      <w:r>
        <w:t xml:space="preserve">”. Their article therefore gains additional importance by identifying as a replication, as should therefore represent a higher bar of evidence for the underlying claim. </w:t>
      </w:r>
      <w:r w:rsidR="001C0B0C">
        <w:t>In order to assess whether it is appropriate to label Foody et al. (2013) as a replication study</w:t>
      </w:r>
      <w:r>
        <w:t xml:space="preserve"> – a distinction which</w:t>
      </w:r>
      <w:r w:rsidR="001C0B0C">
        <w:t xml:space="preserve"> influences the evidentiary value we should place on its results</w:t>
      </w:r>
      <w:r w:rsidR="00C6496E">
        <w:t xml:space="preserve"> –</w:t>
      </w:r>
      <w:r w:rsidR="001C0B0C">
        <w:t xml:space="preserve"> i</w:t>
      </w:r>
      <w:r w:rsidR="00450788">
        <w:t>t</w:t>
      </w:r>
      <w:r w:rsidR="00C6496E">
        <w:t xml:space="preserve"> </w:t>
      </w:r>
      <w:r w:rsidR="00450788">
        <w:t xml:space="preserve">is therefore useful to examine the overlap between Foody et al. (2013) and </w:t>
      </w:r>
      <w:r w:rsidR="00217633">
        <w:t>Luciano et al. (2011)</w:t>
      </w:r>
      <w:r w:rsidR="005A4EDE">
        <w:t xml:space="preserve">. </w:t>
      </w:r>
      <w:r w:rsidR="00857884">
        <w:t xml:space="preserve">Foody et </w:t>
      </w:r>
      <w:proofErr w:type="spellStart"/>
      <w:r w:rsidR="00857884">
        <w:t>al.</w:t>
      </w:r>
      <w:proofErr w:type="spellEnd"/>
      <w:r w:rsidR="00857884">
        <w:t xml:space="preserve"> (2013) do acknowledge one important difference between their work and Luciano et al. (2011) </w:t>
      </w:r>
      <w:r w:rsidR="006C5FF9">
        <w:t xml:space="preserve">when self-identifying the work as a replication: </w:t>
      </w:r>
      <w:r w:rsidR="00857884" w:rsidRPr="00A95530">
        <w:t xml:space="preserve">“the research was a replication </w:t>
      </w:r>
      <w:r w:rsidR="00857884">
        <w:t xml:space="preserve">… </w:t>
      </w:r>
      <w:r w:rsidR="00857884" w:rsidRPr="00A95530">
        <w:t>except that we were able to use less intensive interventions with our non-clinical sample” (p. 384)</w:t>
      </w:r>
      <w:r w:rsidR="00E009E3">
        <w:t xml:space="preserve">. </w:t>
      </w:r>
      <w:r w:rsidR="00A1689E">
        <w:t xml:space="preserve">However, many other unacknowledged differences exist (see </w:t>
      </w:r>
      <w:r w:rsidR="005A4EDE">
        <w:t>Table 1</w:t>
      </w:r>
      <w:r w:rsidR="00A1689E">
        <w:t>)</w:t>
      </w:r>
      <w:r w:rsidR="005A4EDE">
        <w:t>.</w:t>
      </w:r>
      <w:r w:rsidR="00857884">
        <w:t xml:space="preserve"> </w:t>
      </w:r>
    </w:p>
    <w:p w14:paraId="2FE35702" w14:textId="3F8DAA43" w:rsidR="00DA3CAE" w:rsidRDefault="00DA3CAE" w:rsidP="00DA3CAE"/>
    <w:p w14:paraId="572ABEA9" w14:textId="77777777" w:rsidR="00B2276A" w:rsidRDefault="00B2276A">
      <w:r>
        <w:br w:type="page"/>
      </w:r>
    </w:p>
    <w:p w14:paraId="38C9B192" w14:textId="5F3A35B1" w:rsidR="00DA3CAE" w:rsidRDefault="00DA3CAE" w:rsidP="00DA3CAE">
      <w:r>
        <w:lastRenderedPageBreak/>
        <w:t>Table 1. Comparisons between Foody et al. (2013) and Luciano et al. (2011)</w:t>
      </w:r>
    </w:p>
    <w:tbl>
      <w:tblPr>
        <w:tblStyle w:val="TableGrid"/>
        <w:tblW w:w="9258" w:type="dxa"/>
        <w:tblLook w:val="04A0" w:firstRow="1" w:lastRow="0" w:firstColumn="1" w:lastColumn="0" w:noHBand="0" w:noVBand="1"/>
      </w:tblPr>
      <w:tblGrid>
        <w:gridCol w:w="3086"/>
        <w:gridCol w:w="3086"/>
        <w:gridCol w:w="3086"/>
      </w:tblGrid>
      <w:tr w:rsidR="00B2276A" w14:paraId="0B819B3D" w14:textId="77777777" w:rsidTr="00221538">
        <w:trPr>
          <w:trHeight w:val="246"/>
        </w:trPr>
        <w:tc>
          <w:tcPr>
            <w:tcW w:w="3086" w:type="dxa"/>
          </w:tcPr>
          <w:p w14:paraId="6CA38B83" w14:textId="06763CD0" w:rsidR="00B2276A" w:rsidRDefault="00B2276A" w:rsidP="00DA3CAE"/>
        </w:tc>
        <w:tc>
          <w:tcPr>
            <w:tcW w:w="3086" w:type="dxa"/>
          </w:tcPr>
          <w:p w14:paraId="592C1627" w14:textId="0EE4BBBA" w:rsidR="00B2276A" w:rsidRDefault="00B2276A" w:rsidP="00DA3CAE">
            <w:r>
              <w:t>Luciano et al. (2011)</w:t>
            </w:r>
          </w:p>
        </w:tc>
        <w:tc>
          <w:tcPr>
            <w:tcW w:w="3086" w:type="dxa"/>
          </w:tcPr>
          <w:p w14:paraId="0B5AAFDC" w14:textId="588BCE4D" w:rsidR="00B2276A" w:rsidRDefault="00B2276A" w:rsidP="00DA3CAE">
            <w:r>
              <w:t>Foody et al. (2013)</w:t>
            </w:r>
          </w:p>
        </w:tc>
      </w:tr>
      <w:tr w:rsidR="00B2276A" w14:paraId="4DC5DCB4" w14:textId="77777777" w:rsidTr="00221538">
        <w:trPr>
          <w:trHeight w:val="277"/>
        </w:trPr>
        <w:tc>
          <w:tcPr>
            <w:tcW w:w="3086" w:type="dxa"/>
          </w:tcPr>
          <w:p w14:paraId="062D1F99" w14:textId="756E8FA8" w:rsidR="00B2276A" w:rsidRDefault="004C12BC" w:rsidP="00DA3CAE">
            <w:r>
              <w:t>Sample</w:t>
            </w:r>
          </w:p>
        </w:tc>
        <w:tc>
          <w:tcPr>
            <w:tcW w:w="3086" w:type="dxa"/>
          </w:tcPr>
          <w:p w14:paraId="0C21D90C" w14:textId="66B4259A" w:rsidR="00B2276A" w:rsidRDefault="004C12BC" w:rsidP="00DA3CAE">
            <w:r>
              <w:t>Clinical sample of adolescents</w:t>
            </w:r>
          </w:p>
        </w:tc>
        <w:tc>
          <w:tcPr>
            <w:tcW w:w="3086" w:type="dxa"/>
          </w:tcPr>
          <w:p w14:paraId="09905823" w14:textId="663FA749" w:rsidR="00B2276A" w:rsidRDefault="004C12BC" w:rsidP="00DA3CAE">
            <w:r>
              <w:t>Non-clinical sample of adults</w:t>
            </w:r>
          </w:p>
        </w:tc>
      </w:tr>
      <w:tr w:rsidR="00B2276A" w14:paraId="668DF2C5" w14:textId="77777777" w:rsidTr="00221538">
        <w:trPr>
          <w:trHeight w:val="277"/>
        </w:trPr>
        <w:tc>
          <w:tcPr>
            <w:tcW w:w="3086" w:type="dxa"/>
          </w:tcPr>
          <w:p w14:paraId="3AB0BB1C" w14:textId="122BF1F0" w:rsidR="00B2276A" w:rsidRDefault="00B21AF5" w:rsidP="00DA3CAE">
            <w:r>
              <w:t>Design</w:t>
            </w:r>
          </w:p>
        </w:tc>
        <w:tc>
          <w:tcPr>
            <w:tcW w:w="3086" w:type="dxa"/>
          </w:tcPr>
          <w:p w14:paraId="2906F338" w14:textId="0A3CED9E" w:rsidR="00B2276A" w:rsidRDefault="00B21AF5" w:rsidP="00DA3CAE">
            <w:r>
              <w:t>Quasi-</w:t>
            </w:r>
            <w:r w:rsidR="007F29AF">
              <w:t>experiment</w:t>
            </w:r>
            <w:r w:rsidR="00996969">
              <w:t xml:space="preserve"> (non-random assignment to defusion intervention conditions based on severity)</w:t>
            </w:r>
          </w:p>
        </w:tc>
        <w:tc>
          <w:tcPr>
            <w:tcW w:w="3086" w:type="dxa"/>
          </w:tcPr>
          <w:p w14:paraId="0AAD8137" w14:textId="6A476DA8" w:rsidR="00B2276A" w:rsidRDefault="00B21AF5" w:rsidP="00DA3CAE">
            <w:r>
              <w:t>Laboratory analogue study</w:t>
            </w:r>
            <w:r w:rsidR="00996969">
              <w:t xml:space="preserve"> (random assignment to defusion intervention condition)</w:t>
            </w:r>
          </w:p>
        </w:tc>
      </w:tr>
      <w:tr w:rsidR="00B2276A" w14:paraId="15FC3FA2" w14:textId="77777777" w:rsidTr="00221538">
        <w:trPr>
          <w:trHeight w:val="264"/>
        </w:trPr>
        <w:tc>
          <w:tcPr>
            <w:tcW w:w="3086" w:type="dxa"/>
          </w:tcPr>
          <w:p w14:paraId="6EA75C82" w14:textId="3240DB3A" w:rsidR="00B2276A" w:rsidRDefault="0069218C" w:rsidP="00DA3CAE">
            <w:r>
              <w:t>Distress induction procedure</w:t>
            </w:r>
          </w:p>
        </w:tc>
        <w:tc>
          <w:tcPr>
            <w:tcW w:w="3086" w:type="dxa"/>
          </w:tcPr>
          <w:p w14:paraId="2594EB7A" w14:textId="4354C422" w:rsidR="00B2276A" w:rsidRDefault="0069218C" w:rsidP="00DA3CAE">
            <w:r>
              <w:t>No</w:t>
            </w:r>
          </w:p>
        </w:tc>
        <w:tc>
          <w:tcPr>
            <w:tcW w:w="3086" w:type="dxa"/>
          </w:tcPr>
          <w:p w14:paraId="5D1A71B9" w14:textId="12C49619" w:rsidR="00B2276A" w:rsidRDefault="0069218C" w:rsidP="00DA3CAE">
            <w:r>
              <w:t>Yes</w:t>
            </w:r>
          </w:p>
        </w:tc>
      </w:tr>
      <w:tr w:rsidR="00B2276A" w14:paraId="11772378" w14:textId="77777777" w:rsidTr="00221538">
        <w:trPr>
          <w:trHeight w:val="277"/>
        </w:trPr>
        <w:tc>
          <w:tcPr>
            <w:tcW w:w="3086" w:type="dxa"/>
          </w:tcPr>
          <w:p w14:paraId="0921F250" w14:textId="623B9F32" w:rsidR="00B2276A" w:rsidRDefault="0069218C" w:rsidP="00DA3CAE">
            <w:r>
              <w:t>Interventions</w:t>
            </w:r>
          </w:p>
        </w:tc>
        <w:tc>
          <w:tcPr>
            <w:tcW w:w="3086" w:type="dxa"/>
          </w:tcPr>
          <w:p w14:paraId="06A9EA64" w14:textId="77777777" w:rsidR="0069218C" w:rsidRDefault="0069218C" w:rsidP="00DA3CAE">
            <w:r>
              <w:t>Value clarification (all participants)</w:t>
            </w:r>
          </w:p>
          <w:p w14:paraId="76598CF9" w14:textId="54ED05F6" w:rsidR="0069218C" w:rsidRDefault="0069218C" w:rsidP="00DA3CAE">
            <w:r>
              <w:t>Defusion (distinction vs. hierarchical conditions; non-random assignment)</w:t>
            </w:r>
          </w:p>
        </w:tc>
        <w:tc>
          <w:tcPr>
            <w:tcW w:w="3086" w:type="dxa"/>
          </w:tcPr>
          <w:p w14:paraId="64822936" w14:textId="56C787CA" w:rsidR="00B2276A" w:rsidRDefault="00F0174D" w:rsidP="00F0174D">
            <w:r>
              <w:t>Defusion (distinction vs. hierarchical conditions)</w:t>
            </w:r>
          </w:p>
        </w:tc>
      </w:tr>
      <w:tr w:rsidR="005E6FA8" w14:paraId="4F8F47FC" w14:textId="77777777" w:rsidTr="00221538">
        <w:trPr>
          <w:trHeight w:val="277"/>
        </w:trPr>
        <w:tc>
          <w:tcPr>
            <w:tcW w:w="3086" w:type="dxa"/>
          </w:tcPr>
          <w:p w14:paraId="2DA41AD5" w14:textId="3896B9B2" w:rsidR="005E6FA8" w:rsidRDefault="005E6FA8" w:rsidP="00DA3CAE">
            <w:r>
              <w:t>Timepoints</w:t>
            </w:r>
          </w:p>
        </w:tc>
        <w:tc>
          <w:tcPr>
            <w:tcW w:w="3086" w:type="dxa"/>
          </w:tcPr>
          <w:p w14:paraId="0BA6387F" w14:textId="52C8148C" w:rsidR="005E6FA8" w:rsidRDefault="005E6FA8" w:rsidP="00DA3CAE">
            <w:r>
              <w:t>7 therapy sessions over 4 months</w:t>
            </w:r>
          </w:p>
        </w:tc>
        <w:tc>
          <w:tcPr>
            <w:tcW w:w="3086" w:type="dxa"/>
          </w:tcPr>
          <w:p w14:paraId="02D20ED2" w14:textId="57884CD1" w:rsidR="005E6FA8" w:rsidRDefault="005E6FA8" w:rsidP="00F0174D">
            <w:r>
              <w:t>Single experimental session with 3 measurements (baseline, post distress induction, post defusion intervention)</w:t>
            </w:r>
          </w:p>
        </w:tc>
      </w:tr>
      <w:tr w:rsidR="000E2083" w14:paraId="5DEFA13A" w14:textId="77777777" w:rsidTr="00221538">
        <w:trPr>
          <w:trHeight w:val="277"/>
        </w:trPr>
        <w:tc>
          <w:tcPr>
            <w:tcW w:w="3086" w:type="dxa"/>
          </w:tcPr>
          <w:p w14:paraId="39159761" w14:textId="38BD19D5" w:rsidR="000E2083" w:rsidRDefault="000E2083" w:rsidP="00DA3CAE">
            <w:r>
              <w:t>Outcome variable</w:t>
            </w:r>
            <w:r w:rsidR="0093752E">
              <w:t>s</w:t>
            </w:r>
          </w:p>
        </w:tc>
        <w:tc>
          <w:tcPr>
            <w:tcW w:w="3086" w:type="dxa"/>
          </w:tcPr>
          <w:p w14:paraId="007974A8" w14:textId="173C1315" w:rsidR="00325061" w:rsidRDefault="00325061" w:rsidP="00DA3CAE">
            <w:r>
              <w:t xml:space="preserve">Multi-item self-report Likert scales. </w:t>
            </w:r>
          </w:p>
          <w:p w14:paraId="76B4C592" w14:textId="77777777" w:rsidR="00325061" w:rsidRDefault="00325061" w:rsidP="00DA3CAE"/>
          <w:p w14:paraId="69EEB4F4" w14:textId="4238F3F4" w:rsidR="00325061" w:rsidRPr="00325061" w:rsidRDefault="00325061" w:rsidP="00DA3CAE">
            <w:pPr>
              <w:rPr>
                <w:i/>
                <w:iCs/>
              </w:rPr>
            </w:pPr>
            <w:r w:rsidRPr="00325061">
              <w:rPr>
                <w:i/>
                <w:iCs/>
              </w:rPr>
              <w:t xml:space="preserve">Established </w:t>
            </w:r>
            <w:r>
              <w:rPr>
                <w:i/>
                <w:iCs/>
              </w:rPr>
              <w:t>measures</w:t>
            </w:r>
            <w:r w:rsidRPr="00325061">
              <w:rPr>
                <w:i/>
                <w:iCs/>
              </w:rPr>
              <w:t>:</w:t>
            </w:r>
          </w:p>
          <w:p w14:paraId="39589CA8" w14:textId="2EF82392" w:rsidR="00E76AE7" w:rsidRDefault="00E76AE7" w:rsidP="00DA3CAE">
            <w:r w:rsidRPr="00E76AE7">
              <w:t>Spanish Avoidance and Fusion Questionnaire (</w:t>
            </w:r>
            <w:r>
              <w:t>AFQ-S)</w:t>
            </w:r>
          </w:p>
          <w:p w14:paraId="49B814E3" w14:textId="62AD706F" w:rsidR="00E76AE7" w:rsidRDefault="00E76AE7" w:rsidP="00DA3CAE">
            <w:r w:rsidRPr="00E76AE7">
              <w:t>Accepting wi</w:t>
            </w:r>
            <w:r>
              <w:t>t</w:t>
            </w:r>
            <w:r w:rsidRPr="00E76AE7">
              <w:t>hout Judgment Scale of the Kentucky Inventory of Mindfulness Skills</w:t>
            </w:r>
            <w:r>
              <w:t xml:space="preserve"> (</w:t>
            </w:r>
            <w:r w:rsidRPr="00E76AE7">
              <w:t>KIMS</w:t>
            </w:r>
            <w:r>
              <w:t>)</w:t>
            </w:r>
          </w:p>
          <w:p w14:paraId="32BF4916" w14:textId="100C740B" w:rsidR="00325061" w:rsidRDefault="00325061" w:rsidP="00DA3CAE"/>
          <w:p w14:paraId="48CC832B" w14:textId="79F5B48E" w:rsidR="00325061" w:rsidRPr="00325061" w:rsidRDefault="00325061" w:rsidP="00DA3CAE">
            <w:pPr>
              <w:rPr>
                <w:i/>
                <w:iCs/>
              </w:rPr>
            </w:pPr>
            <w:r w:rsidRPr="00325061">
              <w:rPr>
                <w:i/>
                <w:iCs/>
              </w:rPr>
              <w:t>Ad hoc measures:</w:t>
            </w:r>
          </w:p>
          <w:p w14:paraId="5D0AE5A5" w14:textId="220FAE52" w:rsidR="00325061" w:rsidRDefault="00325061" w:rsidP="00DA3CAE">
            <w:r w:rsidRPr="00325061">
              <w:t xml:space="preserve">Impulsive </w:t>
            </w:r>
            <w:proofErr w:type="spellStart"/>
            <w:r w:rsidRPr="00325061">
              <w:t>Behavior</w:t>
            </w:r>
            <w:proofErr w:type="spellEnd"/>
            <w:r w:rsidRPr="00325061">
              <w:t xml:space="preserve"> Inventory</w:t>
            </w:r>
            <w:r>
              <w:t xml:space="preserve"> (IBI)</w:t>
            </w:r>
          </w:p>
          <w:p w14:paraId="0C5D340A" w14:textId="2B1A6742" w:rsidR="000E2083" w:rsidRPr="00231883" w:rsidRDefault="00325061" w:rsidP="00DA3CAE">
            <w:r w:rsidRPr="00325061">
              <w:t xml:space="preserve">Emotional </w:t>
            </w:r>
            <w:proofErr w:type="spellStart"/>
            <w:r w:rsidRPr="00325061">
              <w:t>Behavior</w:t>
            </w:r>
            <w:proofErr w:type="spellEnd"/>
            <w:r w:rsidRPr="00325061">
              <w:t xml:space="preserve"> Inventory</w:t>
            </w:r>
            <w:r>
              <w:t xml:space="preserve"> (EBI)</w:t>
            </w:r>
          </w:p>
        </w:tc>
        <w:tc>
          <w:tcPr>
            <w:tcW w:w="3086" w:type="dxa"/>
          </w:tcPr>
          <w:p w14:paraId="41B15CFE" w14:textId="77777777" w:rsidR="000E2083" w:rsidRDefault="00780464" w:rsidP="00F0174D">
            <w:r>
              <w:t>Single item Visual Analogue Scales</w:t>
            </w:r>
          </w:p>
          <w:p w14:paraId="363F93C6" w14:textId="77777777" w:rsidR="00780464" w:rsidRDefault="00780464" w:rsidP="00F0174D"/>
          <w:p w14:paraId="7C579CA5" w14:textId="48214E9E" w:rsidR="001364C3" w:rsidRDefault="00780464" w:rsidP="00F0174D">
            <w:pPr>
              <w:rPr>
                <w:i/>
                <w:iCs/>
              </w:rPr>
            </w:pPr>
            <w:r w:rsidRPr="00CA005D">
              <w:rPr>
                <w:i/>
                <w:iCs/>
              </w:rPr>
              <w:t>Ad hoc measures</w:t>
            </w:r>
            <w:r w:rsidR="00CA005D">
              <w:rPr>
                <w:i/>
                <w:iCs/>
              </w:rPr>
              <w:t>:</w:t>
            </w:r>
          </w:p>
          <w:p w14:paraId="185A05BA" w14:textId="7215A210" w:rsidR="00CA005D" w:rsidRDefault="00CA005D" w:rsidP="00F0174D">
            <w:r>
              <w:t>Discomfort</w:t>
            </w:r>
          </w:p>
          <w:p w14:paraId="42F73DEB" w14:textId="6E6F5715" w:rsidR="00CA005D" w:rsidRDefault="00CA005D" w:rsidP="00F0174D">
            <w:r>
              <w:t>Anxiety</w:t>
            </w:r>
          </w:p>
          <w:p w14:paraId="406CB7FD" w14:textId="4A9D9DCD" w:rsidR="00CA005D" w:rsidRPr="00CA005D" w:rsidRDefault="00CA005D" w:rsidP="00F0174D">
            <w:r>
              <w:t>Stress</w:t>
            </w:r>
          </w:p>
          <w:p w14:paraId="5B93DF98" w14:textId="77777777" w:rsidR="00CA005D" w:rsidRDefault="00817F02" w:rsidP="00CA005D">
            <w:pPr>
              <w:rPr>
                <w:rStyle w:val="highlight"/>
              </w:rPr>
            </w:pPr>
            <w:r>
              <w:rPr>
                <w:rStyle w:val="highlight"/>
              </w:rPr>
              <w:t xml:space="preserve">e.g., </w:t>
            </w:r>
            <w:r w:rsidR="00CA005D">
              <w:rPr>
                <w:rStyle w:val="highlight"/>
              </w:rPr>
              <w:t xml:space="preserve">“How much discomfort do you feel right now?” </w:t>
            </w:r>
          </w:p>
          <w:p w14:paraId="6EA22844" w14:textId="7BF16CE6" w:rsidR="00817F02" w:rsidRPr="0094173B" w:rsidRDefault="0094173B" w:rsidP="00CA005D">
            <w:proofErr w:type="spellStart"/>
            <w:r>
              <w:t>n.b.</w:t>
            </w:r>
            <w:proofErr w:type="spellEnd"/>
            <w:r>
              <w:t xml:space="preserve">, these are collectively described as measures of “distress” and all conclusions related to distress rather than </w:t>
            </w:r>
          </w:p>
        </w:tc>
      </w:tr>
      <w:tr w:rsidR="005E6FA8" w14:paraId="16D5ABC7" w14:textId="77777777" w:rsidTr="00221538">
        <w:trPr>
          <w:trHeight w:val="277"/>
        </w:trPr>
        <w:tc>
          <w:tcPr>
            <w:tcW w:w="3086" w:type="dxa"/>
          </w:tcPr>
          <w:p w14:paraId="46C96325" w14:textId="7F26875E" w:rsidR="005E6FA8" w:rsidRDefault="00231883" w:rsidP="00DA3CAE">
            <w:r>
              <w:t>Analytic method</w:t>
            </w:r>
          </w:p>
        </w:tc>
        <w:tc>
          <w:tcPr>
            <w:tcW w:w="3086" w:type="dxa"/>
          </w:tcPr>
          <w:p w14:paraId="36ED4FB1" w14:textId="7869F94D" w:rsidR="00231883" w:rsidRDefault="00231883" w:rsidP="00DA3CAE">
            <w:r w:rsidRPr="00231883">
              <w:t xml:space="preserve">Mann-Whitney </w:t>
            </w:r>
            <w:r w:rsidRPr="00231883">
              <w:rPr>
                <w:i/>
                <w:iCs/>
              </w:rPr>
              <w:t>U</w:t>
            </w:r>
            <w:r>
              <w:t xml:space="preserve"> tests between conditions</w:t>
            </w:r>
          </w:p>
        </w:tc>
        <w:tc>
          <w:tcPr>
            <w:tcW w:w="3086" w:type="dxa"/>
          </w:tcPr>
          <w:p w14:paraId="49171D8E" w14:textId="25448EF3" w:rsidR="005E6FA8" w:rsidRDefault="0020506D" w:rsidP="00F0174D">
            <w:r>
              <w:t>No</w:t>
            </w:r>
            <w:r w:rsidR="00ED3F26">
              <w:t>t tested direct</w:t>
            </w:r>
            <w:r w:rsidR="003E12C8">
              <w:t>.</w:t>
            </w:r>
            <w:r w:rsidR="00ED3F26">
              <w:t xml:space="preserve"> RM-ANOVAs fitted to all three time points </w:t>
            </w:r>
            <w:r w:rsidR="00FE3FA5">
              <w:t>between</w:t>
            </w:r>
            <w:r w:rsidR="00ED3F26">
              <w:t xml:space="preserve"> conditions</w:t>
            </w:r>
          </w:p>
        </w:tc>
      </w:tr>
      <w:tr w:rsidR="005E6FA8" w14:paraId="6FC57153" w14:textId="77777777" w:rsidTr="00221538">
        <w:trPr>
          <w:trHeight w:val="277"/>
        </w:trPr>
        <w:tc>
          <w:tcPr>
            <w:tcW w:w="3086" w:type="dxa"/>
          </w:tcPr>
          <w:p w14:paraId="1E2BA6F2" w14:textId="0AA1CBE5" w:rsidR="005E6FA8" w:rsidRDefault="005E6FA8" w:rsidP="00DA3CAE"/>
        </w:tc>
        <w:tc>
          <w:tcPr>
            <w:tcW w:w="3086" w:type="dxa"/>
          </w:tcPr>
          <w:p w14:paraId="0BB0477E" w14:textId="77777777" w:rsidR="005E6FA8" w:rsidRDefault="005E6FA8" w:rsidP="00DA3CAE"/>
        </w:tc>
        <w:tc>
          <w:tcPr>
            <w:tcW w:w="3086" w:type="dxa"/>
          </w:tcPr>
          <w:p w14:paraId="04B35B62" w14:textId="77777777" w:rsidR="005E6FA8" w:rsidRDefault="005E6FA8" w:rsidP="00F0174D"/>
        </w:tc>
      </w:tr>
      <w:tr w:rsidR="005E6FA8" w14:paraId="3BA41356" w14:textId="77777777" w:rsidTr="00221538">
        <w:trPr>
          <w:trHeight w:val="277"/>
        </w:trPr>
        <w:tc>
          <w:tcPr>
            <w:tcW w:w="3086" w:type="dxa"/>
          </w:tcPr>
          <w:p w14:paraId="04997C3C" w14:textId="77777777" w:rsidR="005E6FA8" w:rsidRDefault="005E6FA8" w:rsidP="00DA3CAE"/>
        </w:tc>
        <w:tc>
          <w:tcPr>
            <w:tcW w:w="3086" w:type="dxa"/>
          </w:tcPr>
          <w:p w14:paraId="0F3FBFAC" w14:textId="77777777" w:rsidR="005E6FA8" w:rsidRDefault="005E6FA8" w:rsidP="00DA3CAE"/>
        </w:tc>
        <w:tc>
          <w:tcPr>
            <w:tcW w:w="3086" w:type="dxa"/>
          </w:tcPr>
          <w:p w14:paraId="1BA8F3F7" w14:textId="77777777" w:rsidR="005E6FA8" w:rsidRDefault="005E6FA8" w:rsidP="00F0174D"/>
        </w:tc>
      </w:tr>
      <w:tr w:rsidR="005E6FA8" w14:paraId="72CB6905" w14:textId="77777777" w:rsidTr="00221538">
        <w:trPr>
          <w:trHeight w:val="277"/>
        </w:trPr>
        <w:tc>
          <w:tcPr>
            <w:tcW w:w="3086" w:type="dxa"/>
          </w:tcPr>
          <w:p w14:paraId="2086A475" w14:textId="77777777" w:rsidR="005E6FA8" w:rsidRDefault="005E6FA8" w:rsidP="00DA3CAE"/>
        </w:tc>
        <w:tc>
          <w:tcPr>
            <w:tcW w:w="3086" w:type="dxa"/>
          </w:tcPr>
          <w:p w14:paraId="685FEAA7" w14:textId="77777777" w:rsidR="005E6FA8" w:rsidRDefault="005E6FA8" w:rsidP="00DA3CAE"/>
        </w:tc>
        <w:tc>
          <w:tcPr>
            <w:tcW w:w="3086" w:type="dxa"/>
          </w:tcPr>
          <w:p w14:paraId="42B9F3D1" w14:textId="77777777" w:rsidR="005E6FA8" w:rsidRDefault="005E6FA8" w:rsidP="00F0174D"/>
        </w:tc>
      </w:tr>
    </w:tbl>
    <w:p w14:paraId="3101B615" w14:textId="77777777" w:rsidR="00DA3CAE" w:rsidRDefault="00DA3CAE" w:rsidP="00DA3CAE"/>
    <w:p w14:paraId="2733058F" w14:textId="77777777" w:rsidR="003B7E83" w:rsidRDefault="003B7E83" w:rsidP="00E009E3">
      <w:pPr>
        <w:ind w:firstLine="720"/>
      </w:pPr>
    </w:p>
    <w:p w14:paraId="1C8CA0B3" w14:textId="77777777" w:rsidR="005A4EDE" w:rsidRDefault="005A4EDE" w:rsidP="00A95530">
      <w:pPr>
        <w:ind w:firstLine="720"/>
      </w:pPr>
    </w:p>
    <w:p w14:paraId="0416C3C0" w14:textId="77777777" w:rsidR="009112E3" w:rsidRDefault="009112E3" w:rsidP="00A95530">
      <w:pPr>
        <w:ind w:firstLine="720"/>
      </w:pPr>
    </w:p>
    <w:p w14:paraId="7D670173" w14:textId="6D50BCC1" w:rsidR="00A95530" w:rsidRDefault="00A95530" w:rsidP="00C64E50">
      <w:pPr>
        <w:ind w:firstLine="720"/>
      </w:pPr>
    </w:p>
    <w:p w14:paraId="6D2D5C44" w14:textId="42CAE95A" w:rsidR="005231F8" w:rsidRPr="005231F8" w:rsidRDefault="00C64E50" w:rsidP="00C64E50">
      <w:pPr>
        <w:ind w:firstLine="720"/>
      </w:pPr>
      <w:r>
        <w:t xml:space="preserve">However </w:t>
      </w:r>
      <w:r w:rsidRPr="00976A9F">
        <w:t xml:space="preserve">the overlap between the two studies is </w:t>
      </w:r>
      <w:r>
        <w:t xml:space="preserve">very </w:t>
      </w:r>
      <w:r w:rsidRPr="00976A9F">
        <w:t>limited</w:t>
      </w:r>
      <w:r>
        <w:t xml:space="preserve"> and Foody et al. (2013) does not meet most definitions of a replication. Foody et al. (2013) argue there is conceptual </w:t>
      </w:r>
      <w:r>
        <w:lastRenderedPageBreak/>
        <w:t>overlap between the two intervention conditions, although they use different terminology and content. The designs differ substantially: Foody et al. (2013) is a lab based analogue study on adults that uses inferential statistics only, whereas Luciano et al. (2011)</w:t>
      </w:r>
    </w:p>
    <w:p w14:paraId="27764150" w14:textId="77777777" w:rsidR="00984EB9" w:rsidRDefault="00984EB9" w:rsidP="00F83A48"/>
    <w:sectPr w:rsidR="00984EB9"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CD6C" w14:textId="77777777" w:rsidR="00041BFA" w:rsidRDefault="00041BFA" w:rsidP="00553CAC">
      <w:r>
        <w:separator/>
      </w:r>
    </w:p>
  </w:endnote>
  <w:endnote w:type="continuationSeparator" w:id="0">
    <w:p w14:paraId="19E59E0E" w14:textId="77777777" w:rsidR="00041BFA" w:rsidRDefault="00041BFA" w:rsidP="0055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C592" w14:textId="77777777" w:rsidR="00041BFA" w:rsidRDefault="00041BFA" w:rsidP="00553CAC">
      <w:r>
        <w:separator/>
      </w:r>
    </w:p>
  </w:footnote>
  <w:footnote w:type="continuationSeparator" w:id="0">
    <w:p w14:paraId="127E5CC7" w14:textId="77777777" w:rsidR="00041BFA" w:rsidRDefault="00041BFA" w:rsidP="0055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18"/>
    <w:multiLevelType w:val="multilevel"/>
    <w:tmpl w:val="AE3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D38AE"/>
    <w:multiLevelType w:val="multilevel"/>
    <w:tmpl w:val="6D5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C45A6"/>
    <w:multiLevelType w:val="multilevel"/>
    <w:tmpl w:val="834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9825">
    <w:abstractNumId w:val="1"/>
  </w:num>
  <w:num w:numId="2" w16cid:durableId="919749520">
    <w:abstractNumId w:val="2"/>
  </w:num>
  <w:num w:numId="3" w16cid:durableId="107651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16688"/>
    <w:rsid w:val="00020BB7"/>
    <w:rsid w:val="0002622D"/>
    <w:rsid w:val="000316AC"/>
    <w:rsid w:val="000322D0"/>
    <w:rsid w:val="00034469"/>
    <w:rsid w:val="0003554D"/>
    <w:rsid w:val="0004118C"/>
    <w:rsid w:val="00041BFA"/>
    <w:rsid w:val="000531B0"/>
    <w:rsid w:val="000628E2"/>
    <w:rsid w:val="00070E62"/>
    <w:rsid w:val="00071179"/>
    <w:rsid w:val="000820DB"/>
    <w:rsid w:val="00082277"/>
    <w:rsid w:val="00084374"/>
    <w:rsid w:val="000845C5"/>
    <w:rsid w:val="00087B7A"/>
    <w:rsid w:val="000B467B"/>
    <w:rsid w:val="000C4EC2"/>
    <w:rsid w:val="000E2083"/>
    <w:rsid w:val="000E2CC5"/>
    <w:rsid w:val="000E4D23"/>
    <w:rsid w:val="000F065F"/>
    <w:rsid w:val="000F702E"/>
    <w:rsid w:val="0010013A"/>
    <w:rsid w:val="0010171F"/>
    <w:rsid w:val="00103656"/>
    <w:rsid w:val="00103A44"/>
    <w:rsid w:val="00110F1F"/>
    <w:rsid w:val="00113D1A"/>
    <w:rsid w:val="001218CA"/>
    <w:rsid w:val="0012470F"/>
    <w:rsid w:val="001275CE"/>
    <w:rsid w:val="001353F0"/>
    <w:rsid w:val="001364C3"/>
    <w:rsid w:val="001400C5"/>
    <w:rsid w:val="00142FA5"/>
    <w:rsid w:val="00147454"/>
    <w:rsid w:val="00166DBE"/>
    <w:rsid w:val="00171365"/>
    <w:rsid w:val="0017212E"/>
    <w:rsid w:val="00172C9D"/>
    <w:rsid w:val="00196A9E"/>
    <w:rsid w:val="001A03A7"/>
    <w:rsid w:val="001A141D"/>
    <w:rsid w:val="001A2CBA"/>
    <w:rsid w:val="001A4299"/>
    <w:rsid w:val="001C0B0C"/>
    <w:rsid w:val="001C1FE1"/>
    <w:rsid w:val="001D25DC"/>
    <w:rsid w:val="001D6693"/>
    <w:rsid w:val="001E0902"/>
    <w:rsid w:val="001E5DFF"/>
    <w:rsid w:val="001F6C8F"/>
    <w:rsid w:val="002046D9"/>
    <w:rsid w:val="00204E92"/>
    <w:rsid w:val="0020506D"/>
    <w:rsid w:val="00211D20"/>
    <w:rsid w:val="00217548"/>
    <w:rsid w:val="00217633"/>
    <w:rsid w:val="00217635"/>
    <w:rsid w:val="00221538"/>
    <w:rsid w:val="00222767"/>
    <w:rsid w:val="00222C56"/>
    <w:rsid w:val="00224726"/>
    <w:rsid w:val="00231489"/>
    <w:rsid w:val="00231883"/>
    <w:rsid w:val="00232C4A"/>
    <w:rsid w:val="00244D0C"/>
    <w:rsid w:val="002638C2"/>
    <w:rsid w:val="0026399E"/>
    <w:rsid w:val="00264FE8"/>
    <w:rsid w:val="00271D3D"/>
    <w:rsid w:val="00274099"/>
    <w:rsid w:val="00280E6C"/>
    <w:rsid w:val="002811AD"/>
    <w:rsid w:val="002815DC"/>
    <w:rsid w:val="002843B0"/>
    <w:rsid w:val="0029356D"/>
    <w:rsid w:val="00294759"/>
    <w:rsid w:val="002A7137"/>
    <w:rsid w:val="002C02AC"/>
    <w:rsid w:val="002D1CB4"/>
    <w:rsid w:val="002D28E7"/>
    <w:rsid w:val="002E1601"/>
    <w:rsid w:val="002F161B"/>
    <w:rsid w:val="00301982"/>
    <w:rsid w:val="00314177"/>
    <w:rsid w:val="0031785B"/>
    <w:rsid w:val="00325061"/>
    <w:rsid w:val="00326CD3"/>
    <w:rsid w:val="00327141"/>
    <w:rsid w:val="00330564"/>
    <w:rsid w:val="00331AF0"/>
    <w:rsid w:val="00335460"/>
    <w:rsid w:val="0034221B"/>
    <w:rsid w:val="003439A7"/>
    <w:rsid w:val="00346EE3"/>
    <w:rsid w:val="003569F6"/>
    <w:rsid w:val="003640EB"/>
    <w:rsid w:val="00364AE9"/>
    <w:rsid w:val="00373C2A"/>
    <w:rsid w:val="0038104C"/>
    <w:rsid w:val="0038660F"/>
    <w:rsid w:val="00391E8F"/>
    <w:rsid w:val="00395CD4"/>
    <w:rsid w:val="003B631A"/>
    <w:rsid w:val="003B675C"/>
    <w:rsid w:val="003B72CF"/>
    <w:rsid w:val="003B7547"/>
    <w:rsid w:val="003B7E83"/>
    <w:rsid w:val="003C2FCE"/>
    <w:rsid w:val="003C43B5"/>
    <w:rsid w:val="003D1270"/>
    <w:rsid w:val="003D77B3"/>
    <w:rsid w:val="003E12C8"/>
    <w:rsid w:val="003E672F"/>
    <w:rsid w:val="003E7D53"/>
    <w:rsid w:val="00400E63"/>
    <w:rsid w:val="00401CA3"/>
    <w:rsid w:val="00404623"/>
    <w:rsid w:val="00404BE1"/>
    <w:rsid w:val="004239FE"/>
    <w:rsid w:val="00425562"/>
    <w:rsid w:val="0043699A"/>
    <w:rsid w:val="00445BCF"/>
    <w:rsid w:val="004472F4"/>
    <w:rsid w:val="00450788"/>
    <w:rsid w:val="00450A53"/>
    <w:rsid w:val="004605F5"/>
    <w:rsid w:val="004618E0"/>
    <w:rsid w:val="004779C4"/>
    <w:rsid w:val="004A47EE"/>
    <w:rsid w:val="004B248E"/>
    <w:rsid w:val="004B48A4"/>
    <w:rsid w:val="004C12BC"/>
    <w:rsid w:val="004C1AF6"/>
    <w:rsid w:val="004C7C8A"/>
    <w:rsid w:val="004D2D40"/>
    <w:rsid w:val="004D7555"/>
    <w:rsid w:val="004E123C"/>
    <w:rsid w:val="004E6D60"/>
    <w:rsid w:val="004F3154"/>
    <w:rsid w:val="004F36E7"/>
    <w:rsid w:val="004F4CFA"/>
    <w:rsid w:val="0050592F"/>
    <w:rsid w:val="00514787"/>
    <w:rsid w:val="00515E4F"/>
    <w:rsid w:val="00521DC7"/>
    <w:rsid w:val="005231F8"/>
    <w:rsid w:val="005252F7"/>
    <w:rsid w:val="0053385F"/>
    <w:rsid w:val="005432B8"/>
    <w:rsid w:val="005462CE"/>
    <w:rsid w:val="00553CAC"/>
    <w:rsid w:val="00553E2C"/>
    <w:rsid w:val="00554582"/>
    <w:rsid w:val="00560A85"/>
    <w:rsid w:val="00561F22"/>
    <w:rsid w:val="0056734B"/>
    <w:rsid w:val="005700F9"/>
    <w:rsid w:val="00575EF6"/>
    <w:rsid w:val="00576F58"/>
    <w:rsid w:val="005813A5"/>
    <w:rsid w:val="00584A74"/>
    <w:rsid w:val="00590CAA"/>
    <w:rsid w:val="00594A10"/>
    <w:rsid w:val="00595233"/>
    <w:rsid w:val="00595856"/>
    <w:rsid w:val="005A4EDE"/>
    <w:rsid w:val="005B1F58"/>
    <w:rsid w:val="005B5C47"/>
    <w:rsid w:val="005B7799"/>
    <w:rsid w:val="005C0EBA"/>
    <w:rsid w:val="005C7986"/>
    <w:rsid w:val="005D5D00"/>
    <w:rsid w:val="005E2077"/>
    <w:rsid w:val="005E3E38"/>
    <w:rsid w:val="005E3F9D"/>
    <w:rsid w:val="005E6FA8"/>
    <w:rsid w:val="005F3944"/>
    <w:rsid w:val="005F7B74"/>
    <w:rsid w:val="0060396A"/>
    <w:rsid w:val="0061554A"/>
    <w:rsid w:val="006155C9"/>
    <w:rsid w:val="00616AD0"/>
    <w:rsid w:val="00616EFA"/>
    <w:rsid w:val="00624439"/>
    <w:rsid w:val="0063077C"/>
    <w:rsid w:val="00634025"/>
    <w:rsid w:val="00640553"/>
    <w:rsid w:val="00645B80"/>
    <w:rsid w:val="00645EC1"/>
    <w:rsid w:val="00646F58"/>
    <w:rsid w:val="00657373"/>
    <w:rsid w:val="00666097"/>
    <w:rsid w:val="006705B3"/>
    <w:rsid w:val="00675468"/>
    <w:rsid w:val="00686452"/>
    <w:rsid w:val="0069218C"/>
    <w:rsid w:val="006A0C02"/>
    <w:rsid w:val="006A7460"/>
    <w:rsid w:val="006B2182"/>
    <w:rsid w:val="006B27AC"/>
    <w:rsid w:val="006B5009"/>
    <w:rsid w:val="006B518B"/>
    <w:rsid w:val="006B5E62"/>
    <w:rsid w:val="006C5FF9"/>
    <w:rsid w:val="006E1DF7"/>
    <w:rsid w:val="006F10BE"/>
    <w:rsid w:val="006F3134"/>
    <w:rsid w:val="006F7EFA"/>
    <w:rsid w:val="00711D21"/>
    <w:rsid w:val="007131A8"/>
    <w:rsid w:val="007132CD"/>
    <w:rsid w:val="00720FEE"/>
    <w:rsid w:val="00721002"/>
    <w:rsid w:val="00722320"/>
    <w:rsid w:val="00732AFB"/>
    <w:rsid w:val="0073490F"/>
    <w:rsid w:val="00741D0D"/>
    <w:rsid w:val="00744350"/>
    <w:rsid w:val="00747122"/>
    <w:rsid w:val="00752940"/>
    <w:rsid w:val="00754C94"/>
    <w:rsid w:val="00765FD3"/>
    <w:rsid w:val="00771383"/>
    <w:rsid w:val="007746DE"/>
    <w:rsid w:val="00780464"/>
    <w:rsid w:val="00780883"/>
    <w:rsid w:val="00781CFE"/>
    <w:rsid w:val="00793D13"/>
    <w:rsid w:val="007A4BCA"/>
    <w:rsid w:val="007A70F6"/>
    <w:rsid w:val="007D6E21"/>
    <w:rsid w:val="007E60C6"/>
    <w:rsid w:val="007E681D"/>
    <w:rsid w:val="007F29AF"/>
    <w:rsid w:val="007F3624"/>
    <w:rsid w:val="007F54C1"/>
    <w:rsid w:val="007F61E4"/>
    <w:rsid w:val="007F71CD"/>
    <w:rsid w:val="0080163C"/>
    <w:rsid w:val="0081466A"/>
    <w:rsid w:val="00814B5F"/>
    <w:rsid w:val="00817F02"/>
    <w:rsid w:val="008205E9"/>
    <w:rsid w:val="00825D39"/>
    <w:rsid w:val="00827CFC"/>
    <w:rsid w:val="008323C4"/>
    <w:rsid w:val="00832EB7"/>
    <w:rsid w:val="00842452"/>
    <w:rsid w:val="0084511C"/>
    <w:rsid w:val="00856DD9"/>
    <w:rsid w:val="00857884"/>
    <w:rsid w:val="00865A0E"/>
    <w:rsid w:val="00877A4C"/>
    <w:rsid w:val="00883D1A"/>
    <w:rsid w:val="00887AB3"/>
    <w:rsid w:val="00891988"/>
    <w:rsid w:val="00891A57"/>
    <w:rsid w:val="00897D2F"/>
    <w:rsid w:val="008A08AA"/>
    <w:rsid w:val="008A4D36"/>
    <w:rsid w:val="008A5898"/>
    <w:rsid w:val="008A6E79"/>
    <w:rsid w:val="008B4C2A"/>
    <w:rsid w:val="008B5E03"/>
    <w:rsid w:val="008C00A2"/>
    <w:rsid w:val="008C2F39"/>
    <w:rsid w:val="008C6E1E"/>
    <w:rsid w:val="008C7A5B"/>
    <w:rsid w:val="008D5FEC"/>
    <w:rsid w:val="008D76C7"/>
    <w:rsid w:val="008E41FE"/>
    <w:rsid w:val="008E5CE0"/>
    <w:rsid w:val="008E6690"/>
    <w:rsid w:val="008E6ABD"/>
    <w:rsid w:val="008F1E97"/>
    <w:rsid w:val="009005AC"/>
    <w:rsid w:val="009112E3"/>
    <w:rsid w:val="00913A2E"/>
    <w:rsid w:val="0093217E"/>
    <w:rsid w:val="0093752E"/>
    <w:rsid w:val="0094173B"/>
    <w:rsid w:val="00941EF6"/>
    <w:rsid w:val="00943221"/>
    <w:rsid w:val="00944399"/>
    <w:rsid w:val="00944E6B"/>
    <w:rsid w:val="009536B4"/>
    <w:rsid w:val="00957550"/>
    <w:rsid w:val="009676C9"/>
    <w:rsid w:val="00974399"/>
    <w:rsid w:val="00976A9F"/>
    <w:rsid w:val="00984EB9"/>
    <w:rsid w:val="00991169"/>
    <w:rsid w:val="00992CFB"/>
    <w:rsid w:val="0099343F"/>
    <w:rsid w:val="00996969"/>
    <w:rsid w:val="009A1602"/>
    <w:rsid w:val="009A38DE"/>
    <w:rsid w:val="009B1239"/>
    <w:rsid w:val="009B4772"/>
    <w:rsid w:val="009C7599"/>
    <w:rsid w:val="009D437D"/>
    <w:rsid w:val="009E2840"/>
    <w:rsid w:val="009E4469"/>
    <w:rsid w:val="009F2B11"/>
    <w:rsid w:val="009F6B62"/>
    <w:rsid w:val="009F7278"/>
    <w:rsid w:val="00A0378A"/>
    <w:rsid w:val="00A057AD"/>
    <w:rsid w:val="00A05932"/>
    <w:rsid w:val="00A12D3B"/>
    <w:rsid w:val="00A13EC9"/>
    <w:rsid w:val="00A1689E"/>
    <w:rsid w:val="00A21020"/>
    <w:rsid w:val="00A261BF"/>
    <w:rsid w:val="00A3130A"/>
    <w:rsid w:val="00A402C9"/>
    <w:rsid w:val="00A70B32"/>
    <w:rsid w:val="00A82BA0"/>
    <w:rsid w:val="00A8490A"/>
    <w:rsid w:val="00A87D4B"/>
    <w:rsid w:val="00A92DEC"/>
    <w:rsid w:val="00A95530"/>
    <w:rsid w:val="00A96F16"/>
    <w:rsid w:val="00A96F55"/>
    <w:rsid w:val="00AA0317"/>
    <w:rsid w:val="00AA322D"/>
    <w:rsid w:val="00AA647B"/>
    <w:rsid w:val="00AB0CFD"/>
    <w:rsid w:val="00AB5AF3"/>
    <w:rsid w:val="00AC1E43"/>
    <w:rsid w:val="00AC7A7C"/>
    <w:rsid w:val="00AD315C"/>
    <w:rsid w:val="00AF68E7"/>
    <w:rsid w:val="00B1470A"/>
    <w:rsid w:val="00B167BE"/>
    <w:rsid w:val="00B21AF5"/>
    <w:rsid w:val="00B2276A"/>
    <w:rsid w:val="00B26578"/>
    <w:rsid w:val="00B40A87"/>
    <w:rsid w:val="00B45362"/>
    <w:rsid w:val="00B500D2"/>
    <w:rsid w:val="00B51886"/>
    <w:rsid w:val="00B51BC0"/>
    <w:rsid w:val="00B857A0"/>
    <w:rsid w:val="00B87640"/>
    <w:rsid w:val="00B921E0"/>
    <w:rsid w:val="00BB568D"/>
    <w:rsid w:val="00BB743D"/>
    <w:rsid w:val="00BC195C"/>
    <w:rsid w:val="00BC4F15"/>
    <w:rsid w:val="00BC7C21"/>
    <w:rsid w:val="00BD1B7A"/>
    <w:rsid w:val="00BD370C"/>
    <w:rsid w:val="00BD4764"/>
    <w:rsid w:val="00BD4DF5"/>
    <w:rsid w:val="00BD6D8F"/>
    <w:rsid w:val="00BE4E43"/>
    <w:rsid w:val="00BF0C69"/>
    <w:rsid w:val="00BF43D6"/>
    <w:rsid w:val="00BF61C6"/>
    <w:rsid w:val="00C029D3"/>
    <w:rsid w:val="00C058A8"/>
    <w:rsid w:val="00C07452"/>
    <w:rsid w:val="00C07954"/>
    <w:rsid w:val="00C11C44"/>
    <w:rsid w:val="00C1438C"/>
    <w:rsid w:val="00C240E0"/>
    <w:rsid w:val="00C24732"/>
    <w:rsid w:val="00C40305"/>
    <w:rsid w:val="00C43929"/>
    <w:rsid w:val="00C54B15"/>
    <w:rsid w:val="00C55AFC"/>
    <w:rsid w:val="00C62D58"/>
    <w:rsid w:val="00C6496E"/>
    <w:rsid w:val="00C64E50"/>
    <w:rsid w:val="00C75EA9"/>
    <w:rsid w:val="00C77D87"/>
    <w:rsid w:val="00C911C2"/>
    <w:rsid w:val="00C934AC"/>
    <w:rsid w:val="00C955BE"/>
    <w:rsid w:val="00C972B6"/>
    <w:rsid w:val="00CA005D"/>
    <w:rsid w:val="00CA5743"/>
    <w:rsid w:val="00CA5F2F"/>
    <w:rsid w:val="00CF02C1"/>
    <w:rsid w:val="00CF33F8"/>
    <w:rsid w:val="00D01BBB"/>
    <w:rsid w:val="00D15FF3"/>
    <w:rsid w:val="00D2051F"/>
    <w:rsid w:val="00D235AD"/>
    <w:rsid w:val="00D2515B"/>
    <w:rsid w:val="00D30868"/>
    <w:rsid w:val="00D35CD7"/>
    <w:rsid w:val="00D365A9"/>
    <w:rsid w:val="00D4062D"/>
    <w:rsid w:val="00D43A2B"/>
    <w:rsid w:val="00D527C8"/>
    <w:rsid w:val="00D65AC9"/>
    <w:rsid w:val="00D934EB"/>
    <w:rsid w:val="00DA14AA"/>
    <w:rsid w:val="00DA3CAE"/>
    <w:rsid w:val="00DB245B"/>
    <w:rsid w:val="00DB3957"/>
    <w:rsid w:val="00DC1754"/>
    <w:rsid w:val="00DC64D6"/>
    <w:rsid w:val="00DD3463"/>
    <w:rsid w:val="00DD46A7"/>
    <w:rsid w:val="00DE1434"/>
    <w:rsid w:val="00E009E3"/>
    <w:rsid w:val="00E03835"/>
    <w:rsid w:val="00E12B1A"/>
    <w:rsid w:val="00E163A3"/>
    <w:rsid w:val="00E241F3"/>
    <w:rsid w:val="00E41314"/>
    <w:rsid w:val="00E50B36"/>
    <w:rsid w:val="00E51EF6"/>
    <w:rsid w:val="00E527D5"/>
    <w:rsid w:val="00E63A98"/>
    <w:rsid w:val="00E63D98"/>
    <w:rsid w:val="00E70E38"/>
    <w:rsid w:val="00E7107B"/>
    <w:rsid w:val="00E732FE"/>
    <w:rsid w:val="00E742C9"/>
    <w:rsid w:val="00E76AE7"/>
    <w:rsid w:val="00E839B8"/>
    <w:rsid w:val="00E851C7"/>
    <w:rsid w:val="00E85C0D"/>
    <w:rsid w:val="00E92D0A"/>
    <w:rsid w:val="00EA7F75"/>
    <w:rsid w:val="00EB1D20"/>
    <w:rsid w:val="00EB63EE"/>
    <w:rsid w:val="00EC44E4"/>
    <w:rsid w:val="00ED3F26"/>
    <w:rsid w:val="00ED4CEC"/>
    <w:rsid w:val="00ED6317"/>
    <w:rsid w:val="00ED652D"/>
    <w:rsid w:val="00EE02CD"/>
    <w:rsid w:val="00EE5FBC"/>
    <w:rsid w:val="00EE78FA"/>
    <w:rsid w:val="00F0174D"/>
    <w:rsid w:val="00F05734"/>
    <w:rsid w:val="00F1451D"/>
    <w:rsid w:val="00F228D3"/>
    <w:rsid w:val="00F3010F"/>
    <w:rsid w:val="00F31C2E"/>
    <w:rsid w:val="00F36DDD"/>
    <w:rsid w:val="00F754D4"/>
    <w:rsid w:val="00F83A48"/>
    <w:rsid w:val="00F83BBE"/>
    <w:rsid w:val="00F85EEF"/>
    <w:rsid w:val="00FA0962"/>
    <w:rsid w:val="00FA2434"/>
    <w:rsid w:val="00FA2B87"/>
    <w:rsid w:val="00FB0752"/>
    <w:rsid w:val="00FB3AA0"/>
    <w:rsid w:val="00FB642E"/>
    <w:rsid w:val="00FC1D94"/>
    <w:rsid w:val="00FC5F12"/>
    <w:rsid w:val="00FD4406"/>
    <w:rsid w:val="00FD5356"/>
    <w:rsid w:val="00FD610D"/>
    <w:rsid w:val="00FE3FA5"/>
    <w:rsid w:val="00FE4999"/>
    <w:rsid w:val="00FF0297"/>
    <w:rsid w:val="00FF53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6B"/>
    <w:rPr>
      <w:rFonts w:ascii="Times New Roman" w:eastAsia="Times New Roman" w:hAnsi="Times New Roman" w:cs="Times New Roman"/>
      <w:lang w:eastAsia="en-GB"/>
    </w:rPr>
  </w:style>
  <w:style w:type="paragraph" w:styleId="Heading1">
    <w:name w:val="heading 1"/>
    <w:basedOn w:val="Normal"/>
    <w:link w:val="Heading1Char"/>
    <w:uiPriority w:val="9"/>
    <w:qFormat/>
    <w:rsid w:val="00553CAC"/>
    <w:pPr>
      <w:jc w:val="center"/>
      <w:outlineLvl w:val="0"/>
    </w:pPr>
    <w:rPr>
      <w:b/>
      <w:bCs/>
      <w:kern w:val="36"/>
    </w:rPr>
  </w:style>
  <w:style w:type="paragraph" w:styleId="Heading2">
    <w:name w:val="heading 2"/>
    <w:basedOn w:val="Heading1"/>
    <w:link w:val="Heading2Char"/>
    <w:uiPriority w:val="9"/>
    <w:qFormat/>
    <w:rsid w:val="00553CAC"/>
    <w:pPr>
      <w:jc w:val="left"/>
      <w:outlineLvl w:val="1"/>
    </w:pPr>
  </w:style>
  <w:style w:type="paragraph" w:styleId="Heading3">
    <w:name w:val="heading 3"/>
    <w:basedOn w:val="Heading2"/>
    <w:link w:val="Heading3Char"/>
    <w:uiPriority w:val="9"/>
    <w:qFormat/>
    <w:rsid w:val="00553CAC"/>
    <w:pPr>
      <w:ind w:firstLine="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AC"/>
    <w:rPr>
      <w:rFonts w:ascii="Times New Roman" w:eastAsia="Times New Roman" w:hAnsi="Times New Roman" w:cs="Times New Roman"/>
      <w:b/>
      <w:bCs/>
      <w:kern w:val="36"/>
      <w:lang w:eastAsia="en-GB"/>
    </w:rPr>
  </w:style>
  <w:style w:type="character" w:customStyle="1" w:styleId="Heading2Char">
    <w:name w:val="Heading 2 Char"/>
    <w:basedOn w:val="DefaultParagraphFont"/>
    <w:link w:val="Heading2"/>
    <w:uiPriority w:val="9"/>
    <w:rsid w:val="00553CAC"/>
    <w:rPr>
      <w:rFonts w:ascii="Times New Roman" w:eastAsia="Times New Roman" w:hAnsi="Times New Roman" w:cs="Times New Roman"/>
      <w:b/>
      <w:bCs/>
      <w:kern w:val="36"/>
      <w:lang w:eastAsia="en-GB"/>
    </w:rPr>
  </w:style>
  <w:style w:type="character" w:customStyle="1" w:styleId="Heading3Char">
    <w:name w:val="Heading 3 Char"/>
    <w:basedOn w:val="DefaultParagraphFont"/>
    <w:link w:val="Heading3"/>
    <w:uiPriority w:val="9"/>
    <w:rsid w:val="00553CAC"/>
    <w:rPr>
      <w:rFonts w:ascii="Times New Roman" w:eastAsia="Times New Roman" w:hAnsi="Times New Roman" w:cs="Times New Roman"/>
      <w:b/>
      <w:bCs/>
      <w:kern w:val="36"/>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754C94"/>
    <w:rPr>
      <w:sz w:val="20"/>
      <w:szCs w:val="20"/>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semiHidden/>
    <w:unhideWhenUsed/>
    <w:rsid w:val="00034469"/>
    <w:rPr>
      <w:sz w:val="20"/>
      <w:szCs w:val="20"/>
    </w:rPr>
  </w:style>
  <w:style w:type="character" w:customStyle="1" w:styleId="CommentTextChar">
    <w:name w:val="Comment Text Char"/>
    <w:basedOn w:val="DefaultParagraphFont"/>
    <w:link w:val="CommentText"/>
    <w:uiPriority w:val="99"/>
    <w:semiHidden/>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cp:revision>
  <dcterms:created xsi:type="dcterms:W3CDTF">2023-02-28T10:00:00Z</dcterms:created>
  <dcterms:modified xsi:type="dcterms:W3CDTF">2023-02-28T10:00:00Z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bibliographyStyleHasBeenSet="0"/&gt;&lt;prefs&gt;&lt;pref name="fieldType" value="Field"/&gt;&lt;/prefs&gt;&lt;/data&gt;</vt:lpwstr>
  </property>
</Properties>
</file>