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D84B3" w14:textId="2DA927BC" w:rsidR="00C77D87" w:rsidRDefault="00C77D87" w:rsidP="00553CAC">
      <w:pPr>
        <w:pStyle w:val="Heading1"/>
        <w:rPr>
          <w:b w:val="0"/>
          <w:bCs w:val="0"/>
        </w:rPr>
      </w:pPr>
      <w:r>
        <w:rPr>
          <w:b w:val="0"/>
          <w:bCs w:val="0"/>
        </w:rPr>
        <w:t xml:space="preserve">Claims must </w:t>
      </w:r>
      <w:r w:rsidR="00F228D3">
        <w:rPr>
          <w:b w:val="0"/>
          <w:bCs w:val="0"/>
        </w:rPr>
        <w:t>map onto analyses</w:t>
      </w:r>
      <w:r>
        <w:rPr>
          <w:b w:val="0"/>
          <w:bCs w:val="0"/>
        </w:rPr>
        <w:t xml:space="preserve">: </w:t>
      </w:r>
    </w:p>
    <w:p w14:paraId="17D6D501" w14:textId="1627225A" w:rsidR="00D934EB" w:rsidRPr="000B467B" w:rsidRDefault="00D934EB" w:rsidP="00553CAC">
      <w:pPr>
        <w:pStyle w:val="Heading1"/>
        <w:rPr>
          <w:b w:val="0"/>
          <w:bCs w:val="0"/>
        </w:rPr>
      </w:pPr>
      <w:r w:rsidRPr="000B467B">
        <w:rPr>
          <w:b w:val="0"/>
          <w:bCs w:val="0"/>
        </w:rPr>
        <w:t xml:space="preserve">A </w:t>
      </w:r>
      <w:r w:rsidR="006A0C02">
        <w:rPr>
          <w:b w:val="0"/>
          <w:bCs w:val="0"/>
        </w:rPr>
        <w:t xml:space="preserve">critique of </w:t>
      </w:r>
      <w:r w:rsidRPr="000B467B">
        <w:rPr>
          <w:b w:val="0"/>
          <w:bCs w:val="0"/>
        </w:rPr>
        <w:t xml:space="preserve">Foody, Barnes-Holmes, Barnes-Holmes, &amp; Luciano (2013) </w:t>
      </w:r>
    </w:p>
    <w:p w14:paraId="16F60505" w14:textId="77777777" w:rsidR="00D934EB" w:rsidRPr="000B467B" w:rsidRDefault="00D934EB" w:rsidP="00553CAC">
      <w:pPr>
        <w:pStyle w:val="Heading1"/>
        <w:rPr>
          <w:b w:val="0"/>
          <w:bCs w:val="0"/>
        </w:rPr>
      </w:pPr>
      <w:r w:rsidRPr="000B467B">
        <w:rPr>
          <w:b w:val="0"/>
          <w:bCs w:val="0"/>
        </w:rPr>
        <w:t xml:space="preserve">“An Empirical Investigation of Hierarchical versus Distinction Relations </w:t>
      </w:r>
    </w:p>
    <w:p w14:paraId="0442BA8E" w14:textId="2EABBE19" w:rsidR="00D934EB" w:rsidRPr="000B467B" w:rsidRDefault="00D934EB" w:rsidP="00553CAC">
      <w:pPr>
        <w:pStyle w:val="Heading1"/>
        <w:rPr>
          <w:b w:val="0"/>
          <w:bCs w:val="0"/>
        </w:rPr>
      </w:pPr>
      <w:r w:rsidRPr="000B467B">
        <w:rPr>
          <w:b w:val="0"/>
          <w:bCs w:val="0"/>
        </w:rPr>
        <w:t>in a Self-based ACT Exercise”</w:t>
      </w:r>
    </w:p>
    <w:p w14:paraId="0DA888BF" w14:textId="1592BBB1" w:rsidR="000B467B" w:rsidRDefault="000B467B" w:rsidP="00B5669C"/>
    <w:p w14:paraId="39372089" w14:textId="40A264E0" w:rsidR="000B467B" w:rsidRPr="000B467B" w:rsidRDefault="000B467B" w:rsidP="00553CAC">
      <w:pPr>
        <w:pStyle w:val="Heading1"/>
        <w:rPr>
          <w:b w:val="0"/>
          <w:bCs w:val="0"/>
        </w:rPr>
      </w:pPr>
      <w:r w:rsidRPr="000B467B">
        <w:rPr>
          <w:b w:val="0"/>
          <w:bCs w:val="0"/>
        </w:rPr>
        <w:t>Ian Hussey</w:t>
      </w:r>
    </w:p>
    <w:p w14:paraId="1A6A004A" w14:textId="21597DD0" w:rsidR="00D934EB" w:rsidRDefault="00D934EB" w:rsidP="00B5669C"/>
    <w:p w14:paraId="2C5EEEF3" w14:textId="2C58730B" w:rsidR="003B675C" w:rsidRDefault="00A70B32" w:rsidP="00B5669C">
      <w:pPr>
        <w:pStyle w:val="Heading1"/>
      </w:pPr>
      <w:r>
        <w:t>(Abstract)</w:t>
      </w:r>
    </w:p>
    <w:p w14:paraId="63222DAC" w14:textId="51D03639" w:rsidR="00747122" w:rsidRDefault="003B675C" w:rsidP="00363599">
      <w:pPr>
        <w:ind w:firstLine="720"/>
      </w:pPr>
      <w:r>
        <w:t xml:space="preserve">Foody et al.’s </w:t>
      </w:r>
      <w:r>
        <w:fldChar w:fldCharType="begin"/>
      </w:r>
      <w:r>
        <w:instrText xml:space="preserve"> ADDIN ZOTERO_ITEM CSL_CITATION {"citationID":"lab0cTwe","properties":{"formattedCitation":"(2013)","plainCitation":"(2013)","noteIndex":0},"citationItems":[{"id":1287,"uris":["http://zotero.org/users/1687755/items/HKHK28SX"],"itemData":{"id":1287,"type":"thesis","publisher":"National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fldChar w:fldCharType="separate"/>
      </w:r>
      <w:r>
        <w:rPr>
          <w:noProof/>
        </w:rPr>
        <w:t>(2013)</w:t>
      </w:r>
      <w:r>
        <w:fldChar w:fldCharType="end"/>
      </w:r>
      <w:r>
        <w:t xml:space="preserve"> analogue study compared the efficacy of two different interventions</w:t>
      </w:r>
      <w:r w:rsidR="00A402C9">
        <w:t xml:space="preserve">, both </w:t>
      </w:r>
      <w:r>
        <w:t xml:space="preserve">based on </w:t>
      </w:r>
      <w:r w:rsidR="00A402C9">
        <w:t xml:space="preserve">elements of </w:t>
      </w:r>
      <w:r>
        <w:t>Acceptance and Commitment Therapy</w:t>
      </w:r>
      <w:r w:rsidR="00A402C9">
        <w:t xml:space="preserve"> </w:t>
      </w:r>
      <w:r>
        <w:t xml:space="preserve">(ACT) </w:t>
      </w:r>
      <w:r>
        <w:fldChar w:fldCharType="begin"/>
      </w:r>
      <w:r>
        <w:instrText xml:space="preserve"> ADDIN ZOTERO_ITEM CSL_CITATION {"citationID":"1R19ckD6","properties":{"formattedCitation":"(Hayes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fldChar w:fldCharType="separate"/>
      </w:r>
      <w:r>
        <w:rPr>
          <w:noProof/>
        </w:rPr>
        <w:t>(Hayes et al., 1999)</w:t>
      </w:r>
      <w:r>
        <w:fldChar w:fldCharType="end"/>
      </w:r>
      <w:r w:rsidR="00A402C9">
        <w:t>,</w:t>
      </w:r>
      <w:r>
        <w:t xml:space="preserve"> in relieving distress after a distress induction procedure. </w:t>
      </w:r>
      <w:r w:rsidR="00D934EB">
        <w:t xml:space="preserve">Foody et al.’s </w:t>
      </w:r>
      <w:r w:rsidR="00D934EB">
        <w:fldChar w:fldCharType="begin"/>
      </w:r>
      <w:r w:rsidR="008E6690">
        <w:instrText xml:space="preserve"> ADDIN ZOTERO_ITEM CSL_CITATION {"citationID":"zhfQcQTe","properties":{"formattedCitation":"(2013)","plainCitation":"(2013)","noteIndex":0},"citationItems":[{"id":1287,"uris":["http://zotero.org/users/1687755/items/HKHK28SX"],"itemData":{"id":1287,"type":"thesis","publisher":"National University of Ireland Maynooth","source":"Google Scholar","title":"An Empirical Investigation of Self: Bridging the Gap between ACT, Mindfulness and RFT","title-short":"An Empirical Investigation of Self","URL":"http://eprints.maynoothuniversity.ie/4777/","author":[{"family":"Foody","given":"Mairead"}],"accessed":{"date-parts":[["2015",4,28]]},"issued":{"date-parts":[["2013"]]}},"label":"page","suppress-author":true}],"schema":"https://github.com/citation-style-language/schema/raw/master/csl-citation.json"} </w:instrText>
      </w:r>
      <w:r w:rsidR="00D934EB">
        <w:fldChar w:fldCharType="separate"/>
      </w:r>
      <w:r w:rsidR="00D934EB">
        <w:rPr>
          <w:noProof/>
        </w:rPr>
        <w:t>(2013)</w:t>
      </w:r>
      <w:r w:rsidR="00D934EB">
        <w:fldChar w:fldCharType="end"/>
      </w:r>
      <w:r w:rsidR="00D934EB">
        <w:t xml:space="preserve"> study </w:t>
      </w:r>
      <w:r w:rsidR="002D1CB4">
        <w:t>presents itself as</w:t>
      </w:r>
      <w:r w:rsidR="00D934EB">
        <w:t xml:space="preserve"> a conceptual replication of a previous study by Luciano et al. </w:t>
      </w:r>
      <w:r w:rsidR="00D934EB">
        <w:fldChar w:fldCharType="begin"/>
      </w:r>
      <w:r w:rsidR="00D934EB">
        <w:instrText xml:space="preserve"> ADDIN ZOTERO_ITEM CSL_CITATION {"citationID":"lMBEjOde","properties":{"formattedCitation":"(2011)","plainCitation":"(2011)","noteIndex":0},"citationItems":[{"id":16273,"uris":["http://zotero.org/groups/4963820/items/5NRKSAPX"],"itemData":{"id":16273,"type":"article-journal","abstract":"The present study aims to analyze the interactions involved in some of the Defusion exercises that are typical of Acceptance and Commitment Therapy according to a Relational Frame Theory analysis. Two protocols were compared. Defusion I protocol was built with deictic framing trials while Defusion II protocol added hierarchical framing plus the function of regulating one’s own behavior. Fifteen adolescents (12-15 years old) with high scores in the impulsivity or in the emotional subscales of the Behavior Assessment System for Children (BASC) volunteered to participate during the three tutorial classes formally available. In a first session, after responding to questionnaires on psychological inflexibility (AFQ-S) and on problematic behaviors, the three classes followed a valuesoriented session. Two weeks later, 9 Low-risk participants (with less than 6 problematic behaviors) received either the Defusion I (n= 4) or the Defusion II (n= 5) protocols. Six High-risk participants (more than 6 problematic behaviors) received the Defusion II protocol. The comparison of both protocols with Low-risk participants showed that only Defusion II produced relevant changes that were improved at the 4-month follow-up. High-risk participants only received the Defusion II protocol and the results obtained replicated, in part, the effect obtained with Low-risk participants. The limitations of this preliminary study are indicated and further studies are emphasized.","container-title":"International Journal of Psychology","language":"en","source":"Zotero","title":"A Relational Frame Analysis of Defusion Interactions in Acceptance and Commitment Therapy. A Preliminary and Quasi-Experimental Study with At-Risk Adolescents","author":[{"family":"Luciano","given":"Carmen"},{"family":"Ruiz","given":"Francisco J"},{"family":"Torres","given":"Rosa M Vizcaíno"},{"family":"Mar","given":"Vanessa Sánchez"}],"issued":{"date-parts":[["2011"]]}},"label":"page","suppress-author":true}],"schema":"https://github.com/citation-style-language/schema/raw/master/csl-citation.json"} </w:instrText>
      </w:r>
      <w:r w:rsidR="00D934EB">
        <w:fldChar w:fldCharType="separate"/>
      </w:r>
      <w:r w:rsidR="00D934EB">
        <w:rPr>
          <w:noProof/>
        </w:rPr>
        <w:t>(2011)</w:t>
      </w:r>
      <w:r w:rsidR="00D934EB">
        <w:fldChar w:fldCharType="end"/>
      </w:r>
      <w:r w:rsidR="00976A9F">
        <w:t xml:space="preserve">, </w:t>
      </w:r>
      <w:r w:rsidR="00D934EB">
        <w:t>both of which attempt to provide a more technical analysis</w:t>
      </w:r>
      <w:r w:rsidR="00646F58">
        <w:t xml:space="preserve"> of behavioral processes</w:t>
      </w:r>
      <w:r w:rsidR="00E7107B">
        <w:t>,</w:t>
      </w:r>
      <w:r w:rsidR="00D934EB">
        <w:t xml:space="preserve"> from the </w:t>
      </w:r>
      <w:r w:rsidR="002638C2">
        <w:t>perspective</w:t>
      </w:r>
      <w:r w:rsidR="00D934EB">
        <w:t xml:space="preserve"> of Relational Frame Theory </w:t>
      </w:r>
      <w:r w:rsidR="00D934EB">
        <w:fldChar w:fldCharType="begin"/>
      </w:r>
      <w:r w:rsidR="00D934EB">
        <w:instrText xml:space="preserve"> ADDIN ZOTERO_ITEM CSL_CITATION {"citationID":"tMoA0yCf","properties":{"formattedCitation":"(RFT: Hayes et al., 2001)","plainCitation":"(RFT: Hayes et al., 2001)","noteIndex":0},"citationItems":[{"id":197,"uris":["http://zotero.org/users/1687755/items/97BA6F6P"],"itemData":{"id":197,"type":"book","event-place":"New York","publisher":"Kluwer Academic/Plenum Press","publisher-place":"New York","title":"Relational frame theory: A post-Skinnerian account of human language and cognition","title-short":"Relational frame theory","author":[{"family":"Hayes","given":"Steven C."},{"family":"Barnes-Holmes","given":"Dermot"},{"family":"Roche","given":"Bryan"}],"issued":{"date-parts":[["2001"]]}},"label":"page","prefix":"RFT: "}],"schema":"https://github.com/citation-style-language/schema/raw/master/csl-citation.json"} </w:instrText>
      </w:r>
      <w:r w:rsidR="00D934EB">
        <w:fldChar w:fldCharType="separate"/>
      </w:r>
      <w:r w:rsidR="00D934EB">
        <w:rPr>
          <w:noProof/>
        </w:rPr>
        <w:t>(RFT: Hayes et al., 2001)</w:t>
      </w:r>
      <w:r w:rsidR="00D934EB">
        <w:fldChar w:fldCharType="end"/>
      </w:r>
      <w:r w:rsidR="00D934EB">
        <w:t xml:space="preserve">, of the behavioral processes involved in what ACT refers to as defusion </w:t>
      </w:r>
      <w:r w:rsidR="00D934EB">
        <w:fldChar w:fldCharType="begin"/>
      </w:r>
      <w:r w:rsidR="008E6690">
        <w:instrText xml:space="preserve"> ADDIN ZOTERO_ITEM CSL_CITATION {"citationID":"bVv3Spxl","properties":{"formattedCitation":"(Hayes et al., 1999)","plainCitation":"(Hayes et al., 1999)","noteIndex":0},"citationItems":[{"id":290,"uris":["http://zotero.org/users/1687755/items/RW6HQ5RW"],"itemData":{"id":290,"type":"book","abstract":"The prevailing view among therapists as well as clients is that a more vital life can be attained by overcoming negative thoughts and feelings. Yet despite efforts to achieve this goal, many individuals continue to suffer with behavior disorders, adjustment difficulties, and low life satisfaction. Acceptance and Commitment Therapy (ACT) is a unique psychotherapeutic approach that addresses this issue by altering the very ground on which rational change strategies rest. Within a coherent theoretical and philosophical framework, ACT illuminates the ways clients understand and perpetuate their difficulties through language. The book shows how interventions based on metaphor, paradox, and experiential exercises can enable clients to break free of language traps and make contact with thoughts, feelings, memories, and physical sensations that have been feared and avoided. Detailed guidelines are presented for helping clients recontextualize and accept these private events, develop greater clarity about personal values, and commit to needed behavior change. Providing in one volume a scientifically sound theory of psychopathology and a practical treatment model, and illustrated by a wealth of clinical examples, this is an important resource for practitioners and students in the full range of behavioral health care fields.","ISBN":"978-1-57230-481-9","language":"en","number-of-pages":"324","publisher":"Guilford Press","source":"Google Books","title":"Acceptance and Commitment Therapy: An experiential approach to behavior change","title-short":"Acceptance and Commitment Therapy","author":[{"family":"Hayes","given":"Steven C."},{"family":"Strosahl","given":"Kirk"},{"family":"Wilson","given":"Kelly G."}],"issued":{"date-parts":[["1999"]]}}}],"schema":"https://github.com/citation-style-language/schema/raw/master/csl-citation.json"} </w:instrText>
      </w:r>
      <w:r w:rsidR="00D934EB">
        <w:fldChar w:fldCharType="separate"/>
      </w:r>
      <w:r w:rsidR="00D934EB">
        <w:rPr>
          <w:noProof/>
        </w:rPr>
        <w:t>(Hayes et al., 1999)</w:t>
      </w:r>
      <w:r w:rsidR="00D934EB">
        <w:fldChar w:fldCharType="end"/>
      </w:r>
      <w:r w:rsidR="00D934EB">
        <w:t xml:space="preserve">. </w:t>
      </w:r>
      <w:r w:rsidR="00AB0CFD">
        <w:t>Foody et al. (2013) that they and the study by Luciano et al. (2011)</w:t>
      </w:r>
      <w:r w:rsidR="008E41FE">
        <w:t xml:space="preserve"> </w:t>
      </w:r>
      <w:r w:rsidR="00AB0CFD">
        <w:t xml:space="preserve">were </w:t>
      </w:r>
      <w:r w:rsidR="00D934EB">
        <w:t xml:space="preserve">among the first to </w:t>
      </w:r>
      <w:r w:rsidR="002E1601">
        <w:t xml:space="preserve">successfully </w:t>
      </w:r>
      <w:r w:rsidR="00D934EB">
        <w:t xml:space="preserve">attempt </w:t>
      </w:r>
      <w:r w:rsidR="002638C2">
        <w:t xml:space="preserve">to bridge the gap between </w:t>
      </w:r>
      <w:r w:rsidR="00D934EB">
        <w:t xml:space="preserve">ACT </w:t>
      </w:r>
      <w:r w:rsidR="002638C2">
        <w:t xml:space="preserve">and </w:t>
      </w:r>
      <w:r w:rsidR="00D934EB">
        <w:t>RFT</w:t>
      </w:r>
      <w:r w:rsidR="00E12B1A">
        <w:t xml:space="preserve">, specifically by recasting what ACT calls the therapeutic processes of “defusion” and “the three selves” into the more precise language of </w:t>
      </w:r>
      <w:r w:rsidR="009E2840">
        <w:t xml:space="preserve">what RFT refers to as </w:t>
      </w:r>
      <w:r w:rsidR="00E12B1A">
        <w:t>deictic relational responding (see Foody et al., 2013</w:t>
      </w:r>
      <w:r w:rsidR="00A82BA0">
        <w:t>, Luciano et al. 2011</w:t>
      </w:r>
      <w:r w:rsidR="00E12B1A">
        <w:t>)</w:t>
      </w:r>
      <w:r w:rsidR="002E1601">
        <w:t>.</w:t>
      </w:r>
      <w:r w:rsidR="00D934EB">
        <w:t xml:space="preserve"> </w:t>
      </w:r>
      <w:r w:rsidR="00037072">
        <w:t xml:space="preserve">Specifically, Foody et al. (2013) </w:t>
      </w:r>
      <w:r w:rsidR="00F73E62">
        <w:t>adapted</w:t>
      </w:r>
      <w:r w:rsidR="00037072">
        <w:t xml:space="preserve"> two different ultra</w:t>
      </w:r>
      <w:r w:rsidR="00F73E62">
        <w:t>-</w:t>
      </w:r>
      <w:r w:rsidR="00037072">
        <w:t xml:space="preserve">brief therapeutic interventions </w:t>
      </w:r>
      <w:r w:rsidR="00F73E62">
        <w:t>designed to decrease distress</w:t>
      </w:r>
      <w:r w:rsidR="00601A8D">
        <w:t xml:space="preserve"> from Luciano et al. (2011)</w:t>
      </w:r>
      <w:r w:rsidR="00F73E62">
        <w:t>.</w:t>
      </w:r>
      <w:r w:rsidR="00601A8D">
        <w:t xml:space="preserve"> Briefly, these defined the distinction condition</w:t>
      </w:r>
      <w:r w:rsidR="003C1F10">
        <w:t>,</w:t>
      </w:r>
      <w:r w:rsidR="00601A8D">
        <w:t xml:space="preserve"> in which participants were instructed to attempt to see their thoughts and feelings as distinct from their </w:t>
      </w:r>
      <w:r w:rsidR="00902666">
        <w:t xml:space="preserve">sense of </w:t>
      </w:r>
      <w:r w:rsidR="00601A8D">
        <w:t xml:space="preserve">self (i.e., </w:t>
      </w:r>
      <w:r w:rsidR="003906E8">
        <w:t>you are not your thoughts</w:t>
      </w:r>
      <w:r w:rsidR="00601A8D">
        <w:t>)</w:t>
      </w:r>
      <w:r w:rsidR="003C1F10">
        <w:t xml:space="preserve">, versus the hierarchy condition, in which participants were instructed </w:t>
      </w:r>
      <w:r w:rsidR="003906E8">
        <w:t>to attempt to see their thoughts and feelings as contained by an overarching self of self (i.e., you contain your thoughts).</w:t>
      </w:r>
      <w:r w:rsidR="00363599">
        <w:t xml:space="preserve"> </w:t>
      </w:r>
      <w:r w:rsidR="00D934EB">
        <w:t xml:space="preserve">These studies therefore represent key papers in the on-going debate about the strength of the evidence for ACT’s core processes and their ties to basic science via RFT </w:t>
      </w:r>
      <w:r w:rsidR="00D934EB">
        <w:fldChar w:fldCharType="begin"/>
      </w:r>
      <w:r w:rsidR="00D934EB">
        <w:instrText xml:space="preserve"> ADDIN ZOTERO_ITEM CSL_CITATION {"citationID":"bdpADlIv","properties":{"formattedCitation":"(see Barnes-Holmes et al., 2015; McLoughlin &amp; Roche, 2022)","plainCitation":"(see Barnes-Holmes et al., 2015; McLoughlin &amp; Roche, 2022)","noteIndex":0},"citationItems":[{"id":223,"uris":["http://zotero.org/users/1687755/items/P3KU2EWX"],"itemData":{"id":223,"type":"chapter","container-title":"The Wiley Handbook of Contextual Behavioral Science","event-place":"New York, NY","page":"365–382","publisher":"Blackwell-Wiley","publisher-place":"New York, NY","title":"Scientific ambition: The relationship between Relational Frame Theory and middle-level terms in acceptance and commitment therapy","URL":"http://onlinelibrary.wiley.com/doi/10.1002/9781118489857.ch18/","author":[{"family":"Barnes-Holmes","given":"Yvonne"},{"family":"Hussey","given":"Ian"},{"family":"McEnteggart","given":"Ciara"},{"family":"Barnes-Holmes","given":"Dermot"},{"family":"Foody","given":"Mairéad"}],"editor":[{"family":"Zettle","given":"Robert D"},{"family":"Hayes","given":"Steven C."},{"family":"Barnes-Holmes","given":"Dermot"},{"family":"Biglan","given":"Anthony"}],"issued":{"date-parts":[["2015"]]}},"label":"page","prefix":"see"},{"id":15541,"uris":["http://zotero.org/users/1687755/items/HYYUSMSB"],"itemData":{"id":15541,"type":"article-journal","abstract":"A large array of randomized controlled trials and meta-analyses have determined the efficacy of Acceptance and Commitment Therapy (ACT). However, determining that ACT works does not tell us how it works. This is especially important to understand given the current emphasis on Process-Based Therapy, the promise of which is to identify manipulable causal mediators of change in psychotherapy, and how their effectiveness is moderated by individual contexts. This paper outlines four key areas of concern regarding ACT’s status as a Process-Based Therapy. First, the relationship between ACT and Relational Frame Theory has been widely asserted but not yet properly substantiated. Second, most of the studies on ACT’s core process of change, psychological flexibility, have used invalid measures. Third, while lots of research indicates means by which individuals can be helped to behave consistently with their values, there is virtually no research on how to help people effectively clarify their values in the first instance, or indeed, on an iterative basis. Finally, the philosophy underlying ACT permits a-moral instrumentalism, presenting several ethical challenges. We end by making several recommendations for coherent methodological, conceptual, and practical progress within ACT research and therapy.","container-title":"Behavior Therapy","DOI":"10.1016/j.beth.2022.07.010","ISSN":"00057894","journalAbbreviation":"Behavior Therapy","language":"en","page":"S0005789422001022","source":"DOI.org (Crossref)","title":"ACT: A Process-Based Therapy in search of a process","title-short":"ACT","author":[{"family":"McLoughlin","given":"Shane"},{"family":"Roche","given":"Bryan T."}],"issued":{"date-parts":[["2022",8]]}}}],"schema":"https://github.com/citation-style-language/schema/raw/master/csl-citation.json"} </w:instrText>
      </w:r>
      <w:r w:rsidR="00D934EB">
        <w:fldChar w:fldCharType="separate"/>
      </w:r>
      <w:r w:rsidR="00D934EB">
        <w:rPr>
          <w:noProof/>
        </w:rPr>
        <w:t>(see Barnes-Holmes et al., 2015; McLoughlin &amp; Roche, 2022)</w:t>
      </w:r>
      <w:r w:rsidR="00D934EB">
        <w:fldChar w:fldCharType="end"/>
      </w:r>
      <w:r w:rsidR="00D934EB">
        <w:t xml:space="preserve">. </w:t>
      </w:r>
      <w:r w:rsidR="008E41FE">
        <w:t xml:space="preserve">Both are well cited, with 139 and 112 citations, respectively, on Google Scholar at time of writing. Given the importance of Foody et al.’s (2013) results to this contemporary debate, </w:t>
      </w:r>
      <w:r w:rsidR="002638C2">
        <w:t xml:space="preserve">and the fact that it </w:t>
      </w:r>
      <w:r w:rsidR="004A47EE">
        <w:t xml:space="preserve">claims to be </w:t>
      </w:r>
      <w:r w:rsidR="002638C2">
        <w:t>a replication of an original effect</w:t>
      </w:r>
      <w:r w:rsidR="0038104C">
        <w:t xml:space="preserve"> (thereby providing stronger evidence for the original claim)</w:t>
      </w:r>
      <w:r w:rsidR="002638C2">
        <w:t xml:space="preserve">, </w:t>
      </w:r>
      <w:r w:rsidR="008E41FE">
        <w:t xml:space="preserve">it seems important to closely examine the strength of the evidence </w:t>
      </w:r>
      <w:r w:rsidR="00560A85">
        <w:t>supporting their</w:t>
      </w:r>
      <w:r w:rsidR="00B51BC0">
        <w:t xml:space="preserve"> claims.</w:t>
      </w:r>
    </w:p>
    <w:p w14:paraId="2728C92A" w14:textId="7031E5B2" w:rsidR="00F83BBE" w:rsidRDefault="0061554A" w:rsidP="00A3130A">
      <w:pPr>
        <w:pStyle w:val="Heading2"/>
      </w:pPr>
      <w:r>
        <w:t>Summary of Foody et al. (2013)</w:t>
      </w:r>
      <w:r w:rsidR="00F83BBE">
        <w:t xml:space="preserve"> </w:t>
      </w:r>
    </w:p>
    <w:p w14:paraId="3C26C887" w14:textId="54B20D74" w:rsidR="008E41FE" w:rsidRDefault="009F6B62" w:rsidP="00A3130A">
      <w:pPr>
        <w:pStyle w:val="Heading3"/>
      </w:pPr>
      <w:r>
        <w:t>Stated r</w:t>
      </w:r>
      <w:r w:rsidR="008E41FE">
        <w:t xml:space="preserve">elevance </w:t>
      </w:r>
    </w:p>
    <w:p w14:paraId="13742156" w14:textId="2DAF5E34" w:rsidR="00553CAC" w:rsidRDefault="00D934EB" w:rsidP="00280E6C">
      <w:pPr>
        <w:ind w:firstLine="720"/>
      </w:pPr>
      <w:r>
        <w:t xml:space="preserve">Foody et al. (2013) state the relevance of their study as follows: </w:t>
      </w:r>
      <w:r w:rsidR="00553CAC" w:rsidRPr="00553CAC">
        <w:t>“The current study is among the first to attempt to target specific relational frames in the context of ACT exercises. In doing so, it fits the broader research agenda of scientific bridge building between ACT and RFT, while recognizing the difficulties inherent in the use of middle level terms, such as self as context and defusion. One of the central ways forward in dealing with middle level terms is to replace them with more functionally sound, empirically tested concepts, such as replacing the terms self as context with distinction or hierarchical deictic relations. Although the present study is only one small step in that direction, it does suggest that RFT concepts may have more clinical application than might have been previously recognized.” (Foody et al., 2013, p. 387)</w:t>
      </w:r>
      <w:r>
        <w:t xml:space="preserve">. </w:t>
      </w:r>
    </w:p>
    <w:p w14:paraId="65627F79" w14:textId="31037092" w:rsidR="00391E8F" w:rsidRDefault="00AF68E7" w:rsidP="00A3130A">
      <w:pPr>
        <w:pStyle w:val="Heading3"/>
      </w:pPr>
      <w:r>
        <w:t>D</w:t>
      </w:r>
      <w:r w:rsidR="00391E8F">
        <w:t>esign and method</w:t>
      </w:r>
    </w:p>
    <w:p w14:paraId="3BBDB8E6" w14:textId="3BC826CA" w:rsidR="00747122" w:rsidRDefault="00747122" w:rsidP="00594A10">
      <w:pPr>
        <w:ind w:firstLine="720"/>
      </w:pPr>
      <w:r>
        <w:t xml:space="preserve">Foody et al. (2013) employed a </w:t>
      </w:r>
      <w:r w:rsidRPr="00553CAC">
        <w:t>3 (</w:t>
      </w:r>
      <w:r>
        <w:t xml:space="preserve">within </w:t>
      </w:r>
      <w:r w:rsidRPr="00553CAC">
        <w:t>time-points</w:t>
      </w:r>
      <w:r>
        <w:t xml:space="preserve">: </w:t>
      </w:r>
      <w:r w:rsidRPr="00553CAC">
        <w:t>baseline, post distress induction, post ACT intervention) X 2 (</w:t>
      </w:r>
      <w:r>
        <w:t xml:space="preserve">between intervention </w:t>
      </w:r>
      <w:r w:rsidRPr="00553CAC">
        <w:t>groups</w:t>
      </w:r>
      <w:r>
        <w:t>:</w:t>
      </w:r>
      <w:r w:rsidRPr="00553CAC">
        <w:t xml:space="preserve"> “hierarchical self as context” vs</w:t>
      </w:r>
      <w:r>
        <w:t>.</w:t>
      </w:r>
      <w:r w:rsidRPr="00553CAC">
        <w:t xml:space="preserve"> “distinction self as context”)</w:t>
      </w:r>
      <w:r>
        <w:t xml:space="preserve"> mixed between-within design. </w:t>
      </w:r>
      <w:r w:rsidR="00C955BE">
        <w:t xml:space="preserve">Three primary outcome measures were assessed at each timepoint: three single-item visual analogue scales </w:t>
      </w:r>
      <w:r w:rsidR="00391E8F">
        <w:t xml:space="preserve">(VAS) </w:t>
      </w:r>
      <w:r w:rsidR="00C955BE" w:rsidRPr="00C955BE">
        <w:t xml:space="preserve">“were used as distress ratings and assessed discomfort, anxiety, and stress” (Foody et </w:t>
      </w:r>
      <w:r w:rsidR="00C955BE" w:rsidRPr="00C955BE">
        <w:lastRenderedPageBreak/>
        <w:t>al., 2013, p. 376)</w:t>
      </w:r>
      <w:r w:rsidR="00C955BE">
        <w:t xml:space="preserve">. </w:t>
      </w:r>
      <w:r w:rsidR="00391E8F">
        <w:t xml:space="preserve">Each </w:t>
      </w:r>
      <w:r w:rsidR="00047227">
        <w:t>visual analogue scale</w:t>
      </w:r>
      <w:r w:rsidR="007F6C9E">
        <w:t xml:space="preserve"> </w:t>
      </w:r>
      <w:r w:rsidR="00391E8F">
        <w:t>required participant to indicated “</w:t>
      </w:r>
      <w:r w:rsidR="00391E8F" w:rsidRPr="00553CAC">
        <w:t>their level of distress on each scale by placing an X on a printed line that ranged from 0% (e.g., no discomfort) to 100% (e.g., very much discomfort).” (Foody et al., 2013, p. 376)</w:t>
      </w:r>
      <w:r w:rsidR="00391E8F">
        <w:t>.</w:t>
      </w:r>
      <w:r w:rsidR="004239FE">
        <w:t xml:space="preserve"> </w:t>
      </w:r>
      <w:r w:rsidR="0043699A">
        <w:t xml:space="preserve">Secondary outcome measures will not be considered here for brevity. Participants were assessed at baseline, completed a distress induction task, then were assessed again (post induction), then completed an ACT intervention (randomised to either a </w:t>
      </w:r>
      <w:r w:rsidR="0043699A" w:rsidRPr="00553CAC">
        <w:t xml:space="preserve">“hierarchical self as context” </w:t>
      </w:r>
      <w:r w:rsidR="0043699A">
        <w:t>or</w:t>
      </w:r>
      <w:r w:rsidR="0043699A" w:rsidRPr="00553CAC">
        <w:t xml:space="preserve"> “distinction self as context”</w:t>
      </w:r>
      <w:r w:rsidR="0043699A">
        <w:t xml:space="preserve"> exercise), and then completed the assessments again</w:t>
      </w:r>
      <w:r w:rsidR="00732AFB">
        <w:t xml:space="preserve"> (post intervention). </w:t>
      </w:r>
      <w:r w:rsidR="004779C4">
        <w:t>The analyses included 18 participants per group after exclusions.</w:t>
      </w:r>
      <w:r w:rsidR="00640553">
        <w:t xml:space="preserve"> </w:t>
      </w:r>
    </w:p>
    <w:p w14:paraId="42F5BE50" w14:textId="0E973149" w:rsidR="00747122" w:rsidRDefault="00594A10" w:rsidP="00A3130A">
      <w:pPr>
        <w:pStyle w:val="Heading3"/>
      </w:pPr>
      <w:r>
        <w:t xml:space="preserve">Hypothesis </w:t>
      </w:r>
      <w:r w:rsidR="00E527D5">
        <w:t>and</w:t>
      </w:r>
      <w:r>
        <w:t xml:space="preserve"> c</w:t>
      </w:r>
      <w:r w:rsidR="00747122">
        <w:t>laims</w:t>
      </w:r>
    </w:p>
    <w:p w14:paraId="0329BBC5" w14:textId="77777777" w:rsidR="00D748EB" w:rsidRDefault="00594A10" w:rsidP="009906B0">
      <w:pPr>
        <w:ind w:firstLine="720"/>
      </w:pPr>
      <w:r>
        <w:t>Foody et al.’s (2013) hypothesis, although not stated formally, can be inferred from the</w:t>
      </w:r>
      <w:r w:rsidR="008C2F39">
        <w:t xml:space="preserve"> study they state they were conceptually replicating (Luciano et al., 2011) and their own</w:t>
      </w:r>
      <w:r>
        <w:t xml:space="preserve"> central conclusions. </w:t>
      </w:r>
      <w:r w:rsidR="00747122">
        <w:t>To paraphrase</w:t>
      </w:r>
      <w:r>
        <w:t xml:space="preserve"> the</w:t>
      </w:r>
      <w:r w:rsidR="00640553">
        <w:t xml:space="preserve"> purpose of their design, their </w:t>
      </w:r>
      <w:r>
        <w:t>hypothesis</w:t>
      </w:r>
      <w:r w:rsidR="00640553">
        <w:t xml:space="preserve">, </w:t>
      </w:r>
      <w:r>
        <w:t xml:space="preserve">and </w:t>
      </w:r>
      <w:r w:rsidR="00640553">
        <w:t xml:space="preserve">their </w:t>
      </w:r>
      <w:r>
        <w:t>claims</w:t>
      </w:r>
      <w:r w:rsidR="00640553">
        <w:t>:</w:t>
      </w:r>
      <w:r>
        <w:t xml:space="preserve"> Foody et al. (2013) </w:t>
      </w:r>
      <w:r w:rsidR="00640553">
        <w:t xml:space="preserve">intended to induce distress (i.e., between baseline and post induction). They then wished to assess the relative degree to which the two interventions could then relieve that distress. Their hypothesis was that the </w:t>
      </w:r>
      <w:r w:rsidR="00640553" w:rsidRPr="00553CAC">
        <w:t xml:space="preserve">“hierarchical self as context” </w:t>
      </w:r>
      <w:r w:rsidR="00640553">
        <w:t>intervention would be more effective than the</w:t>
      </w:r>
      <w:r w:rsidR="00640553" w:rsidRPr="00553CAC">
        <w:t xml:space="preserve"> “distinction self as context”</w:t>
      </w:r>
      <w:r w:rsidR="00640553">
        <w:t xml:space="preserve"> intervention</w:t>
      </w:r>
      <w:r w:rsidR="008A4D36">
        <w:t>, and they concluded that this was the case</w:t>
      </w:r>
      <w:r w:rsidR="003D77B3">
        <w:t>, and that they therefore conceptually replicated the results of the original study by Luciano et al. (2011)</w:t>
      </w:r>
      <w:r w:rsidR="008A4D36">
        <w:t xml:space="preserve">. </w:t>
      </w:r>
    </w:p>
    <w:p w14:paraId="06C00783" w14:textId="334BEF57" w:rsidR="00B40A87" w:rsidRDefault="007F54C1" w:rsidP="009906B0">
      <w:pPr>
        <w:ind w:firstLine="720"/>
      </w:pPr>
      <w:r>
        <w:t xml:space="preserve">In their own words, they </w:t>
      </w:r>
      <w:r w:rsidR="008C2F39">
        <w:t xml:space="preserve">summarize their key findings as follows: </w:t>
      </w:r>
      <w:r w:rsidR="008C2F39" w:rsidRPr="00553CAC">
        <w:t>“The findings demonstrated superiority of the intervention that focused on hierarchical, rather than distinction, deictic relations in terms of reducing distress.” (p. 373)</w:t>
      </w:r>
      <w:r w:rsidR="008063C6">
        <w:t>;</w:t>
      </w:r>
      <w:r w:rsidR="008C2F39">
        <w:t xml:space="preserve"> </w:t>
      </w:r>
      <w:r w:rsidR="008C2F39" w:rsidRPr="00553CAC">
        <w:t>“</w:t>
      </w:r>
      <w:r w:rsidR="008C2F39">
        <w:t>T</w:t>
      </w:r>
      <w:r w:rsidR="008C2F39" w:rsidRPr="00553CAC">
        <w:t>he superiority observed for the hierarchical intervention, relative to distinction, bore some overlap with the findings from the original study.” (p. 384)</w:t>
      </w:r>
      <w:r w:rsidR="008063C6">
        <w:t>;</w:t>
      </w:r>
      <w:r w:rsidR="008C2F39">
        <w:t xml:space="preserve"> </w:t>
      </w:r>
      <w:r w:rsidR="008C2F39" w:rsidRPr="00553CAC">
        <w:t>“The hierarchical intervention only resulted in a reduction in all three dependent measures, including a significant reduction in stress.</w:t>
      </w:r>
      <w:r w:rsidR="000F065F">
        <w:t xml:space="preserve"> …</w:t>
      </w:r>
      <w:r w:rsidR="008C2F39" w:rsidRPr="00553CAC">
        <w:t xml:space="preserve"> The lack of effect for the distinction intervention is also similar to the findings from the original [study], in which Luciano et al. found only limited effects for the defusion I intervention.” (p. 385)</w:t>
      </w:r>
      <w:r w:rsidR="008063C6">
        <w:t>;</w:t>
      </w:r>
      <w:r w:rsidR="008C2F39">
        <w:t xml:space="preserve"> </w:t>
      </w:r>
      <w:r w:rsidR="008063C6">
        <w:t xml:space="preserve">and </w:t>
      </w:r>
      <w:r w:rsidR="009906B0">
        <w:rPr>
          <w:rStyle w:val="highlight"/>
        </w:rPr>
        <w:t>“the hierarchical intervention was significantly effective only in the context of stress, and not in discomfort or anxiety (although both of these were also reduced).”</w:t>
      </w:r>
      <w:r w:rsidR="009906B0">
        <w:t xml:space="preserve"> </w:t>
      </w:r>
      <w:r w:rsidR="009906B0">
        <w:rPr>
          <w:rStyle w:val="citation"/>
        </w:rPr>
        <w:t>(</w:t>
      </w:r>
      <w:r w:rsidR="009906B0">
        <w:rPr>
          <w:rStyle w:val="citation-item"/>
        </w:rPr>
        <w:t>p. 385</w:t>
      </w:r>
      <w:r w:rsidR="009906B0">
        <w:rPr>
          <w:rStyle w:val="citation"/>
        </w:rPr>
        <w:t>)</w:t>
      </w:r>
      <w:r w:rsidR="00730189">
        <w:rPr>
          <w:rStyle w:val="citation"/>
        </w:rPr>
        <w:t>.</w:t>
      </w:r>
    </w:p>
    <w:p w14:paraId="435D2415" w14:textId="76288C18" w:rsidR="00B5669C" w:rsidRDefault="00C934AC" w:rsidP="00024D94">
      <w:pPr>
        <w:pStyle w:val="Heading2"/>
      </w:pPr>
      <w:r>
        <w:t>Critique</w:t>
      </w:r>
    </w:p>
    <w:p w14:paraId="05D3DD48" w14:textId="32F91C4E" w:rsidR="00CB764F" w:rsidRDefault="00C94ACE" w:rsidP="00B5669C">
      <w:pPr>
        <w:pStyle w:val="Heading2"/>
        <w:ind w:firstLine="720"/>
      </w:pPr>
      <w:r>
        <w:t>F</w:t>
      </w:r>
      <w:r w:rsidR="00605C8F">
        <w:t>ailure to correct for multiple comparisons</w:t>
      </w:r>
    </w:p>
    <w:p w14:paraId="6C25B03D" w14:textId="77777777" w:rsidR="00C87FC2" w:rsidRDefault="00CB764F" w:rsidP="0061412D">
      <w:r>
        <w:tab/>
      </w:r>
      <w:r w:rsidR="00DE1119">
        <w:t xml:space="preserve">In their abstract, </w:t>
      </w:r>
      <w:r w:rsidR="00CD41D8">
        <w:t xml:space="preserve">Foody et al. (2013) </w:t>
      </w:r>
      <w:r w:rsidR="00067FB6">
        <w:t>state</w:t>
      </w:r>
      <w:r w:rsidR="00CD41D8">
        <w:t xml:space="preserve"> that their </w:t>
      </w:r>
      <w:r w:rsidR="00CD41D8" w:rsidRPr="00553CAC">
        <w:t>“findings demonstrated superiority of the intervention that focused on hierarchical, rather than distinction, deictic relations in terms of reducing distress.” (p. 373</w:t>
      </w:r>
      <w:r w:rsidR="00941330">
        <w:t xml:space="preserve">). They reiterate this </w:t>
      </w:r>
      <w:r w:rsidR="00F03BA0">
        <w:t xml:space="preserve">claim </w:t>
      </w:r>
      <w:r w:rsidR="00941330">
        <w:t>in the first paragraph of their discussion: “</w:t>
      </w:r>
      <w:r w:rsidR="00941330" w:rsidRPr="00941330">
        <w:t xml:space="preserve">Nonetheless, the superiority observed for the hierarchical intervention, relative to distinction, bore some overlap with the findings from the original study.” </w:t>
      </w:r>
      <w:r w:rsidR="00941330">
        <w:t>(</w:t>
      </w:r>
      <w:r w:rsidR="00941330" w:rsidRPr="00941330">
        <w:t>p. 384</w:t>
      </w:r>
      <w:r w:rsidR="00941330">
        <w:t xml:space="preserve">). </w:t>
      </w:r>
      <w:r w:rsidR="00F03BA0">
        <w:t xml:space="preserve">However, only paragraphs later they state that </w:t>
      </w:r>
      <w:r w:rsidR="001C382A">
        <w:t xml:space="preserve">the effect </w:t>
      </w:r>
      <w:r w:rsidR="003E3209">
        <w:t>“</w:t>
      </w:r>
      <w:r w:rsidR="003E3209">
        <w:rPr>
          <w:rStyle w:val="highlight"/>
        </w:rPr>
        <w:t>was significantly effective only in the context of stress, and not in discomfort or anxiety” (p. 385)</w:t>
      </w:r>
      <w:r w:rsidR="008504A9">
        <w:rPr>
          <w:rStyle w:val="highlight"/>
        </w:rPr>
        <w:t xml:space="preserve">, </w:t>
      </w:r>
      <w:r w:rsidR="005927A3">
        <w:rPr>
          <w:rStyle w:val="highlight"/>
        </w:rPr>
        <w:t>that is,</w:t>
      </w:r>
      <w:r w:rsidR="008504A9">
        <w:rPr>
          <w:rStyle w:val="highlight"/>
        </w:rPr>
        <w:t xml:space="preserve"> for only one of the three outcome measures. </w:t>
      </w:r>
      <w:r w:rsidR="00EA559D">
        <w:rPr>
          <w:rStyle w:val="highlight"/>
        </w:rPr>
        <w:t xml:space="preserve">Together, this means that the authors made conclusions about the differential efficacy in general (i.e., on “distress”) based on just one of three measures of distress showing a significant effect. </w:t>
      </w:r>
      <w:r w:rsidR="0056495B">
        <w:rPr>
          <w:rStyle w:val="highlight"/>
        </w:rPr>
        <w:t xml:space="preserve">They do not state it explicitly, but we </w:t>
      </w:r>
      <w:r w:rsidR="00B7442B">
        <w:rPr>
          <w:rStyle w:val="highlight"/>
        </w:rPr>
        <w:t>can</w:t>
      </w:r>
      <w:r w:rsidR="0056495B">
        <w:rPr>
          <w:rStyle w:val="highlight"/>
        </w:rPr>
        <w:t xml:space="preserve"> assume that </w:t>
      </w:r>
      <w:r w:rsidR="001B6EE9">
        <w:rPr>
          <w:rStyle w:val="highlight"/>
        </w:rPr>
        <w:t xml:space="preserve">this claim is based on the </w:t>
      </w:r>
      <w:r w:rsidR="003931A8">
        <w:rPr>
          <w:rStyle w:val="highlight"/>
        </w:rPr>
        <w:t xml:space="preserve">statistical significance of the interaction effects in </w:t>
      </w:r>
      <w:r w:rsidR="003931A8">
        <w:t>three mixed within-between RM-ANOVAs that employed the outcome measures as dependent variables (in separate models), time point as within-subjects independent variable, and condition as between-groups independent variable (p. 381-382)</w:t>
      </w:r>
      <w:r w:rsidR="00916A47">
        <w:t xml:space="preserve">, as no other set of results follows this pattern or has the same relevance to the claim. </w:t>
      </w:r>
      <w:r w:rsidR="003931A8">
        <w:t>The</w:t>
      </w:r>
      <w:r w:rsidR="000B4BD9">
        <w:t>y report that the</w:t>
      </w:r>
      <w:r w:rsidR="003931A8">
        <w:t xml:space="preserve"> interaction effects</w:t>
      </w:r>
      <w:r w:rsidR="001B6EE9">
        <w:rPr>
          <w:rStyle w:val="highlight"/>
        </w:rPr>
        <w:t xml:space="preserve"> were significant for </w:t>
      </w:r>
      <w:r w:rsidR="001B6EE9" w:rsidRPr="00FE4999">
        <w:t>stress</w:t>
      </w:r>
      <w:r w:rsidR="001B6EE9">
        <w:t xml:space="preserve"> (</w:t>
      </w:r>
      <w:r w:rsidR="0094405D">
        <w:t>“</w:t>
      </w:r>
      <w:r w:rsidR="001B6EE9" w:rsidRPr="00FE4999">
        <w:rPr>
          <w:i/>
          <w:iCs/>
        </w:rPr>
        <w:t>p</w:t>
      </w:r>
      <w:r w:rsidR="001B6EE9" w:rsidRPr="00FE4999">
        <w:t xml:space="preserve"> = .04</w:t>
      </w:r>
      <w:r w:rsidR="0094405D">
        <w:t>”</w:t>
      </w:r>
      <w:r w:rsidR="001B6EE9">
        <w:t>) but not discomfort (</w:t>
      </w:r>
      <w:r w:rsidR="0094405D">
        <w:t>“</w:t>
      </w:r>
      <w:r w:rsidR="001B6EE9" w:rsidRPr="00FE4999">
        <w:rPr>
          <w:i/>
          <w:iCs/>
        </w:rPr>
        <w:t>p</w:t>
      </w:r>
      <w:r w:rsidR="001B6EE9" w:rsidRPr="00FE4999">
        <w:t xml:space="preserve"> = .45</w:t>
      </w:r>
      <w:r w:rsidR="0094405D">
        <w:t>”</w:t>
      </w:r>
      <w:r w:rsidR="001B6EE9">
        <w:t xml:space="preserve">) or </w:t>
      </w:r>
      <w:r w:rsidR="001B6EE9" w:rsidRPr="00FE4999">
        <w:t>anxiety</w:t>
      </w:r>
      <w:r w:rsidR="001B6EE9">
        <w:t xml:space="preserve"> (</w:t>
      </w:r>
      <w:r w:rsidR="0094405D">
        <w:t>“</w:t>
      </w:r>
      <w:r w:rsidR="001B6EE9" w:rsidRPr="00FE4999">
        <w:rPr>
          <w:i/>
          <w:iCs/>
        </w:rPr>
        <w:t>p</w:t>
      </w:r>
      <w:r w:rsidR="001B6EE9" w:rsidRPr="00FE4999">
        <w:t xml:space="preserve"> = .33</w:t>
      </w:r>
      <w:r w:rsidR="0094405D">
        <w:t>”</w:t>
      </w:r>
      <w:r w:rsidR="001B6EE9">
        <w:t xml:space="preserve">; pp. 381-382). </w:t>
      </w:r>
    </w:p>
    <w:p w14:paraId="22B241C5" w14:textId="32E9622D" w:rsidR="00391C4F" w:rsidRDefault="00C87FC2" w:rsidP="00C87FC2">
      <w:pPr>
        <w:ind w:firstLine="720"/>
      </w:pPr>
      <w:r>
        <w:t xml:space="preserve">Based on the magnitudes of the </w:t>
      </w:r>
      <w:r w:rsidRPr="008817DC">
        <w:rPr>
          <w:i/>
          <w:iCs/>
        </w:rPr>
        <w:t>p</w:t>
      </w:r>
      <w:r w:rsidR="008817DC">
        <w:t xml:space="preserve"> </w:t>
      </w:r>
      <w:r>
        <w:t>values, i</w:t>
      </w:r>
      <w:r w:rsidR="00391C4F">
        <w:t xml:space="preserve">t is important to note that the combination of small sample sizes, multiple outcome measures, and a subset of barely significant </w:t>
      </w:r>
      <w:r w:rsidR="00391C4F" w:rsidRPr="00391C4F">
        <w:rPr>
          <w:i/>
          <w:iCs/>
        </w:rPr>
        <w:t>p</w:t>
      </w:r>
      <w:r w:rsidR="00391C4F">
        <w:t xml:space="preserve"> values already </w:t>
      </w:r>
      <w:r w:rsidR="00C60C14">
        <w:t>represent</w:t>
      </w:r>
      <w:r w:rsidR="00391C4F">
        <w:t xml:space="preserve"> indications that th</w:t>
      </w:r>
      <w:r w:rsidR="00C05838">
        <w:t>is</w:t>
      </w:r>
      <w:r w:rsidR="00391C4F">
        <w:t xml:space="preserve"> effect and broader claim may not be replicable (</w:t>
      </w:r>
      <w:r w:rsidR="00391C4F" w:rsidRPr="00391C4F">
        <w:rPr>
          <w:highlight w:val="yellow"/>
        </w:rPr>
        <w:t>REFs</w:t>
      </w:r>
      <w:r w:rsidR="00391C4F">
        <w:t xml:space="preserve">). </w:t>
      </w:r>
    </w:p>
    <w:p w14:paraId="0EA8612D" w14:textId="48BD2C73" w:rsidR="003931A8" w:rsidRDefault="00391C4F" w:rsidP="00EC5A72">
      <w:pPr>
        <w:ind w:firstLine="720"/>
      </w:pPr>
      <w:r>
        <w:lastRenderedPageBreak/>
        <w:t xml:space="preserve">However, </w:t>
      </w:r>
      <w:r w:rsidR="00CE5D73">
        <w:t xml:space="preserve">let us take </w:t>
      </w:r>
      <w:r w:rsidR="002E708B">
        <w:t xml:space="preserve">these analyses </w:t>
      </w:r>
      <w:r w:rsidR="00414CB9">
        <w:t>at</w:t>
      </w:r>
      <w:r w:rsidR="00CE5D73">
        <w:t xml:space="preserve"> face value</w:t>
      </w:r>
      <w:r>
        <w:t xml:space="preserve"> for a moment</w:t>
      </w:r>
      <w:r w:rsidR="00CE5D73">
        <w:t xml:space="preserve">. </w:t>
      </w:r>
      <w:r w:rsidR="00945AD9">
        <w:t>Based on the</w:t>
      </w:r>
      <w:r w:rsidR="002979F3">
        <w:t xml:space="preserve"> above quotes</w:t>
      </w:r>
      <w:r w:rsidR="00945AD9">
        <w:t xml:space="preserve">, </w:t>
      </w:r>
      <w:r w:rsidR="008D379C">
        <w:rPr>
          <w:rStyle w:val="highlight"/>
        </w:rPr>
        <w:t>Foody et al.’s (2013)</w:t>
      </w:r>
      <w:r w:rsidR="009C4B98">
        <w:rPr>
          <w:rStyle w:val="highlight"/>
        </w:rPr>
        <w:t xml:space="preserve"> inferential method can be summarized as accepting their alternative hypothesis if they obtained significant results on any of the three outcome variables.</w:t>
      </w:r>
      <w:r w:rsidR="005A6D22">
        <w:rPr>
          <w:rStyle w:val="highlight"/>
        </w:rPr>
        <w:t xml:space="preserve"> However, </w:t>
      </w:r>
      <w:r w:rsidR="00274E30">
        <w:rPr>
          <w:rStyle w:val="highlight"/>
        </w:rPr>
        <w:t>given this inference method, good statistical practice would require that these results are corrected for the familywise error rate (</w:t>
      </w:r>
      <w:r w:rsidR="00274E30" w:rsidRPr="005820BC">
        <w:rPr>
          <w:rStyle w:val="highlight"/>
          <w:highlight w:val="yellow"/>
        </w:rPr>
        <w:t>REF</w:t>
      </w:r>
      <w:r w:rsidR="00274E30">
        <w:rPr>
          <w:rStyle w:val="highlight"/>
        </w:rPr>
        <w:t xml:space="preserve">). </w:t>
      </w:r>
      <w:r w:rsidR="002F2362">
        <w:rPr>
          <w:rStyle w:val="highlight"/>
        </w:rPr>
        <w:t xml:space="preserve">Simply put, if one is willing to accept the alternative hypothesis on the basis of any significant result across multiple outcome measures, </w:t>
      </w:r>
      <w:r w:rsidR="001509BD">
        <w:rPr>
          <w:rStyle w:val="highlight"/>
        </w:rPr>
        <w:t>alpha corrections must be applied i</w:t>
      </w:r>
      <w:r w:rsidR="00781B54">
        <w:rPr>
          <w:rStyle w:val="highlight"/>
        </w:rPr>
        <w:t xml:space="preserve">n order to keep the long run false positive rate within the nominal alpha value (e.g., 5%). </w:t>
      </w:r>
      <w:r w:rsidR="007B7B21">
        <w:rPr>
          <w:rStyle w:val="highlight"/>
        </w:rPr>
        <w:t>Luckily, these corrections can be applied post hoc</w:t>
      </w:r>
      <w:r w:rsidR="005F14EA">
        <w:rPr>
          <w:rStyle w:val="highlight"/>
        </w:rPr>
        <w:t xml:space="preserve"> using the reported </w:t>
      </w:r>
      <w:r w:rsidR="005F14EA" w:rsidRPr="005F14EA">
        <w:rPr>
          <w:rStyle w:val="highlight"/>
          <w:i/>
          <w:iCs/>
        </w:rPr>
        <w:t>p</w:t>
      </w:r>
      <w:r w:rsidR="005F14EA">
        <w:rPr>
          <w:rStyle w:val="highlight"/>
        </w:rPr>
        <w:t xml:space="preserve"> values. </w:t>
      </w:r>
      <w:r w:rsidR="007B7B21">
        <w:t xml:space="preserve">Applying </w:t>
      </w:r>
      <w:r w:rsidR="00DE338D">
        <w:t>even</w:t>
      </w:r>
      <w:r w:rsidR="007B7B21" w:rsidRPr="00553CAC">
        <w:t xml:space="preserve"> </w:t>
      </w:r>
      <w:r w:rsidR="001723E0">
        <w:t>the most</w:t>
      </w:r>
      <w:r w:rsidR="007B7B21">
        <w:t xml:space="preserve"> </w:t>
      </w:r>
      <w:r w:rsidR="007B7B21" w:rsidRPr="00553CAC">
        <w:t>liberal correction</w:t>
      </w:r>
      <w:r w:rsidR="007B7B21">
        <w:t xml:space="preserve"> method </w:t>
      </w:r>
      <w:r w:rsidR="007B7B21" w:rsidRPr="00553CAC">
        <w:t>(</w:t>
      </w:r>
      <w:r w:rsidR="00C644F3">
        <w:t>e.g.</w:t>
      </w:r>
      <w:r w:rsidR="007B7B21" w:rsidRPr="00553CAC">
        <w:t>, Holm corrections</w:t>
      </w:r>
      <w:r w:rsidR="007B7B21">
        <w:t xml:space="preserve">, implemented using R’s </w:t>
      </w:r>
      <w:proofErr w:type="spellStart"/>
      <w:r w:rsidR="007B7B21" w:rsidRPr="00941EF6">
        <w:t>p.adjust</w:t>
      </w:r>
      <w:proofErr w:type="spellEnd"/>
      <w:r w:rsidR="007B7B21">
        <w:t xml:space="preserve"> function</w:t>
      </w:r>
      <w:r w:rsidR="007B7B21" w:rsidRPr="00553CAC">
        <w:t xml:space="preserve">) </w:t>
      </w:r>
      <w:r w:rsidR="007B7B21">
        <w:t>produces</w:t>
      </w:r>
      <w:r w:rsidR="007B7B21" w:rsidRPr="00553CAC">
        <w:t xml:space="preserve"> </w:t>
      </w:r>
      <w:r w:rsidR="007B7B21">
        <w:t xml:space="preserve">three </w:t>
      </w:r>
      <w:r w:rsidR="007B7B21" w:rsidRPr="00553CAC">
        <w:t xml:space="preserve">non-significant </w:t>
      </w:r>
      <w:r w:rsidR="007B7B21">
        <w:t xml:space="preserve">adjusted </w:t>
      </w:r>
      <w:r w:rsidR="007B7B21" w:rsidRPr="00941EF6">
        <w:rPr>
          <w:i/>
          <w:iCs/>
        </w:rPr>
        <w:t>p</w:t>
      </w:r>
      <w:r w:rsidR="007B7B21">
        <w:t xml:space="preserve"> values </w:t>
      </w:r>
      <w:r w:rsidR="007B7B21" w:rsidRPr="00553CAC">
        <w:t xml:space="preserve">(i.e., </w:t>
      </w:r>
      <w:r w:rsidR="007B7B21">
        <w:t xml:space="preserve">discomfort: </w:t>
      </w:r>
      <w:r w:rsidR="007B7B21" w:rsidRPr="00941EF6">
        <w:rPr>
          <w:i/>
          <w:iCs/>
        </w:rPr>
        <w:t>p</w:t>
      </w:r>
      <w:r w:rsidR="007B7B21" w:rsidRPr="00553CAC">
        <w:t xml:space="preserve"> = .66</w:t>
      </w:r>
      <w:r w:rsidR="007B7B21">
        <w:t xml:space="preserve">, anxiety: </w:t>
      </w:r>
      <w:r w:rsidR="007B7B21" w:rsidRPr="00941EF6">
        <w:rPr>
          <w:i/>
          <w:iCs/>
        </w:rPr>
        <w:t>p</w:t>
      </w:r>
      <w:r w:rsidR="007B7B21">
        <w:t xml:space="preserve"> = </w:t>
      </w:r>
      <w:r w:rsidR="007B7B21" w:rsidRPr="00553CAC">
        <w:t xml:space="preserve">.66, </w:t>
      </w:r>
      <w:r w:rsidR="007B7B21">
        <w:t xml:space="preserve">stress: </w:t>
      </w:r>
      <w:r w:rsidR="007B7B21" w:rsidRPr="00941EF6">
        <w:rPr>
          <w:i/>
          <w:iCs/>
        </w:rPr>
        <w:t>p</w:t>
      </w:r>
      <w:r w:rsidR="007B7B21">
        <w:t xml:space="preserve"> = </w:t>
      </w:r>
      <w:r w:rsidR="007B7B21" w:rsidRPr="00553CAC">
        <w:t>.12</w:t>
      </w:r>
      <w:r w:rsidR="007B7B21">
        <w:t>).</w:t>
      </w:r>
      <w:r w:rsidR="008D778B">
        <w:t xml:space="preserve"> </w:t>
      </w:r>
      <w:r w:rsidR="00CD1367">
        <w:t>With appropriate alpha corrections, Foody et al.’s (2013) results therefore do not support the</w:t>
      </w:r>
      <w:r w:rsidR="00521291">
        <w:t>ir</w:t>
      </w:r>
      <w:r w:rsidR="00CD1367">
        <w:t xml:space="preserve"> conclusion that the hierarchy intervention more effectively relieves distress than the distinction intervention.</w:t>
      </w:r>
    </w:p>
    <w:p w14:paraId="398A2243" w14:textId="4A06293A" w:rsidR="00EC44E4" w:rsidRDefault="00EC44E4" w:rsidP="00EC44E4">
      <w:pPr>
        <w:pStyle w:val="Heading3"/>
      </w:pPr>
      <w:r>
        <w:t>Absent or inappropriate analyses</w:t>
      </w:r>
    </w:p>
    <w:p w14:paraId="4C92E96F" w14:textId="15B1B0F3" w:rsidR="00231489" w:rsidRDefault="005651CF" w:rsidP="00243C45">
      <w:pPr>
        <w:ind w:firstLine="720"/>
      </w:pPr>
      <w:r>
        <w:t xml:space="preserve">However, </w:t>
      </w:r>
      <w:r w:rsidR="004A2B93">
        <w:t>o</w:t>
      </w:r>
      <w:r>
        <w:t xml:space="preserve">ne could argue that </w:t>
      </w:r>
      <w:r w:rsidR="004A2B93">
        <w:t xml:space="preserve">even </w:t>
      </w:r>
      <w:r>
        <w:t xml:space="preserve">adjusted </w:t>
      </w:r>
      <w:r w:rsidRPr="009B4772">
        <w:rPr>
          <w:i/>
          <w:iCs/>
        </w:rPr>
        <w:t>p</w:t>
      </w:r>
      <w:r>
        <w:t xml:space="preserve"> values from the RM-ANOVAs are </w:t>
      </w:r>
      <w:r w:rsidR="00CC0BDB">
        <w:t>also</w:t>
      </w:r>
      <w:r>
        <w:t xml:space="preserve"> uninformative </w:t>
      </w:r>
      <w:r w:rsidR="00CC0BDB">
        <w:t>to the actual claim that the hierarchical condition is superior to the distinction condition</w:t>
      </w:r>
      <w:r>
        <w:t xml:space="preserve">: by including the baseline scores, </w:t>
      </w:r>
      <w:r w:rsidR="0096369F">
        <w:t xml:space="preserve">the </w:t>
      </w:r>
      <w:r>
        <w:t>interaction effect</w:t>
      </w:r>
      <w:r w:rsidR="0096369F">
        <w:t>s</w:t>
      </w:r>
      <w:r>
        <w:t xml:space="preserve"> do not </w:t>
      </w:r>
      <w:r w:rsidR="009067A2">
        <w:t xml:space="preserve">actually </w:t>
      </w:r>
      <w:r>
        <w:t xml:space="preserve">test the hypothesis that the </w:t>
      </w:r>
      <w:r w:rsidR="009067A2">
        <w:t xml:space="preserve">interventions produce differential effects, because interaction effects </w:t>
      </w:r>
      <w:r>
        <w:t xml:space="preserve">could be driven by the scores at </w:t>
      </w:r>
      <w:r w:rsidR="001D2B7E">
        <w:t xml:space="preserve">the </w:t>
      </w:r>
      <w:r>
        <w:t>baseline</w:t>
      </w:r>
      <w:r w:rsidR="001D2B7E">
        <w:t xml:space="preserve"> or post induction time points</w:t>
      </w:r>
      <w:r>
        <w:t xml:space="preserve">. </w:t>
      </w:r>
      <w:r w:rsidR="00036BB8">
        <w:t>P</w:t>
      </w:r>
      <w:r>
        <w:t xml:space="preserve">ost hoc contrasts would be needed to </w:t>
      </w:r>
      <w:r w:rsidR="00036BB8">
        <w:t>explore these interaction effects</w:t>
      </w:r>
      <w:r w:rsidR="0054354F">
        <w:t xml:space="preserve">, or to compare the post intervention conditions directly via a </w:t>
      </w:r>
      <w:r w:rsidR="0054354F" w:rsidRPr="0054354F">
        <w:rPr>
          <w:i/>
          <w:iCs/>
        </w:rPr>
        <w:t>t</w:t>
      </w:r>
      <w:r w:rsidR="0054354F">
        <w:t>-test</w:t>
      </w:r>
      <w:r>
        <w:t>. However, Foody et al. (2013) do not report any such results.</w:t>
      </w:r>
      <w:r w:rsidR="004F72CC">
        <w:t xml:space="preserve"> </w:t>
      </w:r>
      <w:r w:rsidR="00B110F1">
        <w:t xml:space="preserve">Foody et al. (2013) do </w:t>
      </w:r>
      <w:r w:rsidR="003D7BDF">
        <w:t xml:space="preserve">present mean change scores between timepoints for each of the </w:t>
      </w:r>
      <w:r w:rsidR="00407F3A">
        <w:t>v</w:t>
      </w:r>
      <w:r w:rsidR="003D7BDF">
        <w:t xml:space="preserve">isual </w:t>
      </w:r>
      <w:r w:rsidR="00407F3A">
        <w:t>a</w:t>
      </w:r>
      <w:r w:rsidR="003D7BDF">
        <w:t xml:space="preserve">nalogue </w:t>
      </w:r>
      <w:r w:rsidR="00407F3A">
        <w:t>s</w:t>
      </w:r>
      <w:r w:rsidR="00654950">
        <w:t>cale</w:t>
      </w:r>
      <w:r w:rsidR="00407F3A">
        <w:t>s</w:t>
      </w:r>
      <w:r w:rsidR="003D7BDF">
        <w:t xml:space="preserve">: </w:t>
      </w:r>
      <w:r w:rsidR="003D7BDF" w:rsidRPr="00FF0297">
        <w:t>“distinction resulted in a very small increase in discomfort (+.76), while hierarchy resulted in a decrease (-7.57)</w:t>
      </w:r>
      <w:r w:rsidR="003D7BDF">
        <w:t>”; “</w:t>
      </w:r>
      <w:r w:rsidR="003D7BDF" w:rsidRPr="00FF0297">
        <w:t>Anxiety subsequently decreased for both conditions, although the larger change was recorded for the hierarchical intervention (distinction: -.03; hierarchy: -3.86)</w:t>
      </w:r>
      <w:r w:rsidR="003D7BDF">
        <w:t>”; and “</w:t>
      </w:r>
      <w:r w:rsidR="003D7BDF" w:rsidRPr="00FF0297">
        <w:t>distinction resulted in an increase in stress (+4.71), while hierarchy reduced stress (-8.82).</w:t>
      </w:r>
      <w:r w:rsidR="003D7BDF">
        <w:t xml:space="preserve">” (pp. 381-382). However, </w:t>
      </w:r>
      <w:r w:rsidR="00E81BBF">
        <w:t>i</w:t>
      </w:r>
      <w:r w:rsidR="00DC41E1">
        <w:t xml:space="preserve">nferences about the population </w:t>
      </w:r>
      <w:r w:rsidR="007F1365">
        <w:t xml:space="preserve">effect </w:t>
      </w:r>
      <w:r w:rsidR="00DC41E1">
        <w:t xml:space="preserve">cannot be made on the basis of the sample means alone. </w:t>
      </w:r>
      <w:r w:rsidR="0054354F">
        <w:t>As such, in summary, Foody et al. (2013) suffers from an absence of appropriate analyses to test th</w:t>
      </w:r>
      <w:r w:rsidR="0043399C">
        <w:t xml:space="preserve">eir claim in their abstract and discussion that </w:t>
      </w:r>
      <w:r w:rsidR="0054354F">
        <w:t xml:space="preserve">the hierarchical condition is superior to the distinction condition. </w:t>
      </w:r>
    </w:p>
    <w:p w14:paraId="08B3FC16" w14:textId="77777777" w:rsidR="004479EF" w:rsidRDefault="004479EF" w:rsidP="004479EF">
      <w:pPr>
        <w:pStyle w:val="Heading3"/>
      </w:pPr>
      <w:r>
        <w:t xml:space="preserve">Results are confounded by regression to the mean </w:t>
      </w:r>
    </w:p>
    <w:p w14:paraId="7BDA8638" w14:textId="53111919" w:rsidR="004479EF" w:rsidRDefault="00B31079" w:rsidP="00B31079">
      <w:pPr>
        <w:ind w:firstLine="720"/>
      </w:pPr>
      <w:r>
        <w:t xml:space="preserve">Of course, one might argue that the RM-ANOVAs serve a different but possibly useful purpose: perhaps they help us understand changes between timepoints. Unfortunately, there are strong reasons to believe that the study design precludes meaningful interpretations here either. </w:t>
      </w:r>
      <w:r w:rsidR="004479EF">
        <w:t>This is due to a serious confoun</w:t>
      </w:r>
      <w:r w:rsidR="004930CA">
        <w:t>d</w:t>
      </w:r>
      <w:r w:rsidR="000B1CF8">
        <w:t xml:space="preserve">. </w:t>
      </w:r>
      <w:r w:rsidR="004479EF">
        <w:t>A</w:t>
      </w:r>
      <w:r w:rsidR="004479EF" w:rsidRPr="00F07CBA">
        <w:t xml:space="preserve"> confound is a variable that systematically </w:t>
      </w:r>
      <w:r w:rsidR="004479EF">
        <w:t>co</w:t>
      </w:r>
      <w:r w:rsidR="004479EF" w:rsidRPr="00F07CBA">
        <w:t xml:space="preserve">varies with the independent variable </w:t>
      </w:r>
      <w:r w:rsidR="00D24BA0">
        <w:t xml:space="preserve">(i.e., </w:t>
      </w:r>
      <w:r w:rsidR="004479EF">
        <w:t>the impact of the interventions on distress across time points</w:t>
      </w:r>
      <w:r w:rsidR="00D24BA0">
        <w:t>)</w:t>
      </w:r>
      <w:r w:rsidR="004479EF">
        <w:t xml:space="preserve"> </w:t>
      </w:r>
      <w:r w:rsidR="004479EF" w:rsidRPr="00F07CBA">
        <w:t>and</w:t>
      </w:r>
      <w:r w:rsidR="004479EF">
        <w:t xml:space="preserve"> </w:t>
      </w:r>
      <w:r w:rsidR="004479EF" w:rsidRPr="00F07CBA">
        <w:t>affects the dependent variable</w:t>
      </w:r>
      <w:r w:rsidR="004479EF">
        <w:t xml:space="preserve"> (</w:t>
      </w:r>
      <w:r w:rsidR="006A39AD">
        <w:t xml:space="preserve">i.e., </w:t>
      </w:r>
      <w:r w:rsidR="004479EF">
        <w:t>responses on the visual analogue scales)</w:t>
      </w:r>
      <w:r w:rsidR="004479EF" w:rsidRPr="00F07CBA">
        <w:t>, but is not intentionally manipulated by the researcher. Confounding variables can obscure the true effects of the independent variable on the dependent variable, and lead to inaccurate or misleading conclusions.</w:t>
      </w:r>
      <w:r w:rsidR="004479EF">
        <w:t xml:space="preserve"> </w:t>
      </w:r>
    </w:p>
    <w:p w14:paraId="095C1552" w14:textId="77777777" w:rsidR="004479EF" w:rsidRDefault="004479EF" w:rsidP="004479EF">
      <w:pPr>
        <w:ind w:firstLine="720"/>
      </w:pPr>
      <w:r>
        <w:t xml:space="preserve">Foody et al.’s (2013) design is confounded by a phenomenon called regression to the mean. This refers to the tendency for extreme scores on a measure to move closer to the average score over time with repeated measurements. Specifically, participants who were induced with distress by the stressful task were likely to have high scores on distress before the intervention. These high scores were likely to regress towards their average level of distress over time, regardless of which intervention they received. Therefore, it is possible that some or all of the observed reduction in distress after the intervention is due to regression to the mean rather than the effect of the intervention. To avoid this confound, the authors </w:t>
      </w:r>
      <w:r>
        <w:lastRenderedPageBreak/>
        <w:t xml:space="preserve">should have, for example, included a negative control group that did not receive any intervention after the distress induction procedure. Differences between the negative control condition and the two intervention conditions could then be compared in order to test the claim that it was the interventions specifically that decreased distress rather than merely natural decrease in distress over time. </w:t>
      </w:r>
    </w:p>
    <w:p w14:paraId="2CAAB1BF" w14:textId="77777777" w:rsidR="004479EF" w:rsidRDefault="004479EF" w:rsidP="004479EF">
      <w:pPr>
        <w:ind w:firstLine="720"/>
      </w:pPr>
      <w:r>
        <w:t xml:space="preserve">There is very good reason to think that Foody et al. (2013) should have been aware of this confound, and therefore should have included such a negative control condition: this confound is not conjecture, but has been repeatedly observed in previous studies that Foody et al. themselves cited in a previously published article examining the distress induction procedure (Foody et al., 2012).  </w:t>
      </w:r>
    </w:p>
    <w:p w14:paraId="2B71C6C0" w14:textId="176511C4" w:rsidR="004479EF" w:rsidRDefault="004479EF" w:rsidP="004479EF">
      <w:pPr>
        <w:ind w:firstLine="720"/>
      </w:pPr>
      <w:r>
        <w:t xml:space="preserve">In this previous publication, Foody et al. (2012) are explicit that this specific distress induction procedure was created by </w:t>
      </w:r>
      <w:proofErr w:type="spellStart"/>
      <w:r>
        <w:t>Rachman</w:t>
      </w:r>
      <w:proofErr w:type="spellEnd"/>
      <w:r>
        <w:t xml:space="preserve"> et al. </w:t>
      </w:r>
      <w:r w:rsidR="00787E1A">
        <w:fldChar w:fldCharType="begin"/>
      </w:r>
      <w:r w:rsidR="00787E1A">
        <w:instrText xml:space="preserve"> ADDIN ZOTERO_ITEM CSL_CITATION {"citationID":"09xkaTvc","properties":{"formattedCitation":"(1996)","plainCitation":"(1996)","noteIndex":0},"citationItems":[{"id":16561,"uris":["http://zotero.org/users/1687755/items/MBL7TQAV"],"itemData":{"id":16561,"type":"article-journal","container-title":"Behaviour Research and Therapy","DOI":"10.1016/S0005-7967(96)00051-4","ISSN":"00057967","issue":"11-12","journalAbbreviation":"Behaviour Research and Therapy","language":"en","page":"889-898","source":"DOI.org (Crossref)","title":"How to remain neutral: An experimental analysis of neutralization","title-short":"How to remain neutral","volume":"34","author":[{"family":"Rachman","given":"S."},{"family":"Shafran","given":"R."},{"family":"Mitchell","given":"D."},{"family":"Trant","given":"J."},{"family":"Teachman","given":"B."}],"issued":{"date-parts":[["1996",11]]}},"label":"page","suppress-author":true}],"schema":"https://github.com/citation-style-language/schema/raw/master/csl-citation.json"} </w:instrText>
      </w:r>
      <w:r w:rsidR="00787E1A">
        <w:fldChar w:fldCharType="separate"/>
      </w:r>
      <w:r w:rsidR="00787E1A">
        <w:rPr>
          <w:noProof/>
        </w:rPr>
        <w:t>(1996)</w:t>
      </w:r>
      <w:r w:rsidR="00787E1A">
        <w:fldChar w:fldCharType="end"/>
      </w:r>
      <w:r>
        <w:t xml:space="preserve">. Furthermore, Foody et al. (2012) cites four other previous publications that employed the same distress induction procedure: van den </w:t>
      </w:r>
      <w:proofErr w:type="spellStart"/>
      <w:r>
        <w:t>Hout</w:t>
      </w:r>
      <w:proofErr w:type="spellEnd"/>
      <w:r>
        <w:t xml:space="preserve"> et al. </w:t>
      </w:r>
      <w:r w:rsidR="00787E1A">
        <w:fldChar w:fldCharType="begin"/>
      </w:r>
      <w:r w:rsidR="00787E1A">
        <w:instrText xml:space="preserve"> ADDIN ZOTERO_ITEM CSL_CITATION {"citationID":"x4gpEDmF","properties":{"formattedCitation":"(2002)","plainCitation":"(2002)","noteIndex":0},"citationItems":[{"id":16571,"uris":["http://zotero.org/users/1687755/items/X8W2IVGH"],"itemData":{"id":16571,"type":"article-journal","abstract":"Building on two earlier experiments (Behav. Res. Ther. 34 (1996) 889; 39 (2001) 1439) the present study investigated the effects of neutralizing the consequences of an obsession-like thought in healthy participants. Just like in the earlier studies, writing out and thinking over such a thought generated anxiety. After this provocation, 40 of the 120 participants were instructed to neutralize the effects of the thought for 2 min, 40 participants did not receive a particular instruction, and the remaining 40 participants were instructed to do mental arithmetic aloud so as to prevent ‘‘spontaneous’’ attempts at neutralizing the thought. The no instruction group reported that they neutralized (spontaneously) to the same degree as the group that was instructed to neutralize. Within 2 min, anxiety decreased to near base line levels and there were no differences between the three conditions. When the groups were asked to bring the obsession-like thought back to consciousness again, anxiety increased slightly. Yet, contrary to expectation, this increase in anxiety did not discriminate the ‘‘neutralization prevention’’ group from the other two groups. Limitations of the paradigm as a model for clinical obsessions are discussed.","container-title":"Journal of Behavior Therapy and Experimental Psychiatry","DOI":"10.1016/S0005-7916(02)00048-4","ISSN":"00057916","issue":"3-4","journalAbbreviation":"Journal of Behavior Therapy and Experimental Psychiatry","language":"en","page":"177-189","source":"DOI.org (Crossref)","title":"Instructed neutralization, spontaneous neutralization and prevented neutralization after an obsession-like thought","volume":"33","author":[{"family":"Hout","given":"Marcel","non-dropping-particle":"van den"},{"family":"Kindt","given":"Merel"},{"family":"Weiland","given":"Titia"},{"family":"Peters","given":"Madelon"}],"issued":{"date-parts":[["2002",9]]}},"label":"page","suppress-author":true}],"schema":"https://github.com/citation-style-language/schema/raw/master/csl-citation.json"} </w:instrText>
      </w:r>
      <w:r w:rsidR="00787E1A">
        <w:fldChar w:fldCharType="separate"/>
      </w:r>
      <w:r w:rsidR="00787E1A">
        <w:rPr>
          <w:noProof/>
        </w:rPr>
        <w:t>(2002)</w:t>
      </w:r>
      <w:r w:rsidR="00787E1A">
        <w:fldChar w:fldCharType="end"/>
      </w:r>
      <w:r>
        <w:t xml:space="preserve">, Bocci &amp; Gordon </w:t>
      </w:r>
      <w:r w:rsidR="00787E1A">
        <w:fldChar w:fldCharType="begin"/>
      </w:r>
      <w:r w:rsidR="00787E1A">
        <w:instrText xml:space="preserve"> ADDIN ZOTERO_ITEM CSL_CITATION {"citationID":"FQByfP0Z","properties":{"formattedCitation":"(2007)","plainCitation":"(2007)","noteIndex":0},"citationItems":[{"id":16577,"uris":["http://zotero.org/users/1687755/items/B8MKRWKX"],"itemData":{"id":16577,"type":"article-journal","abstract":"Magical thinking is of relevance to obsessive compulsive disorder (OCD), and has been most widely investigated in relation to the cognitive bias known as thought-action fusion (TAF). This is seen as playing a role in the formation of fears about responsibility for harm. We suggest that magical thinking may also characterise some types of neutralising behaviour, which arise in response to those fears, and are a hallmark of the disorder. In an experimental study of 51 undergraduate students, we assessed whether the use of neutralising behaviours in response to an induction of fears of increasing likelihood for harm is related to a propensity for magical thinking. The 75.5% of participants demonstrated at least one form of neutralising behaviour in response to a TAF-induction task. Neutralising was associated with stronger and more persistent responses to the task, and with questionnaire measures of magical ideation. Those who neutralised did not report higher levels of OCD symptoms. It appears that neutralising is a common response in circumstances that provoke a sense of responsibility for harm. Its occurrence may be linked to magical thinking, however, the results from this experimental investigation suggested that this process may not be specific to OCD. (PsycInfo Database Record (c) 2022 APA, all rights reserved)","container-title":"Behaviour Research and Therapy","DOI":"10.1016/j.brat.2007.02.003","ISSN":"1873-622X","note":"publisher-place: Netherlands\npublisher: Elsevier Science","page":"1823-1833","source":"APA PsycNet","title":"Does magical thinking produce neutralising behaviour? An experimental investigation","title-short":"Does magical thinking produce neutralising behaviour?","volume":"45","author":[{"family":"Bocci","given":"Laura"},{"family":"Gordon","given":"P. Kenneth"}],"issued":{"date-parts":[["2007"]]}},"label":"page","suppress-author":true}],"schema":"https://github.com/citation-style-language/schema/raw/master/csl-citation.json"} </w:instrText>
      </w:r>
      <w:r w:rsidR="00787E1A">
        <w:fldChar w:fldCharType="separate"/>
      </w:r>
      <w:r w:rsidR="00787E1A">
        <w:rPr>
          <w:noProof/>
        </w:rPr>
        <w:t>(2007)</w:t>
      </w:r>
      <w:r w:rsidR="00787E1A">
        <w:fldChar w:fldCharType="end"/>
      </w:r>
      <w:r>
        <w:t xml:space="preserve">, </w:t>
      </w:r>
      <w:proofErr w:type="spellStart"/>
      <w:r>
        <w:t>Ma</w:t>
      </w:r>
      <w:r w:rsidR="00787E1A">
        <w:t>rc</w:t>
      </w:r>
      <w:r>
        <w:t>ks</w:t>
      </w:r>
      <w:proofErr w:type="spellEnd"/>
      <w:r>
        <w:t xml:space="preserve"> &amp; Woods </w:t>
      </w:r>
      <w:r w:rsidR="00787E1A">
        <w:fldChar w:fldCharType="begin"/>
      </w:r>
      <w:r w:rsidR="00787E1A">
        <w:instrText xml:space="preserve"> ADDIN ZOTERO_ITEM CSL_CITATION {"citationID":"ML1w6C16","properties":{"formattedCitation":"(2007)","plainCitation":"(2007)","noteIndex":0},"citationItems":[{"id":16591,"uris":["http://zotero.org/users/1687755/items/F52WV33A"],"itemData":{"id":16591,"type":"article-journal","abstract":"Cognitive-behavioral models of obsessive-compulsive disorder (OCD) assume that obsessions have their origin in normal intrusive thoughts. These models propose that certain beliefs, such as thought-action fusion (TAF) beliefs, combined with the use of ineffective coping strategies, such as thought suppression, lead to the development of OCD. The purpose of the current study was to examine the relationship between these variables in a non-clinical sample in addition to exploring the effects of an alternative, acceptance-based coping strategy. This study explored the relationship between TAF beliefs, thought suppression, and OC-consistent symptoms via mediational analyses. Results showed that thought suppression mediated the relationship between TAF beliefs and OC-consistent symptoms. This study also experimentally examined the effects of various coping strategies (suppression, acceptance, or monitor-only) on the frequency of a distressing intrusion and appraisal ratings (e.g., anxiety, guilt, responsibility) after a TAF induction. Spontaneous suppression in the monitor-only group made comparisons of the experimental data difficult. However, analyses provided preliminary evidence suggesting that thought suppression is related to more intrusions, higher levels of anxiety, and negative appraisals, whereas an acceptance-based approach may be a useful alternative. Additional findings, limitations of the current study, and directions for future research are discussed.","container-title":"Behaviour Research and Therapy","DOI":"10.1016/j.brat.2007.06.012","ISSN":"0005-7967","issue":"11","journalAbbreviation":"Behav Res Ther","language":"eng","note":"PMID: 17673167","page":"2640-2651","source":"PubMed","title":"Role of thought-related beliefs and coping strategies in the escalation of intrusive thoughts: an analog to obsessive-compulsive disorder","title-short":"Role of thought-related beliefs and coping strategies in the escalation of intrusive thoughts","volume":"45","author":[{"family":"Marcks","given":"Brook A."},{"family":"Woods","given":"Douglas W."}],"issued":{"date-parts":[["2007",11]]}},"label":"page","suppress-author":true}],"schema":"https://github.com/citation-style-language/schema/raw/master/csl-citation.json"} </w:instrText>
      </w:r>
      <w:r w:rsidR="00787E1A">
        <w:fldChar w:fldCharType="separate"/>
      </w:r>
      <w:r w:rsidR="00787E1A">
        <w:rPr>
          <w:noProof/>
        </w:rPr>
        <w:t>(2007)</w:t>
      </w:r>
      <w:r w:rsidR="00787E1A">
        <w:fldChar w:fldCharType="end"/>
      </w:r>
      <w:r>
        <w:t xml:space="preserve">, and Zucker et al. </w:t>
      </w:r>
      <w:r w:rsidR="006238BF">
        <w:fldChar w:fldCharType="begin"/>
      </w:r>
      <w:r w:rsidR="006238BF">
        <w:instrText xml:space="preserve"> ADDIN ZOTERO_ITEM CSL_CITATION {"citationID":"WpklHpAs","properties":{"formattedCitation":"(2002)","plainCitation":"(2002)","noteIndex":0},"citationItems":[{"id":16602,"uris":["http://zotero.org/users/1687755/items/RSAYXNQU"],"itemData":{"id":16602,"type":"article-journal","abstract":"The goal of this study was to investigate whether or not a brief educational intervention delivered prior to engaging in an anxiety-provoking task (writing a sentence about hoping that a friend/relative was in a car accident) would be effective in offsetting anxiety in college students with a strong propensity to endorse statements of thought action fusion (TAF). As hypothesized, individuals receiving the educational intervention were less anxious than a placebo intervention control group at post task; they were also less likely to endorse statements of TAF after receiving the educational intervention. Also, those who chose to neutralize after writing the sentence (regardless of experimental group) were more likely to report feeling guiltier, more immoral and a greater sense of responsibility about writing the sentence prior to neutralizing than those who did not subsequently neutralize. These results are discussed in relation to the cognitive theory of obsessive-compulsive disorder and implications for prevention programs.","container-title":"Behaviour Research and Therapy","DOI":"10.1016/s0005-7967(01)00054-7","ISSN":"0005-7967","issue":"6","journalAbbreviation":"Behav Res Ther","language":"eng","note":"PMID: 12051484","page":"653-664","source":"PubMed","title":"Thought action fusion: can it be corrected?","title-short":"Thought action fusion","volume":"40","author":[{"family":"Zucker","given":"Bonnie G."},{"family":"Craske","given":"Michelle G."},{"family":"Barrios","given":"Velma"},{"family":"Holguin","given":"Monique"}],"issued":{"date-parts":[["2002",6]]}},"label":"page","suppress-author":true}],"schema":"https://github.com/citation-style-language/schema/raw/master/csl-citation.json"} </w:instrText>
      </w:r>
      <w:r w:rsidR="006238BF">
        <w:fldChar w:fldCharType="separate"/>
      </w:r>
      <w:r w:rsidR="006238BF">
        <w:rPr>
          <w:noProof/>
        </w:rPr>
        <w:t>(2002)</w:t>
      </w:r>
      <w:r w:rsidR="006238BF">
        <w:fldChar w:fldCharType="end"/>
      </w:r>
      <w:r>
        <w:t>. Inspection of those articles demonstrated that two of them (</w:t>
      </w:r>
      <w:proofErr w:type="spellStart"/>
      <w:r>
        <w:t>Rachman</w:t>
      </w:r>
      <w:proofErr w:type="spellEnd"/>
      <w:r>
        <w:t xml:space="preserve"> et al., 1996; van den </w:t>
      </w:r>
      <w:proofErr w:type="spellStart"/>
      <w:r>
        <w:t>Hout</w:t>
      </w:r>
      <w:proofErr w:type="spellEnd"/>
      <w:r>
        <w:t xml:space="preserve"> et al., 2002) (1) reported anxiety scores from a visual analogue scale, (2) reported summary statistics for all three timepoints (baseline, post induction, and post </w:t>
      </w:r>
      <w:r w:rsidR="0012006D">
        <w:t xml:space="preserve">two-minute </w:t>
      </w:r>
      <w:r>
        <w:t xml:space="preserve">delay), and (3) employed a no-instructions negative control condition. I extracted summary statistics (sample sizes, means and standard deviations) for these negative control conditions. </w:t>
      </w:r>
      <w:r w:rsidR="00ED4AE2">
        <w:t xml:space="preserve">Summary </w:t>
      </w:r>
      <w:r>
        <w:t xml:space="preserve">statistics were then converted to Hedges’ </w:t>
      </w:r>
      <w:r w:rsidRPr="00BF05CD">
        <w:rPr>
          <w:i/>
          <w:iCs/>
        </w:rPr>
        <w:t>g</w:t>
      </w:r>
      <w:r>
        <w:t xml:space="preserve"> standardized effect sizes</w:t>
      </w:r>
      <w:r w:rsidR="00BD6742">
        <w:t xml:space="preserve">, </w:t>
      </w:r>
      <w:r>
        <w:t>their 95% Confidence Intervals</w:t>
      </w:r>
      <w:r w:rsidR="00BD6742">
        <w:t xml:space="preserve">, and </w:t>
      </w:r>
      <w:r>
        <w:t xml:space="preserve">Welch’s independent </w:t>
      </w:r>
      <w:r w:rsidRPr="00BF05CD">
        <w:rPr>
          <w:i/>
          <w:iCs/>
        </w:rPr>
        <w:t>t</w:t>
      </w:r>
      <w:r>
        <w:t>-tests (</w:t>
      </w:r>
      <w:r w:rsidR="00BD6742">
        <w:t>see method section</w:t>
      </w:r>
      <w:r w:rsidR="000C1608">
        <w:t xml:space="preserve"> for equations</w:t>
      </w:r>
      <w:r>
        <w:t>) as if the data were fully between groups</w:t>
      </w:r>
      <w:r w:rsidR="00E174F3">
        <w:t xml:space="preserve"> </w:t>
      </w:r>
      <w:r>
        <w:t xml:space="preserve">(i.e., this was the best approximation possible with the limited data reported in the articles). Dependent </w:t>
      </w:r>
      <w:r w:rsidRPr="00BF05CD">
        <w:rPr>
          <w:i/>
          <w:iCs/>
        </w:rPr>
        <w:t>t</w:t>
      </w:r>
      <w:r>
        <w:t xml:space="preserve">-tests were not possible to calculate in the absence of information about the correlation between timepoints. </w:t>
      </w:r>
    </w:p>
    <w:p w14:paraId="46E28FD6" w14:textId="77777777" w:rsidR="004479EF" w:rsidRDefault="004479EF" w:rsidP="004479EF">
      <w:pPr>
        <w:ind w:firstLine="720"/>
      </w:pPr>
      <w:r>
        <w:t xml:space="preserve">Results from the plotted means, the </w:t>
      </w:r>
      <w:r w:rsidRPr="00BF05CD">
        <w:rPr>
          <w:i/>
          <w:iCs/>
        </w:rPr>
        <w:t>t</w:t>
      </w:r>
      <w:r>
        <w:t xml:space="preserve">-tests, and the effect sizes and their confidence intervals collectively describe the same pattern of effect in both studies: the distress induction procedure successfully increase anxiety (large increases between baseline and post induction), and after a short delay anxiety naturally decreases back to near-baseline levels in the absence of any intervention (large decreases between post induction and post delay; no significant differences between baseline and post intervention; see Table </w:t>
      </w:r>
      <w:r w:rsidRPr="0012006D">
        <w:rPr>
          <w:highlight w:val="yellow"/>
        </w:rPr>
        <w:t>XX</w:t>
      </w:r>
      <w:r>
        <w:t xml:space="preserve"> and Figure </w:t>
      </w:r>
      <w:r w:rsidRPr="0012006D">
        <w:rPr>
          <w:highlight w:val="yellow"/>
        </w:rPr>
        <w:t>XX</w:t>
      </w:r>
      <w:r>
        <w:t>).</w:t>
      </w:r>
    </w:p>
    <w:p w14:paraId="7CB4E7A5" w14:textId="73C0A33C" w:rsidR="004479EF" w:rsidRDefault="004479EF" w:rsidP="004479EF">
      <w:pPr>
        <w:ind w:firstLine="720"/>
      </w:pPr>
      <w:r>
        <w:t>In summary, Foody et al. (2013) state that the reductions in distress were due to the interventions. They fail to acknowledge the potential for regression to the mean, which confounds inferences about changes between the post induction and post intervention timepoints being due to the interventions. Foody et al. (2013) did not include a negative control condition that could have allowed them to control for this confound, despite the fact that the literature on this distress induction procedure – which they themselves cite in a previous publication (Foody et al., 2012) – has routinely done so. Such studies have demonstrated that</w:t>
      </w:r>
      <w:r w:rsidR="004F7684">
        <w:t>,</w:t>
      </w:r>
      <w:r>
        <w:t xml:space="preserve"> within a few minutes</w:t>
      </w:r>
      <w:r w:rsidR="004F7684">
        <w:t>,</w:t>
      </w:r>
      <w:r>
        <w:t xml:space="preserve"> distress decreases from the levels observed at post induction even in the absence of any intervention.</w:t>
      </w:r>
      <w:r w:rsidR="00CC2C60">
        <w:t xml:space="preserve"> Foody et al.’s (2013) </w:t>
      </w:r>
      <w:r w:rsidR="006B2402">
        <w:t xml:space="preserve">observed </w:t>
      </w:r>
      <w:r w:rsidR="00CC2C60">
        <w:t xml:space="preserve">changes in distress between post induction and post intervention therefore cannot clearly be attributed to the intervention. </w:t>
      </w:r>
    </w:p>
    <w:p w14:paraId="43279C27" w14:textId="77777777" w:rsidR="004479EF" w:rsidRDefault="004479EF" w:rsidP="004479EF">
      <w:pPr>
        <w:rPr>
          <w:b/>
          <w:bCs/>
        </w:rPr>
      </w:pPr>
    </w:p>
    <w:p w14:paraId="619E5DB5" w14:textId="77777777" w:rsidR="004479EF" w:rsidRDefault="004479EF" w:rsidP="004479EF">
      <w:pPr>
        <w:rPr>
          <w:b/>
          <w:bCs/>
        </w:rPr>
      </w:pPr>
      <w:r>
        <w:rPr>
          <w:b/>
          <w:bCs/>
        </w:rPr>
        <w:br w:type="page"/>
      </w:r>
    </w:p>
    <w:p w14:paraId="137DC4EB" w14:textId="77777777" w:rsidR="004479EF" w:rsidRDefault="004479EF" w:rsidP="004479EF">
      <w:r w:rsidRPr="00B5669C">
        <w:rPr>
          <w:b/>
          <w:bCs/>
        </w:rPr>
        <w:lastRenderedPageBreak/>
        <w:t>Figure 1.</w:t>
      </w:r>
      <w:r w:rsidRPr="00B5669C">
        <w:t xml:space="preserve"> </w:t>
      </w:r>
      <w:r>
        <w:t>Results from no-instruction negative control conditions reported in previous studies using the distress induction procedure which were cited in Foody et al. (2012). Points represent means, error bars represent 95% Confidence Intervals.</w:t>
      </w:r>
    </w:p>
    <w:p w14:paraId="5AF82EE1" w14:textId="77777777" w:rsidR="004479EF" w:rsidRPr="00B5669C" w:rsidRDefault="004479EF" w:rsidP="004479EF"/>
    <w:p w14:paraId="7E2B60D3" w14:textId="2B8A4394" w:rsidR="004479EF" w:rsidRDefault="004479EF" w:rsidP="004479EF">
      <w:pPr>
        <w:pStyle w:val="Heading2"/>
      </w:pPr>
      <w:r>
        <w:tab/>
      </w:r>
      <w:r w:rsidR="0012006D">
        <w:rPr>
          <w:noProof/>
        </w:rPr>
        <w:drawing>
          <wp:inline distT="0" distB="0" distL="0" distR="0" wp14:anchorId="724F4914" wp14:editId="0F21AA73">
            <wp:extent cx="45720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12E7EDA" w14:textId="77777777" w:rsidR="004479EF" w:rsidRDefault="004479EF" w:rsidP="004479EF">
      <w:pPr>
        <w:pStyle w:val="Heading2"/>
      </w:pPr>
    </w:p>
    <w:p w14:paraId="4FC5694E" w14:textId="77777777" w:rsidR="004479EF" w:rsidRDefault="004479EF" w:rsidP="004479EF">
      <w:r w:rsidRPr="007408C4">
        <w:rPr>
          <w:b/>
          <w:bCs/>
        </w:rPr>
        <w:t>Table XX.</w:t>
      </w:r>
      <w:r>
        <w:t xml:space="preserve"> Summary statistics, effect sizes, and results of Welch’s independent </w:t>
      </w:r>
      <w:r w:rsidRPr="007408C4">
        <w:rPr>
          <w:i/>
          <w:iCs/>
        </w:rPr>
        <w:t>t</w:t>
      </w:r>
      <w:r>
        <w:t>-tests from no-instruction negative control conditions reported in previous studies using the distress induction procedure which were cited in Foody et al. (2012).</w:t>
      </w:r>
    </w:p>
    <w:p w14:paraId="6365B5B1" w14:textId="77777777" w:rsidR="004479EF" w:rsidRDefault="004479EF" w:rsidP="004479EF"/>
    <w:tbl>
      <w:tblPr>
        <w:tblW w:w="9180" w:type="dxa"/>
        <w:tblLayout w:type="fixed"/>
        <w:tblCellMar>
          <w:top w:w="15" w:type="dxa"/>
          <w:left w:w="15" w:type="dxa"/>
          <w:bottom w:w="15" w:type="dxa"/>
          <w:right w:w="15" w:type="dxa"/>
        </w:tblCellMar>
        <w:tblLook w:val="04A0" w:firstRow="1" w:lastRow="0" w:firstColumn="1" w:lastColumn="0" w:noHBand="0" w:noVBand="1"/>
      </w:tblPr>
      <w:tblGrid>
        <w:gridCol w:w="2250"/>
        <w:gridCol w:w="2250"/>
        <w:gridCol w:w="990"/>
        <w:gridCol w:w="720"/>
        <w:gridCol w:w="720"/>
        <w:gridCol w:w="720"/>
        <w:gridCol w:w="630"/>
        <w:gridCol w:w="900"/>
      </w:tblGrid>
      <w:tr w:rsidR="00DB0001" w:rsidRPr="000F1A3D" w14:paraId="6837E616" w14:textId="77777777" w:rsidTr="00DB0001">
        <w:trPr>
          <w:trHeight w:val="225"/>
          <w:tblHeader/>
        </w:trPr>
        <w:tc>
          <w:tcPr>
            <w:tcW w:w="2250" w:type="dxa"/>
            <w:tcBorders>
              <w:top w:val="single" w:sz="4" w:space="0" w:color="auto"/>
            </w:tcBorders>
            <w:shd w:val="clear" w:color="auto" w:fill="auto"/>
            <w:tcMar>
              <w:top w:w="0" w:type="dxa"/>
              <w:left w:w="75" w:type="dxa"/>
              <w:bottom w:w="0" w:type="dxa"/>
              <w:right w:w="75" w:type="dxa"/>
            </w:tcMar>
            <w:vAlign w:val="center"/>
          </w:tcPr>
          <w:p w14:paraId="4FF837C4" w14:textId="77777777" w:rsidR="00DB0001" w:rsidRPr="00DB0001" w:rsidRDefault="00DB0001" w:rsidP="00A17272">
            <w:pPr>
              <w:rPr>
                <w:sz w:val="20"/>
                <w:szCs w:val="20"/>
              </w:rPr>
            </w:pPr>
          </w:p>
        </w:tc>
        <w:tc>
          <w:tcPr>
            <w:tcW w:w="2250" w:type="dxa"/>
            <w:tcBorders>
              <w:top w:val="single" w:sz="4" w:space="0" w:color="auto"/>
            </w:tcBorders>
            <w:shd w:val="clear" w:color="auto" w:fill="auto"/>
            <w:tcMar>
              <w:top w:w="0" w:type="dxa"/>
              <w:left w:w="75" w:type="dxa"/>
              <w:bottom w:w="0" w:type="dxa"/>
              <w:right w:w="75" w:type="dxa"/>
            </w:tcMar>
            <w:vAlign w:val="center"/>
          </w:tcPr>
          <w:p w14:paraId="00804CB3" w14:textId="77777777" w:rsidR="00DB0001" w:rsidRPr="00DB0001" w:rsidRDefault="00DB0001" w:rsidP="00A17272">
            <w:pPr>
              <w:rPr>
                <w:sz w:val="20"/>
                <w:szCs w:val="20"/>
              </w:rPr>
            </w:pPr>
          </w:p>
        </w:tc>
        <w:tc>
          <w:tcPr>
            <w:tcW w:w="990" w:type="dxa"/>
            <w:tcBorders>
              <w:top w:val="single" w:sz="4" w:space="0" w:color="auto"/>
            </w:tcBorders>
            <w:shd w:val="clear" w:color="auto" w:fill="auto"/>
            <w:tcMar>
              <w:top w:w="0" w:type="dxa"/>
              <w:left w:w="75" w:type="dxa"/>
              <w:bottom w:w="0" w:type="dxa"/>
              <w:right w:w="75" w:type="dxa"/>
            </w:tcMar>
            <w:vAlign w:val="center"/>
          </w:tcPr>
          <w:p w14:paraId="333BCD4B" w14:textId="77777777" w:rsidR="00DB0001" w:rsidRPr="00DB0001" w:rsidRDefault="00DB0001" w:rsidP="00A17272">
            <w:pPr>
              <w:jc w:val="center"/>
              <w:rPr>
                <w:i/>
                <w:iCs/>
                <w:sz w:val="20"/>
                <w:szCs w:val="20"/>
              </w:rPr>
            </w:pPr>
          </w:p>
        </w:tc>
        <w:tc>
          <w:tcPr>
            <w:tcW w:w="1440" w:type="dxa"/>
            <w:gridSpan w:val="2"/>
            <w:tcBorders>
              <w:top w:val="single" w:sz="4" w:space="0" w:color="auto"/>
              <w:bottom w:val="single" w:sz="4" w:space="0" w:color="auto"/>
            </w:tcBorders>
            <w:shd w:val="clear" w:color="auto" w:fill="auto"/>
            <w:tcMar>
              <w:top w:w="0" w:type="dxa"/>
              <w:left w:w="75" w:type="dxa"/>
              <w:bottom w:w="0" w:type="dxa"/>
              <w:right w:w="75" w:type="dxa"/>
            </w:tcMar>
            <w:vAlign w:val="center"/>
          </w:tcPr>
          <w:p w14:paraId="183F7CAE" w14:textId="77777777" w:rsidR="00DB0001" w:rsidRPr="00DB0001" w:rsidRDefault="00DB0001" w:rsidP="00A17272">
            <w:pPr>
              <w:jc w:val="center"/>
              <w:rPr>
                <w:sz w:val="20"/>
                <w:szCs w:val="20"/>
              </w:rPr>
            </w:pPr>
            <w:r w:rsidRPr="00DB0001">
              <w:rPr>
                <w:sz w:val="20"/>
                <w:szCs w:val="20"/>
              </w:rPr>
              <w:t>95% CI</w:t>
            </w:r>
          </w:p>
        </w:tc>
        <w:tc>
          <w:tcPr>
            <w:tcW w:w="720" w:type="dxa"/>
            <w:tcBorders>
              <w:top w:val="single" w:sz="4" w:space="0" w:color="auto"/>
            </w:tcBorders>
            <w:shd w:val="clear" w:color="auto" w:fill="auto"/>
            <w:tcMar>
              <w:top w:w="0" w:type="dxa"/>
              <w:left w:w="75" w:type="dxa"/>
              <w:bottom w:w="0" w:type="dxa"/>
              <w:right w:w="75" w:type="dxa"/>
            </w:tcMar>
            <w:vAlign w:val="center"/>
          </w:tcPr>
          <w:p w14:paraId="569EEF29" w14:textId="77777777" w:rsidR="00DB0001" w:rsidRPr="00DB0001" w:rsidRDefault="00DB0001" w:rsidP="00A17272">
            <w:pPr>
              <w:jc w:val="center"/>
              <w:rPr>
                <w:i/>
                <w:iCs/>
                <w:sz w:val="20"/>
                <w:szCs w:val="20"/>
              </w:rPr>
            </w:pPr>
          </w:p>
        </w:tc>
        <w:tc>
          <w:tcPr>
            <w:tcW w:w="630" w:type="dxa"/>
            <w:tcBorders>
              <w:top w:val="single" w:sz="4" w:space="0" w:color="auto"/>
            </w:tcBorders>
            <w:shd w:val="clear" w:color="auto" w:fill="auto"/>
            <w:tcMar>
              <w:top w:w="0" w:type="dxa"/>
              <w:left w:w="75" w:type="dxa"/>
              <w:bottom w:w="0" w:type="dxa"/>
              <w:right w:w="75" w:type="dxa"/>
            </w:tcMar>
            <w:vAlign w:val="center"/>
          </w:tcPr>
          <w:p w14:paraId="2A49CA78" w14:textId="77777777" w:rsidR="00DB0001" w:rsidRPr="00DB0001" w:rsidRDefault="00DB0001" w:rsidP="00A17272">
            <w:pPr>
              <w:jc w:val="center"/>
              <w:rPr>
                <w:sz w:val="20"/>
                <w:szCs w:val="20"/>
              </w:rPr>
            </w:pPr>
          </w:p>
        </w:tc>
        <w:tc>
          <w:tcPr>
            <w:tcW w:w="900" w:type="dxa"/>
            <w:tcBorders>
              <w:top w:val="single" w:sz="4" w:space="0" w:color="auto"/>
            </w:tcBorders>
            <w:shd w:val="clear" w:color="auto" w:fill="auto"/>
            <w:tcMar>
              <w:top w:w="0" w:type="dxa"/>
              <w:left w:w="75" w:type="dxa"/>
              <w:bottom w:w="0" w:type="dxa"/>
              <w:right w:w="75" w:type="dxa"/>
            </w:tcMar>
            <w:vAlign w:val="center"/>
          </w:tcPr>
          <w:p w14:paraId="6BE91783" w14:textId="77777777" w:rsidR="00DB0001" w:rsidRPr="00DB0001" w:rsidRDefault="00DB0001" w:rsidP="00A17272">
            <w:pPr>
              <w:jc w:val="center"/>
              <w:rPr>
                <w:i/>
                <w:iCs/>
                <w:sz w:val="20"/>
                <w:szCs w:val="20"/>
              </w:rPr>
            </w:pPr>
          </w:p>
        </w:tc>
      </w:tr>
      <w:tr w:rsidR="00DB0001" w:rsidRPr="000F1A3D" w14:paraId="41698FDA" w14:textId="77777777" w:rsidTr="00DB0001">
        <w:trPr>
          <w:trHeight w:val="225"/>
          <w:tblHeader/>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4382D09B" w14:textId="77777777" w:rsidR="00DB0001" w:rsidRPr="000F1A3D" w:rsidRDefault="00DB0001" w:rsidP="00A17272">
            <w:pPr>
              <w:rPr>
                <w:sz w:val="20"/>
                <w:szCs w:val="20"/>
              </w:rPr>
            </w:pPr>
            <w:r w:rsidRPr="00DB0001">
              <w:rPr>
                <w:sz w:val="20"/>
                <w:szCs w:val="20"/>
              </w:rPr>
              <w:t>S</w:t>
            </w:r>
            <w:r w:rsidRPr="000F1A3D">
              <w:rPr>
                <w:sz w:val="20"/>
                <w:szCs w:val="20"/>
              </w:rPr>
              <w:t>tudy</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0C899265" w14:textId="77777777" w:rsidR="00DB0001" w:rsidRPr="000F1A3D" w:rsidRDefault="00DB0001" w:rsidP="00A17272">
            <w:pPr>
              <w:rPr>
                <w:sz w:val="20"/>
                <w:szCs w:val="20"/>
              </w:rPr>
            </w:pPr>
            <w:r w:rsidRPr="00DB0001">
              <w:rPr>
                <w:sz w:val="20"/>
                <w:szCs w:val="20"/>
              </w:rPr>
              <w:t>C</w:t>
            </w:r>
            <w:r w:rsidRPr="000F1A3D">
              <w:rPr>
                <w:sz w:val="20"/>
                <w:szCs w:val="20"/>
              </w:rPr>
              <w:t>omparison</w:t>
            </w:r>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4671753E" w14:textId="17E45CC4" w:rsidR="00DB0001" w:rsidRPr="000F1A3D" w:rsidRDefault="00DB0001" w:rsidP="00A17272">
            <w:pPr>
              <w:jc w:val="center"/>
              <w:rPr>
                <w:i/>
                <w:iCs/>
                <w:sz w:val="20"/>
                <w:szCs w:val="20"/>
              </w:rPr>
            </w:pPr>
            <w:r w:rsidRPr="00DB0001">
              <w:rPr>
                <w:i/>
                <w:iCs/>
                <w:sz w:val="20"/>
                <w:szCs w:val="20"/>
              </w:rPr>
              <w:t xml:space="preserve">Hedges’ </w:t>
            </w:r>
            <w:r w:rsidRPr="000F1A3D">
              <w:rPr>
                <w:i/>
                <w:iCs/>
                <w:sz w:val="20"/>
                <w:szCs w:val="20"/>
              </w:rPr>
              <w:t>g</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09AB97F4" w14:textId="77777777" w:rsidR="00DB0001" w:rsidRPr="000F1A3D" w:rsidRDefault="00DB0001" w:rsidP="00A17272">
            <w:pPr>
              <w:jc w:val="center"/>
              <w:rPr>
                <w:sz w:val="20"/>
                <w:szCs w:val="20"/>
              </w:rPr>
            </w:pPr>
            <w:r w:rsidRPr="00DB0001">
              <w:rPr>
                <w:sz w:val="20"/>
                <w:szCs w:val="20"/>
              </w:rPr>
              <w:t>L</w:t>
            </w:r>
            <w:r w:rsidRPr="000F1A3D">
              <w:rPr>
                <w:sz w:val="20"/>
                <w:szCs w:val="20"/>
              </w:rPr>
              <w:t>ower</w:t>
            </w:r>
          </w:p>
        </w:tc>
        <w:tc>
          <w:tcPr>
            <w:tcW w:w="720"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16F1299C" w14:textId="77777777" w:rsidR="00DB0001" w:rsidRPr="000F1A3D" w:rsidRDefault="00DB0001" w:rsidP="00A17272">
            <w:pPr>
              <w:jc w:val="center"/>
              <w:rPr>
                <w:sz w:val="20"/>
                <w:szCs w:val="20"/>
              </w:rPr>
            </w:pPr>
            <w:r w:rsidRPr="00DB0001">
              <w:rPr>
                <w:sz w:val="20"/>
                <w:szCs w:val="20"/>
              </w:rPr>
              <w:t>U</w:t>
            </w:r>
            <w:r w:rsidRPr="000F1A3D">
              <w:rPr>
                <w:sz w:val="20"/>
                <w:szCs w:val="20"/>
              </w:rPr>
              <w:t>pper</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D60177" w14:textId="77777777" w:rsidR="00DB0001" w:rsidRPr="000F1A3D" w:rsidRDefault="00DB0001" w:rsidP="00A17272">
            <w:pPr>
              <w:jc w:val="center"/>
              <w:rPr>
                <w:i/>
                <w:iCs/>
                <w:sz w:val="20"/>
                <w:szCs w:val="20"/>
              </w:rPr>
            </w:pPr>
            <w:r w:rsidRPr="000F1A3D">
              <w:rPr>
                <w:i/>
                <w:iCs/>
                <w:sz w:val="20"/>
                <w:szCs w:val="20"/>
              </w:rPr>
              <w:t>t</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79030A1E" w14:textId="77777777" w:rsidR="00DB0001" w:rsidRPr="000F1A3D" w:rsidRDefault="00DB0001" w:rsidP="00A17272">
            <w:pPr>
              <w:jc w:val="center"/>
              <w:rPr>
                <w:sz w:val="20"/>
                <w:szCs w:val="20"/>
              </w:rPr>
            </w:pPr>
            <w:r w:rsidRPr="000F1A3D">
              <w:rPr>
                <w:sz w:val="20"/>
                <w:szCs w:val="20"/>
              </w:rPr>
              <w:t>df</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04A82394" w14:textId="77777777" w:rsidR="00DB0001" w:rsidRPr="000F1A3D" w:rsidRDefault="00DB0001" w:rsidP="00A17272">
            <w:pPr>
              <w:jc w:val="center"/>
              <w:rPr>
                <w:i/>
                <w:iCs/>
                <w:sz w:val="20"/>
                <w:szCs w:val="20"/>
              </w:rPr>
            </w:pPr>
            <w:r w:rsidRPr="000F1A3D">
              <w:rPr>
                <w:i/>
                <w:iCs/>
                <w:sz w:val="20"/>
                <w:szCs w:val="20"/>
              </w:rPr>
              <w:t>p</w:t>
            </w:r>
          </w:p>
        </w:tc>
      </w:tr>
      <w:tr w:rsidR="00DB0001" w:rsidRPr="000F1A3D" w14:paraId="79D7B86D" w14:textId="77777777" w:rsidTr="00DB0001">
        <w:trPr>
          <w:trHeight w:val="233"/>
        </w:trPr>
        <w:tc>
          <w:tcPr>
            <w:tcW w:w="2250" w:type="dxa"/>
            <w:tcBorders>
              <w:top w:val="single" w:sz="4" w:space="0" w:color="auto"/>
            </w:tcBorders>
            <w:shd w:val="clear" w:color="auto" w:fill="auto"/>
            <w:tcMar>
              <w:top w:w="0" w:type="dxa"/>
              <w:left w:w="75" w:type="dxa"/>
              <w:bottom w:w="0" w:type="dxa"/>
              <w:right w:w="75" w:type="dxa"/>
            </w:tcMar>
            <w:vAlign w:val="center"/>
            <w:hideMark/>
          </w:tcPr>
          <w:p w14:paraId="09C062AF" w14:textId="77777777" w:rsidR="00DB0001" w:rsidRPr="000F1A3D" w:rsidRDefault="00DB0001" w:rsidP="00A17272">
            <w:pPr>
              <w:rPr>
                <w:sz w:val="20"/>
                <w:szCs w:val="20"/>
              </w:rPr>
            </w:pPr>
            <w:proofErr w:type="spellStart"/>
            <w:r w:rsidRPr="000F1A3D">
              <w:rPr>
                <w:sz w:val="20"/>
                <w:szCs w:val="20"/>
              </w:rPr>
              <w:t>Rachman</w:t>
            </w:r>
            <w:proofErr w:type="spellEnd"/>
            <w:r w:rsidRPr="000F1A3D">
              <w:rPr>
                <w:sz w:val="20"/>
                <w:szCs w:val="20"/>
              </w:rPr>
              <w:t xml:space="preserve"> et al. (1996)</w:t>
            </w:r>
          </w:p>
        </w:tc>
        <w:tc>
          <w:tcPr>
            <w:tcW w:w="2250" w:type="dxa"/>
            <w:tcBorders>
              <w:top w:val="single" w:sz="4" w:space="0" w:color="auto"/>
            </w:tcBorders>
            <w:shd w:val="clear" w:color="auto" w:fill="auto"/>
            <w:tcMar>
              <w:top w:w="0" w:type="dxa"/>
              <w:left w:w="75" w:type="dxa"/>
              <w:bottom w:w="0" w:type="dxa"/>
              <w:right w:w="75" w:type="dxa"/>
            </w:tcMar>
            <w:vAlign w:val="center"/>
            <w:hideMark/>
          </w:tcPr>
          <w:p w14:paraId="349687CD" w14:textId="77777777" w:rsidR="00DB0001" w:rsidRPr="000F1A3D" w:rsidRDefault="00DB0001" w:rsidP="00A17272">
            <w:pPr>
              <w:rPr>
                <w:sz w:val="20"/>
                <w:szCs w:val="20"/>
              </w:rPr>
            </w:pPr>
            <w:r w:rsidRPr="000F1A3D">
              <w:rPr>
                <w:sz w:val="20"/>
                <w:szCs w:val="20"/>
              </w:rPr>
              <w:t xml:space="preserve">Baseline </w:t>
            </w:r>
            <w:r w:rsidRPr="00DB0001">
              <w:rPr>
                <w:sz w:val="20"/>
                <w:szCs w:val="20"/>
              </w:rPr>
              <w:t>-</w:t>
            </w:r>
            <w:r w:rsidRPr="000F1A3D">
              <w:rPr>
                <w:sz w:val="20"/>
                <w:szCs w:val="20"/>
              </w:rPr>
              <w:t xml:space="preserve"> postinduction</w:t>
            </w:r>
          </w:p>
        </w:tc>
        <w:tc>
          <w:tcPr>
            <w:tcW w:w="990" w:type="dxa"/>
            <w:tcBorders>
              <w:top w:val="single" w:sz="4" w:space="0" w:color="auto"/>
            </w:tcBorders>
            <w:shd w:val="clear" w:color="auto" w:fill="auto"/>
            <w:tcMar>
              <w:top w:w="0" w:type="dxa"/>
              <w:left w:w="75" w:type="dxa"/>
              <w:bottom w:w="0" w:type="dxa"/>
              <w:right w:w="75" w:type="dxa"/>
            </w:tcMar>
            <w:vAlign w:val="center"/>
            <w:hideMark/>
          </w:tcPr>
          <w:p w14:paraId="70D1610E" w14:textId="77777777" w:rsidR="00DB0001" w:rsidRPr="000F1A3D" w:rsidRDefault="00DB0001" w:rsidP="00A17272">
            <w:pPr>
              <w:tabs>
                <w:tab w:val="decimal" w:pos="235"/>
              </w:tabs>
              <w:jc w:val="center"/>
              <w:rPr>
                <w:sz w:val="20"/>
                <w:szCs w:val="20"/>
              </w:rPr>
            </w:pPr>
            <w:r w:rsidRPr="000F1A3D">
              <w:rPr>
                <w:sz w:val="20"/>
                <w:szCs w:val="20"/>
              </w:rPr>
              <w:t>-4.69</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855003" w14:textId="77777777" w:rsidR="00DB0001" w:rsidRPr="000F1A3D" w:rsidRDefault="00DB0001" w:rsidP="00A17272">
            <w:pPr>
              <w:tabs>
                <w:tab w:val="decimal" w:pos="236"/>
              </w:tabs>
              <w:jc w:val="center"/>
              <w:rPr>
                <w:sz w:val="20"/>
                <w:szCs w:val="20"/>
              </w:rPr>
            </w:pPr>
            <w:r w:rsidRPr="000F1A3D">
              <w:rPr>
                <w:sz w:val="20"/>
                <w:szCs w:val="20"/>
              </w:rPr>
              <w:t>-5.61</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345B3B83" w14:textId="77777777" w:rsidR="00DB0001" w:rsidRPr="000F1A3D" w:rsidRDefault="00DB0001" w:rsidP="00A17272">
            <w:pPr>
              <w:tabs>
                <w:tab w:val="decimal" w:pos="240"/>
              </w:tabs>
              <w:jc w:val="center"/>
              <w:rPr>
                <w:sz w:val="20"/>
                <w:szCs w:val="20"/>
              </w:rPr>
            </w:pPr>
            <w:r w:rsidRPr="000F1A3D">
              <w:rPr>
                <w:sz w:val="20"/>
                <w:szCs w:val="20"/>
              </w:rPr>
              <w:t>-3.76</w:t>
            </w:r>
          </w:p>
        </w:tc>
        <w:tc>
          <w:tcPr>
            <w:tcW w:w="720" w:type="dxa"/>
            <w:tcBorders>
              <w:top w:val="single" w:sz="4" w:space="0" w:color="auto"/>
            </w:tcBorders>
            <w:shd w:val="clear" w:color="auto" w:fill="auto"/>
            <w:tcMar>
              <w:top w:w="0" w:type="dxa"/>
              <w:left w:w="75" w:type="dxa"/>
              <w:bottom w:w="0" w:type="dxa"/>
              <w:right w:w="75" w:type="dxa"/>
            </w:tcMar>
            <w:vAlign w:val="center"/>
            <w:hideMark/>
          </w:tcPr>
          <w:p w14:paraId="2B06E1D0" w14:textId="77777777" w:rsidR="00DB0001" w:rsidRPr="000F1A3D" w:rsidRDefault="00DB0001" w:rsidP="00A17272">
            <w:pPr>
              <w:tabs>
                <w:tab w:val="decimal" w:pos="244"/>
              </w:tabs>
              <w:jc w:val="center"/>
              <w:rPr>
                <w:sz w:val="20"/>
                <w:szCs w:val="20"/>
              </w:rPr>
            </w:pPr>
            <w:r w:rsidRPr="000F1A3D">
              <w:rPr>
                <w:sz w:val="20"/>
                <w:szCs w:val="20"/>
              </w:rPr>
              <w:t>-19.56</w:t>
            </w:r>
          </w:p>
        </w:tc>
        <w:tc>
          <w:tcPr>
            <w:tcW w:w="630" w:type="dxa"/>
            <w:tcBorders>
              <w:top w:val="single" w:sz="4" w:space="0" w:color="auto"/>
            </w:tcBorders>
            <w:shd w:val="clear" w:color="auto" w:fill="auto"/>
            <w:tcMar>
              <w:top w:w="0" w:type="dxa"/>
              <w:left w:w="75" w:type="dxa"/>
              <w:bottom w:w="0" w:type="dxa"/>
              <w:right w:w="75" w:type="dxa"/>
            </w:tcMar>
            <w:vAlign w:val="center"/>
            <w:hideMark/>
          </w:tcPr>
          <w:p w14:paraId="4211BE81" w14:textId="77777777" w:rsidR="00DB0001" w:rsidRPr="000F1A3D" w:rsidRDefault="00DB0001" w:rsidP="00A17272">
            <w:pPr>
              <w:jc w:val="center"/>
              <w:rPr>
                <w:sz w:val="20"/>
                <w:szCs w:val="20"/>
              </w:rPr>
            </w:pPr>
            <w:r w:rsidRPr="000F1A3D">
              <w:rPr>
                <w:sz w:val="20"/>
                <w:szCs w:val="20"/>
              </w:rPr>
              <w:t>56.45</w:t>
            </w:r>
          </w:p>
        </w:tc>
        <w:tc>
          <w:tcPr>
            <w:tcW w:w="900" w:type="dxa"/>
            <w:tcBorders>
              <w:top w:val="single" w:sz="4" w:space="0" w:color="auto"/>
            </w:tcBorders>
            <w:shd w:val="clear" w:color="auto" w:fill="auto"/>
            <w:tcMar>
              <w:top w:w="0" w:type="dxa"/>
              <w:left w:w="75" w:type="dxa"/>
              <w:bottom w:w="0" w:type="dxa"/>
              <w:right w:w="75" w:type="dxa"/>
            </w:tcMar>
            <w:vAlign w:val="center"/>
            <w:hideMark/>
          </w:tcPr>
          <w:p w14:paraId="3DC641D1" w14:textId="77777777" w:rsidR="00DB0001" w:rsidRPr="000F1A3D" w:rsidRDefault="00DB0001" w:rsidP="00A17272">
            <w:pPr>
              <w:tabs>
                <w:tab w:val="decimal" w:pos="250"/>
              </w:tabs>
              <w:jc w:val="center"/>
              <w:rPr>
                <w:sz w:val="20"/>
                <w:szCs w:val="20"/>
              </w:rPr>
            </w:pPr>
            <w:r w:rsidRPr="000F1A3D">
              <w:rPr>
                <w:sz w:val="20"/>
                <w:szCs w:val="20"/>
              </w:rPr>
              <w:t>&lt; .00001</w:t>
            </w:r>
          </w:p>
        </w:tc>
      </w:tr>
      <w:tr w:rsidR="00DB0001" w:rsidRPr="000F1A3D" w14:paraId="1EBC6F4A" w14:textId="77777777" w:rsidTr="00DB0001">
        <w:trPr>
          <w:trHeight w:val="225"/>
        </w:trPr>
        <w:tc>
          <w:tcPr>
            <w:tcW w:w="2250" w:type="dxa"/>
            <w:shd w:val="clear" w:color="auto" w:fill="auto"/>
            <w:tcMar>
              <w:top w:w="0" w:type="dxa"/>
              <w:left w:w="75" w:type="dxa"/>
              <w:bottom w:w="0" w:type="dxa"/>
              <w:right w:w="75" w:type="dxa"/>
            </w:tcMar>
            <w:vAlign w:val="center"/>
            <w:hideMark/>
          </w:tcPr>
          <w:p w14:paraId="63CB3511" w14:textId="77777777" w:rsidR="00DB0001" w:rsidRPr="000F1A3D" w:rsidRDefault="00DB0001" w:rsidP="00A17272">
            <w:pPr>
              <w:rPr>
                <w:sz w:val="20"/>
                <w:szCs w:val="20"/>
              </w:rPr>
            </w:pPr>
            <w:proofErr w:type="spellStart"/>
            <w:r w:rsidRPr="000F1A3D">
              <w:rPr>
                <w:sz w:val="20"/>
                <w:szCs w:val="20"/>
              </w:rPr>
              <w:t>Rachman</w:t>
            </w:r>
            <w:proofErr w:type="spellEnd"/>
            <w:r w:rsidRPr="000F1A3D">
              <w:rPr>
                <w:sz w:val="20"/>
                <w:szCs w:val="20"/>
              </w:rPr>
              <w:t xml:space="preserve"> et al. (1996)</w:t>
            </w:r>
          </w:p>
        </w:tc>
        <w:tc>
          <w:tcPr>
            <w:tcW w:w="2250" w:type="dxa"/>
            <w:shd w:val="clear" w:color="auto" w:fill="auto"/>
            <w:tcMar>
              <w:top w:w="0" w:type="dxa"/>
              <w:left w:w="75" w:type="dxa"/>
              <w:bottom w:w="0" w:type="dxa"/>
              <w:right w:w="75" w:type="dxa"/>
            </w:tcMar>
            <w:vAlign w:val="center"/>
            <w:hideMark/>
          </w:tcPr>
          <w:p w14:paraId="05BFB69B" w14:textId="77777777" w:rsidR="00DB0001" w:rsidRPr="000F1A3D" w:rsidRDefault="00DB0001" w:rsidP="00A17272">
            <w:pPr>
              <w:rPr>
                <w:sz w:val="20"/>
                <w:szCs w:val="20"/>
              </w:rPr>
            </w:pPr>
            <w:r w:rsidRPr="000F1A3D">
              <w:rPr>
                <w:sz w:val="20"/>
                <w:szCs w:val="20"/>
              </w:rPr>
              <w:t xml:space="preserve">Postinduction </w:t>
            </w:r>
            <w:r w:rsidRPr="00DB0001">
              <w:rPr>
                <w:sz w:val="20"/>
                <w:szCs w:val="20"/>
              </w:rPr>
              <w:t>-</w:t>
            </w:r>
            <w:r w:rsidRPr="000F1A3D">
              <w:rPr>
                <w:sz w:val="20"/>
                <w:szCs w:val="20"/>
              </w:rPr>
              <w:t xml:space="preserve"> </w:t>
            </w:r>
            <w:proofErr w:type="spellStart"/>
            <w:r w:rsidRPr="000F1A3D">
              <w:rPr>
                <w:sz w:val="20"/>
                <w:szCs w:val="20"/>
              </w:rPr>
              <w:t>postdelay</w:t>
            </w:r>
            <w:proofErr w:type="spellEnd"/>
          </w:p>
        </w:tc>
        <w:tc>
          <w:tcPr>
            <w:tcW w:w="990" w:type="dxa"/>
            <w:shd w:val="clear" w:color="auto" w:fill="auto"/>
            <w:tcMar>
              <w:top w:w="0" w:type="dxa"/>
              <w:left w:w="75" w:type="dxa"/>
              <w:bottom w:w="0" w:type="dxa"/>
              <w:right w:w="75" w:type="dxa"/>
            </w:tcMar>
            <w:vAlign w:val="center"/>
            <w:hideMark/>
          </w:tcPr>
          <w:p w14:paraId="692DB7C3" w14:textId="77777777" w:rsidR="00DB0001" w:rsidRPr="000F1A3D" w:rsidRDefault="00DB0001" w:rsidP="00A17272">
            <w:pPr>
              <w:tabs>
                <w:tab w:val="decimal" w:pos="235"/>
              </w:tabs>
              <w:jc w:val="center"/>
              <w:rPr>
                <w:sz w:val="20"/>
                <w:szCs w:val="20"/>
              </w:rPr>
            </w:pPr>
            <w:r w:rsidRPr="000F1A3D">
              <w:rPr>
                <w:sz w:val="20"/>
                <w:szCs w:val="20"/>
              </w:rPr>
              <w:t>3.24</w:t>
            </w:r>
          </w:p>
        </w:tc>
        <w:tc>
          <w:tcPr>
            <w:tcW w:w="720" w:type="dxa"/>
            <w:shd w:val="clear" w:color="auto" w:fill="auto"/>
            <w:tcMar>
              <w:top w:w="0" w:type="dxa"/>
              <w:left w:w="75" w:type="dxa"/>
              <w:bottom w:w="0" w:type="dxa"/>
              <w:right w:w="75" w:type="dxa"/>
            </w:tcMar>
            <w:vAlign w:val="center"/>
            <w:hideMark/>
          </w:tcPr>
          <w:p w14:paraId="19EF9CBE" w14:textId="77777777" w:rsidR="00DB0001" w:rsidRPr="000F1A3D" w:rsidRDefault="00DB0001" w:rsidP="00A17272">
            <w:pPr>
              <w:tabs>
                <w:tab w:val="decimal" w:pos="236"/>
              </w:tabs>
              <w:jc w:val="center"/>
              <w:rPr>
                <w:sz w:val="20"/>
                <w:szCs w:val="20"/>
              </w:rPr>
            </w:pPr>
            <w:r w:rsidRPr="000F1A3D">
              <w:rPr>
                <w:sz w:val="20"/>
                <w:szCs w:val="20"/>
              </w:rPr>
              <w:t>2.51</w:t>
            </w:r>
          </w:p>
        </w:tc>
        <w:tc>
          <w:tcPr>
            <w:tcW w:w="720" w:type="dxa"/>
            <w:shd w:val="clear" w:color="auto" w:fill="auto"/>
            <w:tcMar>
              <w:top w:w="0" w:type="dxa"/>
              <w:left w:w="75" w:type="dxa"/>
              <w:bottom w:w="0" w:type="dxa"/>
              <w:right w:w="75" w:type="dxa"/>
            </w:tcMar>
            <w:vAlign w:val="center"/>
            <w:hideMark/>
          </w:tcPr>
          <w:p w14:paraId="185CE3E4" w14:textId="77777777" w:rsidR="00DB0001" w:rsidRPr="000F1A3D" w:rsidRDefault="00DB0001" w:rsidP="00A17272">
            <w:pPr>
              <w:tabs>
                <w:tab w:val="decimal" w:pos="240"/>
              </w:tabs>
              <w:jc w:val="center"/>
              <w:rPr>
                <w:sz w:val="20"/>
                <w:szCs w:val="20"/>
              </w:rPr>
            </w:pPr>
            <w:r w:rsidRPr="000F1A3D">
              <w:rPr>
                <w:sz w:val="20"/>
                <w:szCs w:val="20"/>
              </w:rPr>
              <w:t>3.97</w:t>
            </w:r>
          </w:p>
        </w:tc>
        <w:tc>
          <w:tcPr>
            <w:tcW w:w="720" w:type="dxa"/>
            <w:shd w:val="clear" w:color="auto" w:fill="auto"/>
            <w:tcMar>
              <w:top w:w="0" w:type="dxa"/>
              <w:left w:w="75" w:type="dxa"/>
              <w:bottom w:w="0" w:type="dxa"/>
              <w:right w:w="75" w:type="dxa"/>
            </w:tcMar>
            <w:vAlign w:val="center"/>
            <w:hideMark/>
          </w:tcPr>
          <w:p w14:paraId="3E9F6484" w14:textId="77777777" w:rsidR="00DB0001" w:rsidRPr="000F1A3D" w:rsidRDefault="00DB0001" w:rsidP="00A17272">
            <w:pPr>
              <w:tabs>
                <w:tab w:val="decimal" w:pos="244"/>
              </w:tabs>
              <w:jc w:val="center"/>
              <w:rPr>
                <w:sz w:val="20"/>
                <w:szCs w:val="20"/>
              </w:rPr>
            </w:pPr>
            <w:r w:rsidRPr="000F1A3D">
              <w:rPr>
                <w:sz w:val="20"/>
                <w:szCs w:val="20"/>
              </w:rPr>
              <w:t>13.53</w:t>
            </w:r>
          </w:p>
        </w:tc>
        <w:tc>
          <w:tcPr>
            <w:tcW w:w="630" w:type="dxa"/>
            <w:shd w:val="clear" w:color="auto" w:fill="auto"/>
            <w:tcMar>
              <w:top w:w="0" w:type="dxa"/>
              <w:left w:w="75" w:type="dxa"/>
              <w:bottom w:w="0" w:type="dxa"/>
              <w:right w:w="75" w:type="dxa"/>
            </w:tcMar>
            <w:vAlign w:val="center"/>
            <w:hideMark/>
          </w:tcPr>
          <w:p w14:paraId="03DFE8C2" w14:textId="77777777" w:rsidR="00DB0001" w:rsidRPr="000F1A3D" w:rsidRDefault="00DB0001" w:rsidP="00A17272">
            <w:pPr>
              <w:jc w:val="center"/>
              <w:rPr>
                <w:sz w:val="20"/>
                <w:szCs w:val="20"/>
              </w:rPr>
            </w:pPr>
            <w:r w:rsidRPr="000F1A3D">
              <w:rPr>
                <w:sz w:val="20"/>
                <w:szCs w:val="20"/>
              </w:rPr>
              <w:t>62.25</w:t>
            </w:r>
          </w:p>
        </w:tc>
        <w:tc>
          <w:tcPr>
            <w:tcW w:w="900" w:type="dxa"/>
            <w:shd w:val="clear" w:color="auto" w:fill="auto"/>
            <w:tcMar>
              <w:top w:w="0" w:type="dxa"/>
              <w:left w:w="75" w:type="dxa"/>
              <w:bottom w:w="0" w:type="dxa"/>
              <w:right w:w="75" w:type="dxa"/>
            </w:tcMar>
            <w:vAlign w:val="center"/>
            <w:hideMark/>
          </w:tcPr>
          <w:p w14:paraId="3FF114EC" w14:textId="77777777" w:rsidR="00DB0001" w:rsidRPr="000F1A3D" w:rsidRDefault="00DB0001" w:rsidP="00A17272">
            <w:pPr>
              <w:tabs>
                <w:tab w:val="decimal" w:pos="250"/>
              </w:tabs>
              <w:jc w:val="center"/>
              <w:rPr>
                <w:sz w:val="20"/>
                <w:szCs w:val="20"/>
              </w:rPr>
            </w:pPr>
            <w:r w:rsidRPr="000F1A3D">
              <w:rPr>
                <w:sz w:val="20"/>
                <w:szCs w:val="20"/>
              </w:rPr>
              <w:t>&lt; .00001</w:t>
            </w:r>
          </w:p>
        </w:tc>
      </w:tr>
      <w:tr w:rsidR="00DB0001" w:rsidRPr="000F1A3D" w14:paraId="7EA682DE" w14:textId="77777777" w:rsidTr="00DB0001">
        <w:trPr>
          <w:trHeight w:val="233"/>
        </w:trPr>
        <w:tc>
          <w:tcPr>
            <w:tcW w:w="2250" w:type="dxa"/>
            <w:shd w:val="clear" w:color="auto" w:fill="auto"/>
            <w:tcMar>
              <w:top w:w="0" w:type="dxa"/>
              <w:left w:w="75" w:type="dxa"/>
              <w:bottom w:w="0" w:type="dxa"/>
              <w:right w:w="75" w:type="dxa"/>
            </w:tcMar>
            <w:vAlign w:val="center"/>
            <w:hideMark/>
          </w:tcPr>
          <w:p w14:paraId="3E061D49" w14:textId="77777777" w:rsidR="00DB0001" w:rsidRPr="000F1A3D" w:rsidRDefault="00DB0001" w:rsidP="00A17272">
            <w:pPr>
              <w:rPr>
                <w:sz w:val="20"/>
                <w:szCs w:val="20"/>
              </w:rPr>
            </w:pPr>
            <w:proofErr w:type="spellStart"/>
            <w:r w:rsidRPr="000F1A3D">
              <w:rPr>
                <w:sz w:val="20"/>
                <w:szCs w:val="20"/>
              </w:rPr>
              <w:t>Rachman</w:t>
            </w:r>
            <w:proofErr w:type="spellEnd"/>
            <w:r w:rsidRPr="000F1A3D">
              <w:rPr>
                <w:sz w:val="20"/>
                <w:szCs w:val="20"/>
              </w:rPr>
              <w:t xml:space="preserve"> et al. (1996)</w:t>
            </w:r>
          </w:p>
        </w:tc>
        <w:tc>
          <w:tcPr>
            <w:tcW w:w="2250" w:type="dxa"/>
            <w:shd w:val="clear" w:color="auto" w:fill="auto"/>
            <w:tcMar>
              <w:top w:w="0" w:type="dxa"/>
              <w:left w:w="75" w:type="dxa"/>
              <w:bottom w:w="0" w:type="dxa"/>
              <w:right w:w="75" w:type="dxa"/>
            </w:tcMar>
            <w:vAlign w:val="center"/>
            <w:hideMark/>
          </w:tcPr>
          <w:p w14:paraId="0B9E443A" w14:textId="77777777" w:rsidR="00DB0001" w:rsidRPr="000F1A3D" w:rsidRDefault="00DB0001" w:rsidP="00A17272">
            <w:pPr>
              <w:rPr>
                <w:sz w:val="20"/>
                <w:szCs w:val="20"/>
              </w:rPr>
            </w:pPr>
            <w:r w:rsidRPr="000F1A3D">
              <w:rPr>
                <w:sz w:val="20"/>
                <w:szCs w:val="20"/>
              </w:rPr>
              <w:t xml:space="preserve">Baseline </w:t>
            </w:r>
            <w:r w:rsidRPr="00DB0001">
              <w:rPr>
                <w:sz w:val="20"/>
                <w:szCs w:val="20"/>
              </w:rPr>
              <w:t>-</w:t>
            </w:r>
            <w:r w:rsidRPr="000F1A3D">
              <w:rPr>
                <w:sz w:val="20"/>
                <w:szCs w:val="20"/>
              </w:rPr>
              <w:t xml:space="preserve"> </w:t>
            </w:r>
            <w:proofErr w:type="spellStart"/>
            <w:r w:rsidRPr="000F1A3D">
              <w:rPr>
                <w:sz w:val="20"/>
                <w:szCs w:val="20"/>
              </w:rPr>
              <w:t>postdelay</w:t>
            </w:r>
            <w:proofErr w:type="spellEnd"/>
          </w:p>
        </w:tc>
        <w:tc>
          <w:tcPr>
            <w:tcW w:w="990" w:type="dxa"/>
            <w:shd w:val="clear" w:color="auto" w:fill="auto"/>
            <w:tcMar>
              <w:top w:w="0" w:type="dxa"/>
              <w:left w:w="75" w:type="dxa"/>
              <w:bottom w:w="0" w:type="dxa"/>
              <w:right w:w="75" w:type="dxa"/>
            </w:tcMar>
            <w:vAlign w:val="center"/>
            <w:hideMark/>
          </w:tcPr>
          <w:p w14:paraId="72704D07" w14:textId="77777777" w:rsidR="00DB0001" w:rsidRPr="000F1A3D" w:rsidRDefault="00DB0001" w:rsidP="00A17272">
            <w:pPr>
              <w:tabs>
                <w:tab w:val="decimal" w:pos="235"/>
              </w:tabs>
              <w:jc w:val="center"/>
              <w:rPr>
                <w:sz w:val="20"/>
                <w:szCs w:val="20"/>
              </w:rPr>
            </w:pPr>
            <w:r w:rsidRPr="000F1A3D">
              <w:rPr>
                <w:sz w:val="20"/>
                <w:szCs w:val="20"/>
              </w:rPr>
              <w:t>-0.21</w:t>
            </w:r>
          </w:p>
        </w:tc>
        <w:tc>
          <w:tcPr>
            <w:tcW w:w="720" w:type="dxa"/>
            <w:shd w:val="clear" w:color="auto" w:fill="auto"/>
            <w:tcMar>
              <w:top w:w="0" w:type="dxa"/>
              <w:left w:w="75" w:type="dxa"/>
              <w:bottom w:w="0" w:type="dxa"/>
              <w:right w:w="75" w:type="dxa"/>
            </w:tcMar>
            <w:vAlign w:val="center"/>
            <w:hideMark/>
          </w:tcPr>
          <w:p w14:paraId="5947F57C" w14:textId="77777777" w:rsidR="00DB0001" w:rsidRPr="000F1A3D" w:rsidRDefault="00DB0001" w:rsidP="00A17272">
            <w:pPr>
              <w:tabs>
                <w:tab w:val="decimal" w:pos="236"/>
              </w:tabs>
              <w:jc w:val="center"/>
              <w:rPr>
                <w:sz w:val="20"/>
                <w:szCs w:val="20"/>
              </w:rPr>
            </w:pPr>
            <w:r w:rsidRPr="000F1A3D">
              <w:rPr>
                <w:sz w:val="20"/>
                <w:szCs w:val="20"/>
              </w:rPr>
              <w:t>-0.68</w:t>
            </w:r>
          </w:p>
        </w:tc>
        <w:tc>
          <w:tcPr>
            <w:tcW w:w="720" w:type="dxa"/>
            <w:shd w:val="clear" w:color="auto" w:fill="auto"/>
            <w:tcMar>
              <w:top w:w="0" w:type="dxa"/>
              <w:left w:w="75" w:type="dxa"/>
              <w:bottom w:w="0" w:type="dxa"/>
              <w:right w:w="75" w:type="dxa"/>
            </w:tcMar>
            <w:vAlign w:val="center"/>
            <w:hideMark/>
          </w:tcPr>
          <w:p w14:paraId="38A17E46" w14:textId="77777777" w:rsidR="00DB0001" w:rsidRPr="000F1A3D" w:rsidRDefault="00DB0001" w:rsidP="00A17272">
            <w:pPr>
              <w:tabs>
                <w:tab w:val="decimal" w:pos="240"/>
              </w:tabs>
              <w:jc w:val="center"/>
              <w:rPr>
                <w:sz w:val="20"/>
                <w:szCs w:val="20"/>
              </w:rPr>
            </w:pPr>
            <w:r w:rsidRPr="000F1A3D">
              <w:rPr>
                <w:sz w:val="20"/>
                <w:szCs w:val="20"/>
              </w:rPr>
              <w:t>0.27</w:t>
            </w:r>
          </w:p>
        </w:tc>
        <w:tc>
          <w:tcPr>
            <w:tcW w:w="720" w:type="dxa"/>
            <w:shd w:val="clear" w:color="auto" w:fill="auto"/>
            <w:tcMar>
              <w:top w:w="0" w:type="dxa"/>
              <w:left w:w="75" w:type="dxa"/>
              <w:bottom w:w="0" w:type="dxa"/>
              <w:right w:w="75" w:type="dxa"/>
            </w:tcMar>
            <w:vAlign w:val="center"/>
            <w:hideMark/>
          </w:tcPr>
          <w:p w14:paraId="2676104F" w14:textId="77777777" w:rsidR="00DB0001" w:rsidRPr="000F1A3D" w:rsidRDefault="00DB0001" w:rsidP="00A17272">
            <w:pPr>
              <w:tabs>
                <w:tab w:val="decimal" w:pos="244"/>
              </w:tabs>
              <w:jc w:val="center"/>
              <w:rPr>
                <w:sz w:val="20"/>
                <w:szCs w:val="20"/>
              </w:rPr>
            </w:pPr>
            <w:r w:rsidRPr="000F1A3D">
              <w:rPr>
                <w:sz w:val="20"/>
                <w:szCs w:val="20"/>
              </w:rPr>
              <w:t>-0.87</w:t>
            </w:r>
          </w:p>
        </w:tc>
        <w:tc>
          <w:tcPr>
            <w:tcW w:w="630" w:type="dxa"/>
            <w:shd w:val="clear" w:color="auto" w:fill="auto"/>
            <w:tcMar>
              <w:top w:w="0" w:type="dxa"/>
              <w:left w:w="75" w:type="dxa"/>
              <w:bottom w:w="0" w:type="dxa"/>
              <w:right w:w="75" w:type="dxa"/>
            </w:tcMar>
            <w:vAlign w:val="center"/>
            <w:hideMark/>
          </w:tcPr>
          <w:p w14:paraId="1A5C681D" w14:textId="77777777" w:rsidR="00DB0001" w:rsidRPr="000F1A3D" w:rsidRDefault="00DB0001" w:rsidP="00A17272">
            <w:pPr>
              <w:jc w:val="center"/>
              <w:rPr>
                <w:sz w:val="20"/>
                <w:szCs w:val="20"/>
              </w:rPr>
            </w:pPr>
            <w:r w:rsidRPr="000F1A3D">
              <w:rPr>
                <w:sz w:val="20"/>
                <w:szCs w:val="20"/>
              </w:rPr>
              <w:t>48.68</w:t>
            </w:r>
          </w:p>
        </w:tc>
        <w:tc>
          <w:tcPr>
            <w:tcW w:w="900" w:type="dxa"/>
            <w:shd w:val="clear" w:color="auto" w:fill="auto"/>
            <w:tcMar>
              <w:top w:w="0" w:type="dxa"/>
              <w:left w:w="75" w:type="dxa"/>
              <w:bottom w:w="0" w:type="dxa"/>
              <w:right w:w="75" w:type="dxa"/>
            </w:tcMar>
            <w:vAlign w:val="center"/>
            <w:hideMark/>
          </w:tcPr>
          <w:p w14:paraId="6612E9F6" w14:textId="77777777" w:rsidR="00DB0001" w:rsidRPr="000F1A3D" w:rsidRDefault="00DB0001" w:rsidP="00A17272">
            <w:pPr>
              <w:tabs>
                <w:tab w:val="decimal" w:pos="250"/>
              </w:tabs>
              <w:jc w:val="center"/>
              <w:rPr>
                <w:sz w:val="20"/>
                <w:szCs w:val="20"/>
              </w:rPr>
            </w:pPr>
            <w:r w:rsidRPr="000F1A3D">
              <w:rPr>
                <w:sz w:val="20"/>
                <w:szCs w:val="20"/>
              </w:rPr>
              <w:t>.38849</w:t>
            </w:r>
          </w:p>
        </w:tc>
      </w:tr>
      <w:tr w:rsidR="00DB0001" w:rsidRPr="000F1A3D" w14:paraId="77520605" w14:textId="77777777" w:rsidTr="00DB0001">
        <w:trPr>
          <w:trHeight w:val="225"/>
        </w:trPr>
        <w:tc>
          <w:tcPr>
            <w:tcW w:w="2250" w:type="dxa"/>
            <w:shd w:val="clear" w:color="auto" w:fill="auto"/>
            <w:tcMar>
              <w:top w:w="0" w:type="dxa"/>
              <w:left w:w="75" w:type="dxa"/>
              <w:bottom w:w="0" w:type="dxa"/>
              <w:right w:w="75" w:type="dxa"/>
            </w:tcMar>
            <w:vAlign w:val="center"/>
            <w:hideMark/>
          </w:tcPr>
          <w:p w14:paraId="54F76C31" w14:textId="77777777" w:rsidR="00DB0001" w:rsidRPr="000F1A3D" w:rsidRDefault="00DB0001" w:rsidP="00A17272">
            <w:pPr>
              <w:rPr>
                <w:sz w:val="20"/>
                <w:szCs w:val="20"/>
              </w:rPr>
            </w:pPr>
            <w:r w:rsidRPr="000F1A3D">
              <w:rPr>
                <w:sz w:val="20"/>
                <w:szCs w:val="20"/>
              </w:rPr>
              <w:t xml:space="preserve">van den </w:t>
            </w:r>
            <w:proofErr w:type="spellStart"/>
            <w:r w:rsidRPr="000F1A3D">
              <w:rPr>
                <w:sz w:val="20"/>
                <w:szCs w:val="20"/>
              </w:rPr>
              <w:t>Hout</w:t>
            </w:r>
            <w:proofErr w:type="spellEnd"/>
            <w:r w:rsidRPr="000F1A3D">
              <w:rPr>
                <w:sz w:val="20"/>
                <w:szCs w:val="20"/>
              </w:rPr>
              <w:t xml:space="preserve"> et al. (2002)</w:t>
            </w:r>
          </w:p>
        </w:tc>
        <w:tc>
          <w:tcPr>
            <w:tcW w:w="2250" w:type="dxa"/>
            <w:shd w:val="clear" w:color="auto" w:fill="auto"/>
            <w:tcMar>
              <w:top w:w="0" w:type="dxa"/>
              <w:left w:w="75" w:type="dxa"/>
              <w:bottom w:w="0" w:type="dxa"/>
              <w:right w:w="75" w:type="dxa"/>
            </w:tcMar>
            <w:vAlign w:val="center"/>
            <w:hideMark/>
          </w:tcPr>
          <w:p w14:paraId="32FE8338" w14:textId="77777777" w:rsidR="00DB0001" w:rsidRPr="000F1A3D" w:rsidRDefault="00DB0001" w:rsidP="00A17272">
            <w:pPr>
              <w:rPr>
                <w:sz w:val="20"/>
                <w:szCs w:val="20"/>
              </w:rPr>
            </w:pPr>
            <w:r w:rsidRPr="000F1A3D">
              <w:rPr>
                <w:sz w:val="20"/>
                <w:szCs w:val="20"/>
              </w:rPr>
              <w:t xml:space="preserve">Baseline </w:t>
            </w:r>
            <w:r w:rsidRPr="00DB0001">
              <w:rPr>
                <w:sz w:val="20"/>
                <w:szCs w:val="20"/>
              </w:rPr>
              <w:t>-</w:t>
            </w:r>
            <w:r w:rsidRPr="000F1A3D">
              <w:rPr>
                <w:sz w:val="20"/>
                <w:szCs w:val="20"/>
              </w:rPr>
              <w:t xml:space="preserve"> postinduction</w:t>
            </w:r>
          </w:p>
        </w:tc>
        <w:tc>
          <w:tcPr>
            <w:tcW w:w="990" w:type="dxa"/>
            <w:shd w:val="clear" w:color="auto" w:fill="auto"/>
            <w:tcMar>
              <w:top w:w="0" w:type="dxa"/>
              <w:left w:w="75" w:type="dxa"/>
              <w:bottom w:w="0" w:type="dxa"/>
              <w:right w:w="75" w:type="dxa"/>
            </w:tcMar>
            <w:vAlign w:val="center"/>
            <w:hideMark/>
          </w:tcPr>
          <w:p w14:paraId="7D4D29E4" w14:textId="77777777" w:rsidR="00DB0001" w:rsidRPr="000F1A3D" w:rsidRDefault="00DB0001" w:rsidP="00A17272">
            <w:pPr>
              <w:tabs>
                <w:tab w:val="decimal" w:pos="235"/>
              </w:tabs>
              <w:jc w:val="center"/>
              <w:rPr>
                <w:sz w:val="20"/>
                <w:szCs w:val="20"/>
              </w:rPr>
            </w:pPr>
            <w:r w:rsidRPr="000F1A3D">
              <w:rPr>
                <w:sz w:val="20"/>
                <w:szCs w:val="20"/>
              </w:rPr>
              <w:t>-1.46</w:t>
            </w:r>
          </w:p>
        </w:tc>
        <w:tc>
          <w:tcPr>
            <w:tcW w:w="720" w:type="dxa"/>
            <w:shd w:val="clear" w:color="auto" w:fill="auto"/>
            <w:tcMar>
              <w:top w:w="0" w:type="dxa"/>
              <w:left w:w="75" w:type="dxa"/>
              <w:bottom w:w="0" w:type="dxa"/>
              <w:right w:w="75" w:type="dxa"/>
            </w:tcMar>
            <w:vAlign w:val="center"/>
            <w:hideMark/>
          </w:tcPr>
          <w:p w14:paraId="144D1175" w14:textId="77777777" w:rsidR="00DB0001" w:rsidRPr="000F1A3D" w:rsidRDefault="00DB0001" w:rsidP="00A17272">
            <w:pPr>
              <w:tabs>
                <w:tab w:val="decimal" w:pos="236"/>
              </w:tabs>
              <w:jc w:val="center"/>
              <w:rPr>
                <w:sz w:val="20"/>
                <w:szCs w:val="20"/>
              </w:rPr>
            </w:pPr>
            <w:r w:rsidRPr="000F1A3D">
              <w:rPr>
                <w:sz w:val="20"/>
                <w:szCs w:val="20"/>
              </w:rPr>
              <w:t>-1.95</w:t>
            </w:r>
          </w:p>
        </w:tc>
        <w:tc>
          <w:tcPr>
            <w:tcW w:w="720" w:type="dxa"/>
            <w:shd w:val="clear" w:color="auto" w:fill="auto"/>
            <w:tcMar>
              <w:top w:w="0" w:type="dxa"/>
              <w:left w:w="75" w:type="dxa"/>
              <w:bottom w:w="0" w:type="dxa"/>
              <w:right w:w="75" w:type="dxa"/>
            </w:tcMar>
            <w:vAlign w:val="center"/>
            <w:hideMark/>
          </w:tcPr>
          <w:p w14:paraId="6BA37245" w14:textId="77777777" w:rsidR="00DB0001" w:rsidRPr="000F1A3D" w:rsidRDefault="00DB0001" w:rsidP="00A17272">
            <w:pPr>
              <w:tabs>
                <w:tab w:val="decimal" w:pos="240"/>
              </w:tabs>
              <w:jc w:val="center"/>
              <w:rPr>
                <w:sz w:val="20"/>
                <w:szCs w:val="20"/>
              </w:rPr>
            </w:pPr>
            <w:r w:rsidRPr="000F1A3D">
              <w:rPr>
                <w:sz w:val="20"/>
                <w:szCs w:val="20"/>
              </w:rPr>
              <w:t>-0.96</w:t>
            </w:r>
          </w:p>
        </w:tc>
        <w:tc>
          <w:tcPr>
            <w:tcW w:w="720" w:type="dxa"/>
            <w:shd w:val="clear" w:color="auto" w:fill="auto"/>
            <w:tcMar>
              <w:top w:w="0" w:type="dxa"/>
              <w:left w:w="75" w:type="dxa"/>
              <w:bottom w:w="0" w:type="dxa"/>
              <w:right w:w="75" w:type="dxa"/>
            </w:tcMar>
            <w:vAlign w:val="center"/>
            <w:hideMark/>
          </w:tcPr>
          <w:p w14:paraId="7863A6D1" w14:textId="77777777" w:rsidR="00DB0001" w:rsidRPr="000F1A3D" w:rsidRDefault="00DB0001" w:rsidP="00A17272">
            <w:pPr>
              <w:tabs>
                <w:tab w:val="decimal" w:pos="244"/>
              </w:tabs>
              <w:jc w:val="center"/>
              <w:rPr>
                <w:sz w:val="20"/>
                <w:szCs w:val="20"/>
              </w:rPr>
            </w:pPr>
            <w:r w:rsidRPr="000F1A3D">
              <w:rPr>
                <w:sz w:val="20"/>
                <w:szCs w:val="20"/>
              </w:rPr>
              <w:t>-6.58</w:t>
            </w:r>
          </w:p>
        </w:tc>
        <w:tc>
          <w:tcPr>
            <w:tcW w:w="630" w:type="dxa"/>
            <w:shd w:val="clear" w:color="auto" w:fill="auto"/>
            <w:tcMar>
              <w:top w:w="0" w:type="dxa"/>
              <w:left w:w="75" w:type="dxa"/>
              <w:bottom w:w="0" w:type="dxa"/>
              <w:right w:w="75" w:type="dxa"/>
            </w:tcMar>
            <w:vAlign w:val="center"/>
            <w:hideMark/>
          </w:tcPr>
          <w:p w14:paraId="2203938B" w14:textId="77777777" w:rsidR="00DB0001" w:rsidRPr="000F1A3D" w:rsidRDefault="00DB0001" w:rsidP="00A17272">
            <w:pPr>
              <w:jc w:val="center"/>
              <w:rPr>
                <w:sz w:val="20"/>
                <w:szCs w:val="20"/>
              </w:rPr>
            </w:pPr>
            <w:r w:rsidRPr="000F1A3D">
              <w:rPr>
                <w:sz w:val="20"/>
                <w:szCs w:val="20"/>
              </w:rPr>
              <w:t>44.22</w:t>
            </w:r>
          </w:p>
        </w:tc>
        <w:tc>
          <w:tcPr>
            <w:tcW w:w="900" w:type="dxa"/>
            <w:shd w:val="clear" w:color="auto" w:fill="auto"/>
            <w:tcMar>
              <w:top w:w="0" w:type="dxa"/>
              <w:left w:w="75" w:type="dxa"/>
              <w:bottom w:w="0" w:type="dxa"/>
              <w:right w:w="75" w:type="dxa"/>
            </w:tcMar>
            <w:vAlign w:val="center"/>
            <w:hideMark/>
          </w:tcPr>
          <w:p w14:paraId="7E3FF975" w14:textId="77777777" w:rsidR="00DB0001" w:rsidRPr="000F1A3D" w:rsidRDefault="00DB0001" w:rsidP="00A17272">
            <w:pPr>
              <w:tabs>
                <w:tab w:val="decimal" w:pos="250"/>
              </w:tabs>
              <w:jc w:val="center"/>
              <w:rPr>
                <w:sz w:val="20"/>
                <w:szCs w:val="20"/>
              </w:rPr>
            </w:pPr>
            <w:r w:rsidRPr="000F1A3D">
              <w:rPr>
                <w:sz w:val="20"/>
                <w:szCs w:val="20"/>
              </w:rPr>
              <w:t>&lt; .00001</w:t>
            </w:r>
          </w:p>
        </w:tc>
      </w:tr>
      <w:tr w:rsidR="00DB0001" w:rsidRPr="000F1A3D" w14:paraId="1ABEE63C" w14:textId="77777777" w:rsidTr="00DB0001">
        <w:trPr>
          <w:trHeight w:val="225"/>
        </w:trPr>
        <w:tc>
          <w:tcPr>
            <w:tcW w:w="2250" w:type="dxa"/>
            <w:shd w:val="clear" w:color="auto" w:fill="auto"/>
            <w:tcMar>
              <w:top w:w="0" w:type="dxa"/>
              <w:left w:w="75" w:type="dxa"/>
              <w:bottom w:w="0" w:type="dxa"/>
              <w:right w:w="75" w:type="dxa"/>
            </w:tcMar>
            <w:vAlign w:val="center"/>
            <w:hideMark/>
          </w:tcPr>
          <w:p w14:paraId="20BDEC39" w14:textId="77777777" w:rsidR="00DB0001" w:rsidRPr="000F1A3D" w:rsidRDefault="00DB0001" w:rsidP="00A17272">
            <w:pPr>
              <w:rPr>
                <w:sz w:val="20"/>
                <w:szCs w:val="20"/>
              </w:rPr>
            </w:pPr>
            <w:r w:rsidRPr="000F1A3D">
              <w:rPr>
                <w:sz w:val="20"/>
                <w:szCs w:val="20"/>
              </w:rPr>
              <w:t xml:space="preserve">van den </w:t>
            </w:r>
            <w:proofErr w:type="spellStart"/>
            <w:r w:rsidRPr="000F1A3D">
              <w:rPr>
                <w:sz w:val="20"/>
                <w:szCs w:val="20"/>
              </w:rPr>
              <w:t>Hout</w:t>
            </w:r>
            <w:proofErr w:type="spellEnd"/>
            <w:r w:rsidRPr="000F1A3D">
              <w:rPr>
                <w:sz w:val="20"/>
                <w:szCs w:val="20"/>
              </w:rPr>
              <w:t xml:space="preserve"> et al. (2002)</w:t>
            </w:r>
          </w:p>
        </w:tc>
        <w:tc>
          <w:tcPr>
            <w:tcW w:w="2250" w:type="dxa"/>
            <w:shd w:val="clear" w:color="auto" w:fill="auto"/>
            <w:tcMar>
              <w:top w:w="0" w:type="dxa"/>
              <w:left w:w="75" w:type="dxa"/>
              <w:bottom w:w="0" w:type="dxa"/>
              <w:right w:w="75" w:type="dxa"/>
            </w:tcMar>
            <w:vAlign w:val="center"/>
            <w:hideMark/>
          </w:tcPr>
          <w:p w14:paraId="311C0AAB" w14:textId="77777777" w:rsidR="00DB0001" w:rsidRPr="000F1A3D" w:rsidRDefault="00DB0001" w:rsidP="00A17272">
            <w:pPr>
              <w:rPr>
                <w:sz w:val="20"/>
                <w:szCs w:val="20"/>
              </w:rPr>
            </w:pPr>
            <w:r w:rsidRPr="000F1A3D">
              <w:rPr>
                <w:sz w:val="20"/>
                <w:szCs w:val="20"/>
              </w:rPr>
              <w:t xml:space="preserve">Postinduction </w:t>
            </w:r>
            <w:r w:rsidRPr="00DB0001">
              <w:rPr>
                <w:sz w:val="20"/>
                <w:szCs w:val="20"/>
              </w:rPr>
              <w:t>-</w:t>
            </w:r>
            <w:r w:rsidRPr="000F1A3D">
              <w:rPr>
                <w:sz w:val="20"/>
                <w:szCs w:val="20"/>
              </w:rPr>
              <w:t xml:space="preserve"> </w:t>
            </w:r>
            <w:proofErr w:type="spellStart"/>
            <w:r w:rsidRPr="000F1A3D">
              <w:rPr>
                <w:sz w:val="20"/>
                <w:szCs w:val="20"/>
              </w:rPr>
              <w:t>postdelay</w:t>
            </w:r>
            <w:proofErr w:type="spellEnd"/>
          </w:p>
        </w:tc>
        <w:tc>
          <w:tcPr>
            <w:tcW w:w="990" w:type="dxa"/>
            <w:shd w:val="clear" w:color="auto" w:fill="auto"/>
            <w:tcMar>
              <w:top w:w="0" w:type="dxa"/>
              <w:left w:w="75" w:type="dxa"/>
              <w:bottom w:w="0" w:type="dxa"/>
              <w:right w:w="75" w:type="dxa"/>
            </w:tcMar>
            <w:vAlign w:val="center"/>
            <w:hideMark/>
          </w:tcPr>
          <w:p w14:paraId="6714C8F7" w14:textId="77777777" w:rsidR="00DB0001" w:rsidRPr="000F1A3D" w:rsidRDefault="00DB0001" w:rsidP="00A17272">
            <w:pPr>
              <w:tabs>
                <w:tab w:val="decimal" w:pos="235"/>
              </w:tabs>
              <w:jc w:val="center"/>
              <w:rPr>
                <w:sz w:val="20"/>
                <w:szCs w:val="20"/>
              </w:rPr>
            </w:pPr>
            <w:r w:rsidRPr="000F1A3D">
              <w:rPr>
                <w:sz w:val="20"/>
                <w:szCs w:val="20"/>
              </w:rPr>
              <w:t>1.17</w:t>
            </w:r>
          </w:p>
        </w:tc>
        <w:tc>
          <w:tcPr>
            <w:tcW w:w="720" w:type="dxa"/>
            <w:shd w:val="clear" w:color="auto" w:fill="auto"/>
            <w:tcMar>
              <w:top w:w="0" w:type="dxa"/>
              <w:left w:w="75" w:type="dxa"/>
              <w:bottom w:w="0" w:type="dxa"/>
              <w:right w:w="75" w:type="dxa"/>
            </w:tcMar>
            <w:vAlign w:val="center"/>
            <w:hideMark/>
          </w:tcPr>
          <w:p w14:paraId="236E8F16" w14:textId="77777777" w:rsidR="00DB0001" w:rsidRPr="000F1A3D" w:rsidRDefault="00DB0001" w:rsidP="00A17272">
            <w:pPr>
              <w:tabs>
                <w:tab w:val="decimal" w:pos="236"/>
              </w:tabs>
              <w:jc w:val="center"/>
              <w:rPr>
                <w:sz w:val="20"/>
                <w:szCs w:val="20"/>
              </w:rPr>
            </w:pPr>
            <w:r w:rsidRPr="000F1A3D">
              <w:rPr>
                <w:sz w:val="20"/>
                <w:szCs w:val="20"/>
              </w:rPr>
              <w:t>0.69</w:t>
            </w:r>
          </w:p>
        </w:tc>
        <w:tc>
          <w:tcPr>
            <w:tcW w:w="720" w:type="dxa"/>
            <w:shd w:val="clear" w:color="auto" w:fill="auto"/>
            <w:tcMar>
              <w:top w:w="0" w:type="dxa"/>
              <w:left w:w="75" w:type="dxa"/>
              <w:bottom w:w="0" w:type="dxa"/>
              <w:right w:w="75" w:type="dxa"/>
            </w:tcMar>
            <w:vAlign w:val="center"/>
            <w:hideMark/>
          </w:tcPr>
          <w:p w14:paraId="63741349" w14:textId="77777777" w:rsidR="00DB0001" w:rsidRPr="000F1A3D" w:rsidRDefault="00DB0001" w:rsidP="00A17272">
            <w:pPr>
              <w:tabs>
                <w:tab w:val="decimal" w:pos="240"/>
              </w:tabs>
              <w:jc w:val="center"/>
              <w:rPr>
                <w:sz w:val="20"/>
                <w:szCs w:val="20"/>
              </w:rPr>
            </w:pPr>
            <w:r w:rsidRPr="000F1A3D">
              <w:rPr>
                <w:sz w:val="20"/>
                <w:szCs w:val="20"/>
              </w:rPr>
              <w:t>1.64</w:t>
            </w:r>
          </w:p>
        </w:tc>
        <w:tc>
          <w:tcPr>
            <w:tcW w:w="720" w:type="dxa"/>
            <w:shd w:val="clear" w:color="auto" w:fill="auto"/>
            <w:tcMar>
              <w:top w:w="0" w:type="dxa"/>
              <w:left w:w="75" w:type="dxa"/>
              <w:bottom w:w="0" w:type="dxa"/>
              <w:right w:w="75" w:type="dxa"/>
            </w:tcMar>
            <w:vAlign w:val="center"/>
            <w:hideMark/>
          </w:tcPr>
          <w:p w14:paraId="7714BE9E" w14:textId="77777777" w:rsidR="00DB0001" w:rsidRPr="000F1A3D" w:rsidRDefault="00DB0001" w:rsidP="00A17272">
            <w:pPr>
              <w:tabs>
                <w:tab w:val="decimal" w:pos="244"/>
              </w:tabs>
              <w:jc w:val="center"/>
              <w:rPr>
                <w:sz w:val="20"/>
                <w:szCs w:val="20"/>
              </w:rPr>
            </w:pPr>
            <w:r w:rsidRPr="000F1A3D">
              <w:rPr>
                <w:sz w:val="20"/>
                <w:szCs w:val="20"/>
              </w:rPr>
              <w:t>5.28</w:t>
            </w:r>
          </w:p>
        </w:tc>
        <w:tc>
          <w:tcPr>
            <w:tcW w:w="630" w:type="dxa"/>
            <w:shd w:val="clear" w:color="auto" w:fill="auto"/>
            <w:tcMar>
              <w:top w:w="0" w:type="dxa"/>
              <w:left w:w="75" w:type="dxa"/>
              <w:bottom w:w="0" w:type="dxa"/>
              <w:right w:w="75" w:type="dxa"/>
            </w:tcMar>
            <w:vAlign w:val="center"/>
            <w:hideMark/>
          </w:tcPr>
          <w:p w14:paraId="71E1B133" w14:textId="77777777" w:rsidR="00DB0001" w:rsidRPr="000F1A3D" w:rsidRDefault="00DB0001" w:rsidP="00A17272">
            <w:pPr>
              <w:jc w:val="center"/>
              <w:rPr>
                <w:sz w:val="20"/>
                <w:szCs w:val="20"/>
              </w:rPr>
            </w:pPr>
            <w:r w:rsidRPr="000F1A3D">
              <w:rPr>
                <w:sz w:val="20"/>
                <w:szCs w:val="20"/>
              </w:rPr>
              <w:t>56.16</w:t>
            </w:r>
          </w:p>
        </w:tc>
        <w:tc>
          <w:tcPr>
            <w:tcW w:w="900" w:type="dxa"/>
            <w:shd w:val="clear" w:color="auto" w:fill="auto"/>
            <w:tcMar>
              <w:top w:w="0" w:type="dxa"/>
              <w:left w:w="75" w:type="dxa"/>
              <w:bottom w:w="0" w:type="dxa"/>
              <w:right w:w="75" w:type="dxa"/>
            </w:tcMar>
            <w:vAlign w:val="center"/>
            <w:hideMark/>
          </w:tcPr>
          <w:p w14:paraId="7A57F0D4" w14:textId="77777777" w:rsidR="00DB0001" w:rsidRPr="000F1A3D" w:rsidRDefault="00DB0001" w:rsidP="00A17272">
            <w:pPr>
              <w:tabs>
                <w:tab w:val="decimal" w:pos="250"/>
              </w:tabs>
              <w:jc w:val="center"/>
              <w:rPr>
                <w:sz w:val="20"/>
                <w:szCs w:val="20"/>
              </w:rPr>
            </w:pPr>
            <w:r w:rsidRPr="000F1A3D">
              <w:rPr>
                <w:sz w:val="20"/>
                <w:szCs w:val="20"/>
              </w:rPr>
              <w:t>&lt; .00001</w:t>
            </w:r>
          </w:p>
        </w:tc>
      </w:tr>
      <w:tr w:rsidR="00DB0001" w:rsidRPr="000F1A3D" w14:paraId="679AAE2E" w14:textId="77777777" w:rsidTr="00DB0001">
        <w:trPr>
          <w:trHeight w:val="233"/>
        </w:trPr>
        <w:tc>
          <w:tcPr>
            <w:tcW w:w="2250" w:type="dxa"/>
            <w:tcBorders>
              <w:bottom w:val="single" w:sz="4" w:space="0" w:color="auto"/>
            </w:tcBorders>
            <w:shd w:val="clear" w:color="auto" w:fill="auto"/>
            <w:tcMar>
              <w:top w:w="0" w:type="dxa"/>
              <w:left w:w="75" w:type="dxa"/>
              <w:bottom w:w="0" w:type="dxa"/>
              <w:right w:w="75" w:type="dxa"/>
            </w:tcMar>
            <w:vAlign w:val="center"/>
            <w:hideMark/>
          </w:tcPr>
          <w:p w14:paraId="289350F5" w14:textId="77777777" w:rsidR="00DB0001" w:rsidRPr="000F1A3D" w:rsidRDefault="00DB0001" w:rsidP="00A17272">
            <w:pPr>
              <w:rPr>
                <w:sz w:val="20"/>
                <w:szCs w:val="20"/>
              </w:rPr>
            </w:pPr>
            <w:r w:rsidRPr="000F1A3D">
              <w:rPr>
                <w:sz w:val="20"/>
                <w:szCs w:val="20"/>
              </w:rPr>
              <w:t xml:space="preserve">van den </w:t>
            </w:r>
            <w:proofErr w:type="spellStart"/>
            <w:r w:rsidRPr="000F1A3D">
              <w:rPr>
                <w:sz w:val="20"/>
                <w:szCs w:val="20"/>
              </w:rPr>
              <w:t>Hout</w:t>
            </w:r>
            <w:proofErr w:type="spellEnd"/>
            <w:r w:rsidRPr="000F1A3D">
              <w:rPr>
                <w:sz w:val="20"/>
                <w:szCs w:val="20"/>
              </w:rPr>
              <w:t xml:space="preserve"> et al. (2002)</w:t>
            </w:r>
          </w:p>
        </w:tc>
        <w:tc>
          <w:tcPr>
            <w:tcW w:w="2250" w:type="dxa"/>
            <w:tcBorders>
              <w:bottom w:val="single" w:sz="4" w:space="0" w:color="auto"/>
            </w:tcBorders>
            <w:shd w:val="clear" w:color="auto" w:fill="auto"/>
            <w:tcMar>
              <w:top w:w="0" w:type="dxa"/>
              <w:left w:w="75" w:type="dxa"/>
              <w:bottom w:w="0" w:type="dxa"/>
              <w:right w:w="75" w:type="dxa"/>
            </w:tcMar>
            <w:vAlign w:val="center"/>
            <w:hideMark/>
          </w:tcPr>
          <w:p w14:paraId="36959395" w14:textId="77777777" w:rsidR="00DB0001" w:rsidRPr="000F1A3D" w:rsidRDefault="00DB0001" w:rsidP="00A17272">
            <w:pPr>
              <w:rPr>
                <w:sz w:val="20"/>
                <w:szCs w:val="20"/>
              </w:rPr>
            </w:pPr>
            <w:r w:rsidRPr="000F1A3D">
              <w:rPr>
                <w:sz w:val="20"/>
                <w:szCs w:val="20"/>
              </w:rPr>
              <w:t xml:space="preserve">Baseline </w:t>
            </w:r>
            <w:r w:rsidRPr="00DB0001">
              <w:rPr>
                <w:sz w:val="20"/>
                <w:szCs w:val="20"/>
              </w:rPr>
              <w:t>-</w:t>
            </w:r>
            <w:r w:rsidRPr="000F1A3D">
              <w:rPr>
                <w:sz w:val="20"/>
                <w:szCs w:val="20"/>
              </w:rPr>
              <w:t xml:space="preserve"> </w:t>
            </w:r>
            <w:proofErr w:type="spellStart"/>
            <w:r w:rsidRPr="000F1A3D">
              <w:rPr>
                <w:sz w:val="20"/>
                <w:szCs w:val="20"/>
              </w:rPr>
              <w:t>postdelay</w:t>
            </w:r>
            <w:proofErr w:type="spellEnd"/>
          </w:p>
        </w:tc>
        <w:tc>
          <w:tcPr>
            <w:tcW w:w="990" w:type="dxa"/>
            <w:tcBorders>
              <w:bottom w:val="single" w:sz="4" w:space="0" w:color="auto"/>
            </w:tcBorders>
            <w:shd w:val="clear" w:color="auto" w:fill="auto"/>
            <w:tcMar>
              <w:top w:w="0" w:type="dxa"/>
              <w:left w:w="75" w:type="dxa"/>
              <w:bottom w:w="0" w:type="dxa"/>
              <w:right w:w="75" w:type="dxa"/>
            </w:tcMar>
            <w:vAlign w:val="center"/>
            <w:hideMark/>
          </w:tcPr>
          <w:p w14:paraId="29FE6201" w14:textId="77777777" w:rsidR="00DB0001" w:rsidRPr="000F1A3D" w:rsidRDefault="00DB0001" w:rsidP="00A17272">
            <w:pPr>
              <w:tabs>
                <w:tab w:val="decimal" w:pos="235"/>
              </w:tabs>
              <w:jc w:val="center"/>
              <w:rPr>
                <w:sz w:val="20"/>
                <w:szCs w:val="20"/>
              </w:rPr>
            </w:pPr>
            <w:r w:rsidRPr="000F1A3D">
              <w:rPr>
                <w:sz w:val="20"/>
                <w:szCs w:val="20"/>
              </w:rPr>
              <w:t>-0.38</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1F0277BD" w14:textId="77777777" w:rsidR="00DB0001" w:rsidRPr="000F1A3D" w:rsidRDefault="00DB0001" w:rsidP="00A17272">
            <w:pPr>
              <w:tabs>
                <w:tab w:val="decimal" w:pos="236"/>
              </w:tabs>
              <w:jc w:val="center"/>
              <w:rPr>
                <w:sz w:val="20"/>
                <w:szCs w:val="20"/>
              </w:rPr>
            </w:pPr>
            <w:r w:rsidRPr="000F1A3D">
              <w:rPr>
                <w:sz w:val="20"/>
                <w:szCs w:val="20"/>
              </w:rPr>
              <w:t>-0.82</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3CB84A0E" w14:textId="77777777" w:rsidR="00DB0001" w:rsidRPr="000F1A3D" w:rsidRDefault="00DB0001" w:rsidP="00A17272">
            <w:pPr>
              <w:tabs>
                <w:tab w:val="decimal" w:pos="240"/>
              </w:tabs>
              <w:jc w:val="center"/>
              <w:rPr>
                <w:sz w:val="20"/>
                <w:szCs w:val="20"/>
              </w:rPr>
            </w:pPr>
            <w:r w:rsidRPr="000F1A3D">
              <w:rPr>
                <w:sz w:val="20"/>
                <w:szCs w:val="20"/>
              </w:rPr>
              <w:t>0.06</w:t>
            </w:r>
          </w:p>
        </w:tc>
        <w:tc>
          <w:tcPr>
            <w:tcW w:w="720" w:type="dxa"/>
            <w:tcBorders>
              <w:bottom w:val="single" w:sz="4" w:space="0" w:color="auto"/>
            </w:tcBorders>
            <w:shd w:val="clear" w:color="auto" w:fill="auto"/>
            <w:tcMar>
              <w:top w:w="0" w:type="dxa"/>
              <w:left w:w="75" w:type="dxa"/>
              <w:bottom w:w="0" w:type="dxa"/>
              <w:right w:w="75" w:type="dxa"/>
            </w:tcMar>
            <w:vAlign w:val="center"/>
            <w:hideMark/>
          </w:tcPr>
          <w:p w14:paraId="04FDBE00" w14:textId="77777777" w:rsidR="00DB0001" w:rsidRPr="000F1A3D" w:rsidRDefault="00DB0001" w:rsidP="00A17272">
            <w:pPr>
              <w:tabs>
                <w:tab w:val="decimal" w:pos="244"/>
              </w:tabs>
              <w:jc w:val="center"/>
              <w:rPr>
                <w:sz w:val="20"/>
                <w:szCs w:val="20"/>
              </w:rPr>
            </w:pPr>
            <w:r w:rsidRPr="000F1A3D">
              <w:rPr>
                <w:sz w:val="20"/>
                <w:szCs w:val="20"/>
              </w:rPr>
              <w:t>-1.71</w:t>
            </w:r>
          </w:p>
        </w:tc>
        <w:tc>
          <w:tcPr>
            <w:tcW w:w="630" w:type="dxa"/>
            <w:tcBorders>
              <w:bottom w:val="single" w:sz="4" w:space="0" w:color="auto"/>
            </w:tcBorders>
            <w:shd w:val="clear" w:color="auto" w:fill="auto"/>
            <w:tcMar>
              <w:top w:w="0" w:type="dxa"/>
              <w:left w:w="75" w:type="dxa"/>
              <w:bottom w:w="0" w:type="dxa"/>
              <w:right w:w="75" w:type="dxa"/>
            </w:tcMar>
            <w:vAlign w:val="center"/>
            <w:hideMark/>
          </w:tcPr>
          <w:p w14:paraId="156EC159" w14:textId="77777777" w:rsidR="00DB0001" w:rsidRPr="000F1A3D" w:rsidRDefault="00DB0001" w:rsidP="00A17272">
            <w:pPr>
              <w:jc w:val="center"/>
              <w:rPr>
                <w:sz w:val="20"/>
                <w:szCs w:val="20"/>
              </w:rPr>
            </w:pPr>
            <w:r w:rsidRPr="000F1A3D">
              <w:rPr>
                <w:sz w:val="20"/>
                <w:szCs w:val="20"/>
              </w:rPr>
              <w:t>59.86</w:t>
            </w:r>
          </w:p>
        </w:tc>
        <w:tc>
          <w:tcPr>
            <w:tcW w:w="900" w:type="dxa"/>
            <w:tcBorders>
              <w:bottom w:val="single" w:sz="4" w:space="0" w:color="auto"/>
            </w:tcBorders>
            <w:shd w:val="clear" w:color="auto" w:fill="auto"/>
            <w:tcMar>
              <w:top w:w="0" w:type="dxa"/>
              <w:left w:w="75" w:type="dxa"/>
              <w:bottom w:w="0" w:type="dxa"/>
              <w:right w:w="75" w:type="dxa"/>
            </w:tcMar>
            <w:vAlign w:val="center"/>
            <w:hideMark/>
          </w:tcPr>
          <w:p w14:paraId="54FC2169" w14:textId="77777777" w:rsidR="00DB0001" w:rsidRPr="000F1A3D" w:rsidRDefault="00DB0001" w:rsidP="00A17272">
            <w:pPr>
              <w:tabs>
                <w:tab w:val="decimal" w:pos="250"/>
              </w:tabs>
              <w:jc w:val="center"/>
              <w:rPr>
                <w:sz w:val="20"/>
                <w:szCs w:val="20"/>
              </w:rPr>
            </w:pPr>
            <w:r w:rsidRPr="000F1A3D">
              <w:rPr>
                <w:sz w:val="20"/>
                <w:szCs w:val="20"/>
              </w:rPr>
              <w:t>.09182</w:t>
            </w:r>
          </w:p>
        </w:tc>
      </w:tr>
    </w:tbl>
    <w:p w14:paraId="4764FFBE" w14:textId="77777777" w:rsidR="004479EF" w:rsidRDefault="004479EF" w:rsidP="00243C45">
      <w:pPr>
        <w:ind w:firstLine="720"/>
      </w:pPr>
    </w:p>
    <w:p w14:paraId="2AA45FF9" w14:textId="220BDB5B" w:rsidR="006F3134" w:rsidRDefault="00F85EEF" w:rsidP="00016688">
      <w:pPr>
        <w:pStyle w:val="Heading1"/>
      </w:pPr>
      <w:r>
        <w:t>Method</w:t>
      </w:r>
    </w:p>
    <w:p w14:paraId="48190317" w14:textId="163AB397" w:rsidR="00153E96" w:rsidRDefault="00BD0CFE" w:rsidP="00153E96">
      <w:pPr>
        <w:ind w:firstLine="720"/>
      </w:pPr>
      <w:r>
        <w:t>Foody et al. (2013) does not report a direct</w:t>
      </w:r>
      <w:r w:rsidR="008070A9">
        <w:t xml:space="preserve">, </w:t>
      </w:r>
      <w:r>
        <w:t xml:space="preserve">appropriate </w:t>
      </w:r>
      <w:r w:rsidR="008070A9">
        <w:t xml:space="preserve">and unconfounded </w:t>
      </w:r>
      <w:r>
        <w:t>statistical inference test to support their core claim</w:t>
      </w:r>
      <w:r w:rsidR="00A41135">
        <w:t xml:space="preserve"> that the hierarchy condition was superior to the distinction condition</w:t>
      </w:r>
      <w:r w:rsidR="008E0B95">
        <w:t>.</w:t>
      </w:r>
      <w:r>
        <w:t xml:space="preserve"> I therefore conducted a reanalysis </w:t>
      </w:r>
      <w:r w:rsidR="001B3DA5">
        <w:t xml:space="preserve">to </w:t>
      </w:r>
      <w:r w:rsidR="00A81268">
        <w:t>test this claim.</w:t>
      </w:r>
      <w:r w:rsidR="00413A43">
        <w:t xml:space="preserve"> </w:t>
      </w:r>
      <w:r w:rsidR="008C00A2">
        <w:t>Specifically, I aimed compare</w:t>
      </w:r>
      <w:r w:rsidR="00744350">
        <w:t xml:space="preserve"> </w:t>
      </w:r>
      <w:r w:rsidR="00DB3957">
        <w:t xml:space="preserve">distress between </w:t>
      </w:r>
      <w:r w:rsidR="00561F22">
        <w:t xml:space="preserve">the two groups at the post intervention timepoint using independent Welch’s </w:t>
      </w:r>
      <w:r w:rsidR="00561F22" w:rsidRPr="006B518B">
        <w:rPr>
          <w:i/>
          <w:iCs/>
        </w:rPr>
        <w:t>t</w:t>
      </w:r>
      <w:r w:rsidR="00561F22">
        <w:t>-test</w:t>
      </w:r>
      <w:r w:rsidR="008C00A2">
        <w:t>s</w:t>
      </w:r>
      <w:r w:rsidR="00C879B1">
        <w:t xml:space="preserve"> with Hedges’ </w:t>
      </w:r>
      <w:r w:rsidR="00C879B1" w:rsidRPr="0053385F">
        <w:rPr>
          <w:i/>
          <w:iCs/>
        </w:rPr>
        <w:t>g</w:t>
      </w:r>
      <w:r w:rsidR="00C879B1">
        <w:t xml:space="preserve"> standardized effect sizes (i.e., Cohen’s </w:t>
      </w:r>
      <w:r w:rsidR="00C879B1" w:rsidRPr="0053385F">
        <w:rPr>
          <w:i/>
          <w:iCs/>
        </w:rPr>
        <w:t>d</w:t>
      </w:r>
      <w:r w:rsidR="00C879B1">
        <w:t xml:space="preserve"> with correction for small sample sizes).</w:t>
      </w:r>
      <w:r w:rsidR="008C00A2">
        <w:t xml:space="preserve"> </w:t>
      </w:r>
      <w:r w:rsidR="006155C9">
        <w:t>All raw and processed data as well as R code for data processing and analyses are available (</w:t>
      </w:r>
      <w:r w:rsidR="006155C9" w:rsidRPr="00DC64D6">
        <w:rPr>
          <w:highlight w:val="yellow"/>
        </w:rPr>
        <w:t>osf.io/XXX</w:t>
      </w:r>
      <w:r w:rsidR="006155C9">
        <w:t>).</w:t>
      </w:r>
    </w:p>
    <w:p w14:paraId="708AAD86" w14:textId="2B864B6A" w:rsidR="001145EC" w:rsidRDefault="001145EC" w:rsidP="00D0103C">
      <w:pPr>
        <w:pStyle w:val="Heading2"/>
      </w:pPr>
      <w:r>
        <w:t xml:space="preserve">Attempts to obtain additional information from the </w:t>
      </w:r>
      <w:r w:rsidR="00D0103C">
        <w:t xml:space="preserve">original </w:t>
      </w:r>
      <w:r>
        <w:t xml:space="preserve">authors </w:t>
      </w:r>
    </w:p>
    <w:p w14:paraId="0E70225B" w14:textId="26E07EE3" w:rsidR="00217548" w:rsidRDefault="0031785B" w:rsidP="008C00A2">
      <w:pPr>
        <w:ind w:firstLine="720"/>
      </w:pPr>
      <w:r>
        <w:t xml:space="preserve">In the first instance, I attempted to </w:t>
      </w:r>
      <w:r w:rsidR="008C00A2">
        <w:t xml:space="preserve">obtain the </w:t>
      </w:r>
      <w:r>
        <w:t>original dataset. I contacted all authors of Foody et al. (2013) asking if they’d be willing to share the original data</w:t>
      </w:r>
      <w:r w:rsidR="00D15FF3">
        <w:t xml:space="preserve">. </w:t>
      </w:r>
      <w:r>
        <w:t xml:space="preserve">The first author </w:t>
      </w:r>
      <w:r w:rsidR="000820DB">
        <w:t>informed me</w:t>
      </w:r>
      <w:r>
        <w:t xml:space="preserve"> that the data</w:t>
      </w:r>
      <w:r w:rsidR="0081466A">
        <w:t>set</w:t>
      </w:r>
      <w:r>
        <w:t xml:space="preserve"> no longer exists. </w:t>
      </w:r>
      <w:r w:rsidR="0084511C">
        <w:t xml:space="preserve">I </w:t>
      </w:r>
      <w:r w:rsidR="00645B80">
        <w:t xml:space="preserve">also </w:t>
      </w:r>
      <w:r w:rsidR="0084511C">
        <w:t>asked</w:t>
      </w:r>
      <w:r w:rsidR="001D6693">
        <w:t xml:space="preserve"> </w:t>
      </w:r>
      <w:r w:rsidR="00B73787">
        <w:t xml:space="preserve">the original authors </w:t>
      </w:r>
      <w:r w:rsidR="0084511C">
        <w:t xml:space="preserve">whether the </w:t>
      </w:r>
      <w:r w:rsidR="0084511C">
        <w:lastRenderedPageBreak/>
        <w:t>error bars in Foody et al.</w:t>
      </w:r>
      <w:r w:rsidR="001275CE">
        <w:t>’s</w:t>
      </w:r>
      <w:r w:rsidR="0084511C">
        <w:t xml:space="preserve"> (2013) Figures 1</w:t>
      </w:r>
      <w:r w:rsidR="00BD370C">
        <w:t xml:space="preserve"> to </w:t>
      </w:r>
      <w:r w:rsidR="0084511C">
        <w:t>3 represent 95% Confidence Intervals or Standard Error of the Mean</w:t>
      </w:r>
      <w:r w:rsidR="0045643F">
        <w:t xml:space="preserve">, </w:t>
      </w:r>
      <w:r w:rsidR="0084511C">
        <w:t>as this wasn’t reported in the manuscript</w:t>
      </w:r>
      <w:r w:rsidR="0045643F">
        <w:t>. However, the authors were unresponsive to subsequent</w:t>
      </w:r>
      <w:r w:rsidR="00DA5CB8">
        <w:t xml:space="preserve"> </w:t>
      </w:r>
      <w:r w:rsidR="00191937">
        <w:t>requests</w:t>
      </w:r>
      <w:r w:rsidR="0045643F">
        <w:t xml:space="preserve">. </w:t>
      </w:r>
    </w:p>
    <w:p w14:paraId="4AC1B573" w14:textId="61E2642E" w:rsidR="00AF3B43" w:rsidRDefault="00AF3B43" w:rsidP="00AF3B43">
      <w:pPr>
        <w:pStyle w:val="Heading2"/>
      </w:pPr>
      <w:r>
        <w:t xml:space="preserve">Extraction of summary statistics </w:t>
      </w:r>
    </w:p>
    <w:p w14:paraId="72A4E2DD" w14:textId="5DFD620D" w:rsidR="00AF3B43" w:rsidRDefault="002656AF" w:rsidP="00E01595">
      <w:pPr>
        <w:ind w:firstLine="720"/>
      </w:pPr>
      <w:r>
        <w:t>I</w:t>
      </w:r>
      <w:r w:rsidR="00765FD3">
        <w:t>ndependent</w:t>
      </w:r>
      <w:r w:rsidR="005B1F58">
        <w:t xml:space="preserve"> Welch’s</w:t>
      </w:r>
      <w:r w:rsidR="00765FD3">
        <w:t xml:space="preserve"> </w:t>
      </w:r>
      <w:r w:rsidR="00765FD3" w:rsidRPr="00765FD3">
        <w:rPr>
          <w:i/>
          <w:iCs/>
        </w:rPr>
        <w:t>t</w:t>
      </w:r>
      <w:r w:rsidR="00765FD3">
        <w:t>-tests</w:t>
      </w:r>
      <w:r w:rsidR="0053385F">
        <w:t xml:space="preserve"> </w:t>
      </w:r>
      <w:r>
        <w:t xml:space="preserve">and Hedges’ </w:t>
      </w:r>
      <w:r w:rsidRPr="00C05495">
        <w:rPr>
          <w:i/>
          <w:iCs/>
        </w:rPr>
        <w:t>g</w:t>
      </w:r>
      <w:r>
        <w:t xml:space="preserve"> effect sizes can be </w:t>
      </w:r>
      <w:r w:rsidR="00314177">
        <w:t xml:space="preserve">constructed from summary statistics without access to the raw data, specifically from </w:t>
      </w:r>
      <w:r w:rsidR="00765FD3">
        <w:t>the sample size (</w:t>
      </w:r>
      <w:r w:rsidR="00765FD3" w:rsidRPr="00765FD3">
        <w:rPr>
          <w:i/>
          <w:iCs/>
        </w:rPr>
        <w:t>n</w:t>
      </w:r>
      <w:r w:rsidR="00765FD3">
        <w:t>), mean (</w:t>
      </w:r>
      <w:r w:rsidR="00765FD3" w:rsidRPr="00765FD3">
        <w:rPr>
          <w:i/>
          <w:iCs/>
        </w:rPr>
        <w:t>M</w:t>
      </w:r>
      <w:r w:rsidR="00765FD3">
        <w:t>) and standard deviation (</w:t>
      </w:r>
      <w:r w:rsidR="00765FD3" w:rsidRPr="0060396A">
        <w:rPr>
          <w:i/>
          <w:iCs/>
        </w:rPr>
        <w:t>SD</w:t>
      </w:r>
      <w:r w:rsidR="00765FD3">
        <w:t>) for each condition</w:t>
      </w:r>
      <w:r w:rsidR="00C12487">
        <w:t xml:space="preserve"> and outcome variable at the post intervention time point. </w:t>
      </w:r>
      <w:r w:rsidR="00765FD3">
        <w:t xml:space="preserve">Sample sizes after exclusions for both conditions were reported in text: </w:t>
      </w:r>
      <w:r w:rsidR="00765FD3" w:rsidRPr="00765FD3">
        <w:t>“Participants were allocated randomly across two conditions denoted as distinction self as context (N= 18) and hierarchical self as context (N= 18).” (p. 375)</w:t>
      </w:r>
      <w:r w:rsidR="00765FD3">
        <w:t xml:space="preserve">. </w:t>
      </w:r>
    </w:p>
    <w:p w14:paraId="7E88A624" w14:textId="48B8BFDA" w:rsidR="00224726" w:rsidRDefault="003640EB" w:rsidP="00913A2E">
      <w:pPr>
        <w:ind w:firstLine="720"/>
      </w:pPr>
      <w:r>
        <w:t xml:space="preserve">Means </w:t>
      </w:r>
      <w:r w:rsidR="00FA2434">
        <w:t>for each timepoint were not reported in text</w:t>
      </w:r>
      <w:r>
        <w:t xml:space="preserve">, only approximate values for the baseline timepoint (e.g., “&lt;11”). </w:t>
      </w:r>
      <w:r w:rsidR="00330564">
        <w:t xml:space="preserve">However, </w:t>
      </w:r>
      <w:r w:rsidR="004618E0">
        <w:t xml:space="preserve">(a) </w:t>
      </w:r>
      <w:r w:rsidR="00330564">
        <w:t xml:space="preserve">change scores for both conditions </w:t>
      </w:r>
      <w:r w:rsidR="00BC7C21">
        <w:t xml:space="preserve">between the timepoints were reported in text </w:t>
      </w:r>
      <w:r w:rsidR="00330564">
        <w:t>(pp. 381-383)</w:t>
      </w:r>
      <w:r w:rsidR="004618E0">
        <w:t xml:space="preserve"> and (b) means were plotted in Figures 1 to 3. </w:t>
      </w:r>
      <w:r w:rsidR="002843B0">
        <w:t xml:space="preserve">I therefore extracted estimates of the means for each condition and timepoint from the plots. </w:t>
      </w:r>
      <w:r w:rsidR="002046D9">
        <w:t xml:space="preserve">Means for the post intervention timepoint were calculated in two different way to validate them against one another: using the mean for that timepoint extracted from the plots; and using the mean for the baseline timepoint adding the change scores between timepoints reported in text. Both results produced estimate that were all less than ±0.6 (on a 0 to 100 scale), suggesting that the extracted estimates are very close to the values used to generate the plots. </w:t>
      </w:r>
      <w:r w:rsidR="00211D20">
        <w:t xml:space="preserve">Given their </w:t>
      </w:r>
      <w:r w:rsidR="004E6D60">
        <w:t xml:space="preserve">extremely </w:t>
      </w:r>
      <w:r w:rsidR="00211D20">
        <w:t xml:space="preserve">high similarity, </w:t>
      </w:r>
      <w:r w:rsidR="002046D9">
        <w:t>I employ estimates</w:t>
      </w:r>
      <w:r w:rsidR="009A1602">
        <w:t xml:space="preserve"> obtained via </w:t>
      </w:r>
      <w:r w:rsidR="00232C4A">
        <w:t xml:space="preserve">just </w:t>
      </w:r>
      <w:r w:rsidR="002046D9">
        <w:t>the latter method for the below analyses</w:t>
      </w:r>
      <w:r w:rsidR="009A1602">
        <w:t xml:space="preserve">. </w:t>
      </w:r>
    </w:p>
    <w:p w14:paraId="7E19EF72" w14:textId="060FD1FD" w:rsidR="00084374" w:rsidRDefault="00AF3B43" w:rsidP="00FD3435">
      <w:pPr>
        <w:ind w:firstLine="720"/>
      </w:pPr>
      <w:r>
        <w:t>Standard deviations can be recalculated from both Confidence Intervals and Standard Errors of the Mean. However, the conversion formula depends on the type of the interval. Foody et al. (2013) do not report in their manuscript what the intervals in their Figures 1 to 3 represent, and the authors did not reply to my questions about this via email. In the absence of an answer</w:t>
      </w:r>
      <w:r w:rsidR="007E36A2">
        <w:t xml:space="preserve">, </w:t>
      </w:r>
      <w:r>
        <w:t xml:space="preserve">I calculated </w:t>
      </w:r>
      <w:r w:rsidR="00D97AD0">
        <w:t xml:space="preserve">both: </w:t>
      </w:r>
      <w:r>
        <w:t xml:space="preserve">two sets of Standard Deviations and analyses based on them, one </w:t>
      </w:r>
      <w:r w:rsidR="00FD3435">
        <w:t xml:space="preserve">assuming that they are 95% CIs and one assuming they are SEMs, with the intention of considering the plausibility of both sets of results. The </w:t>
      </w:r>
      <w:r w:rsidR="009507A4">
        <w:t xml:space="preserve">width of the intervals </w:t>
      </w:r>
      <w:r w:rsidR="00084374">
        <w:t xml:space="preserve">for both conditions in the post intervention time point were extracted from </w:t>
      </w:r>
      <w:r w:rsidR="004D1CB5">
        <w:t xml:space="preserve">Foody et al.’s (2013) </w:t>
      </w:r>
      <w:r w:rsidR="00084374">
        <w:t xml:space="preserve">Figures </w:t>
      </w:r>
      <w:r w:rsidR="004D1CB5">
        <w:t>1 to 3. N</w:t>
      </w:r>
      <w:r w:rsidR="00084374">
        <w:t>o intervals were reported numerically</w:t>
      </w:r>
      <w:r w:rsidR="004D1CB5">
        <w:t xml:space="preserve"> in their text</w:t>
      </w:r>
      <w:r w:rsidR="00084374">
        <w:t xml:space="preserve">. These intervals were converted to </w:t>
      </w:r>
      <w:r w:rsidR="008D77F9">
        <w:t>s</w:t>
      </w:r>
      <w:r w:rsidR="00084374">
        <w:t xml:space="preserve">tandard </w:t>
      </w:r>
      <w:r w:rsidR="008D77F9">
        <w:t>d</w:t>
      </w:r>
      <w:r w:rsidR="00084374">
        <w:t xml:space="preserve">eviations using </w:t>
      </w:r>
      <w:r w:rsidR="00D235AD">
        <w:t xml:space="preserve">both of </w:t>
      </w:r>
      <w:r w:rsidR="00084374">
        <w:t xml:space="preserve">the below equations, one assuming </w:t>
      </w:r>
      <w:r w:rsidR="00D235AD">
        <w:t xml:space="preserve">they are </w:t>
      </w:r>
      <w:r w:rsidR="00084374">
        <w:t xml:space="preserve">95% Confidence Intervals and one assuming that they are the Standard Error of the Mean. </w:t>
      </w:r>
      <w:r w:rsidR="00891A57">
        <w:t xml:space="preserve">The extracted means and recalculated standard deviations for each outcome variable in both conditions at the post intervention time point can be found in Table </w:t>
      </w:r>
      <w:r w:rsidR="003B7E83">
        <w:t>2</w:t>
      </w:r>
      <w:r w:rsidR="00891A57">
        <w:t xml:space="preserve">. </w:t>
      </w:r>
    </w:p>
    <w:p w14:paraId="4403F355" w14:textId="77777777" w:rsidR="00084374" w:rsidRDefault="00084374" w:rsidP="00084374">
      <w:pPr>
        <w:shd w:val="clear" w:color="auto" w:fill="FFFFFF"/>
        <w:rPr>
          <w:color w:val="2C3E50"/>
        </w:rPr>
      </w:pPr>
    </w:p>
    <w:p w14:paraId="669AD4B9" w14:textId="77777777" w:rsidR="00084374" w:rsidRPr="000316AC" w:rsidRDefault="00000000" w:rsidP="00084374">
      <w:pPr>
        <w:shd w:val="clear" w:color="auto" w:fill="FFFFFF"/>
      </w:pPr>
      <m:oMathPara>
        <m:oMath>
          <m:sSub>
            <m:sSubPr>
              <m:ctrlPr>
                <w:rPr>
                  <w:rFonts w:ascii="Cambria Math" w:hAnsi="Cambria Math"/>
                  <w:i/>
                </w:rPr>
              </m:ctrlPr>
            </m:sSubPr>
            <m:e>
              <m:r>
                <w:rPr>
                  <w:rFonts w:ascii="Cambria Math" w:hAnsi="Cambria Math"/>
                </w:rPr>
                <m:t>SD</m:t>
              </m:r>
            </m:e>
            <m:sub>
              <m:r>
                <w:rPr>
                  <w:rFonts w:ascii="Cambria Math" w:hAnsi="Cambria Math"/>
                </w:rPr>
                <m:t>95%CI</m:t>
              </m:r>
            </m:sub>
          </m:sSub>
          <m:r>
            <w:rPr>
              <w:rFonts w:ascii="Cambria Math" w:hAnsi="Cambria Math"/>
            </w:rPr>
            <m:t xml:space="preserve">= </m:t>
          </m:r>
          <m:f>
            <m:fPr>
              <m:ctrlPr>
                <w:rPr>
                  <w:rFonts w:ascii="Cambria Math" w:hAnsi="Cambria Math"/>
                  <w:i/>
                </w:rPr>
              </m:ctrlPr>
            </m:fPr>
            <m:num>
              <m:r>
                <w:rPr>
                  <w:rFonts w:ascii="Cambria Math" w:hAnsi="Cambria Math"/>
                </w:rPr>
                <m:t>interval width</m:t>
              </m:r>
            </m:num>
            <m:den>
              <m:r>
                <w:rPr>
                  <w:rFonts w:ascii="Cambria Math" w:hAnsi="Cambria Math"/>
                </w:rPr>
                <m:t>2*1.96</m:t>
              </m:r>
            </m:den>
          </m:f>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5CDFBD09" w14:textId="77777777" w:rsidR="00084374" w:rsidRDefault="00084374" w:rsidP="00084374">
      <w:pPr>
        <w:shd w:val="clear" w:color="auto" w:fill="FFFFFF"/>
        <w:rPr>
          <w:color w:val="2C3E50"/>
        </w:rPr>
      </w:pPr>
    </w:p>
    <w:p w14:paraId="0E63D777" w14:textId="77777777" w:rsidR="00084374" w:rsidRPr="000316AC" w:rsidRDefault="00000000" w:rsidP="00084374">
      <w:pPr>
        <w:shd w:val="clear" w:color="auto" w:fill="FFFFFF"/>
      </w:pPr>
      <m:oMathPara>
        <m:oMath>
          <m:sSub>
            <m:sSubPr>
              <m:ctrlPr>
                <w:rPr>
                  <w:rFonts w:ascii="Cambria Math" w:hAnsi="Cambria Math"/>
                  <w:i/>
                </w:rPr>
              </m:ctrlPr>
            </m:sSubPr>
            <m:e>
              <m:r>
                <w:rPr>
                  <w:rFonts w:ascii="Cambria Math" w:hAnsi="Cambria Math"/>
                </w:rPr>
                <m:t>SD</m:t>
              </m:r>
            </m:e>
            <m:sub>
              <m:r>
                <w:rPr>
                  <w:rFonts w:ascii="Cambria Math" w:hAnsi="Cambria Math"/>
                </w:rPr>
                <m:t>SEM</m:t>
              </m:r>
            </m:sub>
          </m:sSub>
          <m:r>
            <w:rPr>
              <w:rFonts w:ascii="Cambria Math" w:hAnsi="Cambria Math"/>
            </w:rPr>
            <m:t xml:space="preserve">= </m:t>
          </m:r>
          <m:f>
            <m:fPr>
              <m:ctrlPr>
                <w:rPr>
                  <w:rFonts w:ascii="Cambria Math" w:hAnsi="Cambria Math"/>
                  <w:i/>
                </w:rPr>
              </m:ctrlPr>
            </m:fPr>
            <m:num>
              <m:r>
                <w:rPr>
                  <w:rFonts w:ascii="Cambria Math" w:hAnsi="Cambria Math"/>
                </w:rPr>
                <m:t>interval width</m:t>
              </m:r>
            </m:num>
            <m:den>
              <m:r>
                <w:rPr>
                  <w:rFonts w:ascii="Cambria Math" w:hAnsi="Cambria Math"/>
                </w:rPr>
                <m:t>2</m:t>
              </m:r>
            </m:den>
          </m:f>
          <m:r>
            <w:rPr>
              <w:rFonts w:ascii="Cambria Math" w:hAnsi="Cambria Math"/>
            </w:rPr>
            <m:t>×</m:t>
          </m:r>
          <m:rad>
            <m:radPr>
              <m:degHide m:val="1"/>
              <m:ctrlPr>
                <w:rPr>
                  <w:rFonts w:ascii="Cambria Math" w:hAnsi="Cambria Math"/>
                  <w:i/>
                </w:rPr>
              </m:ctrlPr>
            </m:radPr>
            <m:deg/>
            <m:e>
              <m:r>
                <w:rPr>
                  <w:rFonts w:ascii="Cambria Math" w:hAnsi="Cambria Math"/>
                </w:rPr>
                <m:t>n</m:t>
              </m:r>
            </m:e>
          </m:rad>
        </m:oMath>
      </m:oMathPara>
    </w:p>
    <w:p w14:paraId="1FF856D2" w14:textId="09FE2F04" w:rsidR="00576F58" w:rsidRDefault="00576F58" w:rsidP="005813A5"/>
    <w:p w14:paraId="37795431" w14:textId="7F0A57C0" w:rsidR="00991169" w:rsidRDefault="00C11C44" w:rsidP="006A6CE3">
      <w:pPr>
        <w:pStyle w:val="Heading1"/>
      </w:pPr>
      <w:r>
        <w:t>Results</w:t>
      </w:r>
    </w:p>
    <w:p w14:paraId="6504C3BC" w14:textId="579F41B5" w:rsidR="0045646B" w:rsidRDefault="00C718FD" w:rsidP="00C718FD">
      <w:pPr>
        <w:pStyle w:val="Heading2"/>
      </w:pPr>
      <w:r>
        <w:t>Assessing differences between the conditions for each outcome variable</w:t>
      </w:r>
    </w:p>
    <w:p w14:paraId="69160DEE" w14:textId="73A8E639" w:rsidR="00C718FD" w:rsidRDefault="00C718FD" w:rsidP="00C718FD">
      <w:pPr>
        <w:ind w:firstLine="720"/>
      </w:pPr>
      <w:r>
        <w:t xml:space="preserve">The means, standard deviations, and sample sizes were then used to calculate independent Welch’s </w:t>
      </w:r>
      <w:r w:rsidRPr="00D65AC9">
        <w:rPr>
          <w:i/>
          <w:iCs/>
        </w:rPr>
        <w:t>t</w:t>
      </w:r>
      <w:r>
        <w:t xml:space="preserve">-tests. This was done by calculating the Standard Error of difference in means (SE), </w:t>
      </w:r>
      <w:r w:rsidRPr="00D65AC9">
        <w:rPr>
          <w:i/>
          <w:iCs/>
        </w:rPr>
        <w:t>t</w:t>
      </w:r>
      <w:r>
        <w:t xml:space="preserve"> value (</w:t>
      </w:r>
      <w:r w:rsidRPr="00D65AC9">
        <w:rPr>
          <w:i/>
          <w:iCs/>
        </w:rPr>
        <w:t>t</w:t>
      </w:r>
      <w:r w:rsidRPr="00D65AC9">
        <w:t>)</w:t>
      </w:r>
      <w:r>
        <w:t xml:space="preserve">, and degrees of freedom (df) using the below equations. </w:t>
      </w:r>
    </w:p>
    <w:p w14:paraId="31CE245F" w14:textId="77777777" w:rsidR="00C718FD" w:rsidRPr="00AD315C" w:rsidRDefault="00C718FD" w:rsidP="00C718FD">
      <w:pPr>
        <w:shd w:val="clear" w:color="auto" w:fill="FFFFFF"/>
        <w:rPr>
          <w:color w:val="2C3E50"/>
        </w:rPr>
      </w:pPr>
    </w:p>
    <w:p w14:paraId="4C561AFD" w14:textId="77777777" w:rsidR="00C718FD" w:rsidRPr="000316AC" w:rsidRDefault="00C718FD" w:rsidP="00C718FD">
      <w:pPr>
        <w:shd w:val="clear" w:color="auto" w:fill="FFFFFF"/>
      </w:pPr>
      <m:oMathPara>
        <m:oMath>
          <m:r>
            <w:rPr>
              <w:rFonts w:ascii="Cambria Math" w:hAnsi="Cambria Math"/>
            </w:rPr>
            <m:t xml:space="preserve">SE=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oMath>
      </m:oMathPara>
    </w:p>
    <w:p w14:paraId="1E564AE2" w14:textId="77777777" w:rsidR="00C718FD" w:rsidRDefault="00C718FD" w:rsidP="00C718FD">
      <w:pPr>
        <w:shd w:val="clear" w:color="auto" w:fill="FFFFFF"/>
        <w:rPr>
          <w:color w:val="2C3E50"/>
        </w:rPr>
      </w:pPr>
    </w:p>
    <w:p w14:paraId="6F8373F3" w14:textId="77777777" w:rsidR="00C718FD" w:rsidRPr="000316AC" w:rsidRDefault="00C718FD" w:rsidP="00C718FD">
      <w:pPr>
        <w:shd w:val="clear" w:color="auto" w:fill="FFFFFF"/>
      </w:pPr>
      <m:oMathPara>
        <m:oMath>
          <m:r>
            <w:rPr>
              <w:rFonts w:ascii="Cambria Math" w:hAnsi="Cambria Math"/>
            </w:rPr>
            <m:t>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SE</m:t>
              </m:r>
            </m:den>
          </m:f>
        </m:oMath>
      </m:oMathPara>
    </w:p>
    <w:p w14:paraId="210425CB" w14:textId="77777777" w:rsidR="00C718FD" w:rsidRDefault="00C718FD" w:rsidP="00C718FD">
      <w:pPr>
        <w:shd w:val="clear" w:color="auto" w:fill="FFFFFF"/>
        <w:rPr>
          <w:color w:val="2C3E50"/>
        </w:rPr>
      </w:pPr>
    </w:p>
    <w:p w14:paraId="372AA19B" w14:textId="77777777" w:rsidR="00C718FD" w:rsidRPr="000316AC" w:rsidRDefault="00C718FD" w:rsidP="00C718FD">
      <w:pPr>
        <w:shd w:val="clear" w:color="auto" w:fill="FFFFFF"/>
      </w:pPr>
      <m:oMathPara>
        <m:oMath>
          <m:r>
            <w:rPr>
              <w:rFonts w:ascii="Cambria Math" w:hAnsi="Cambria Math"/>
            </w:rPr>
            <m:t xml:space="preserve">df=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d>
                </m:e>
                <m:sup>
                  <m:r>
                    <w:rPr>
                      <w:rFonts w:ascii="Cambria Math" w:hAnsi="Cambria Math"/>
                    </w:rPr>
                    <m:t>2</m:t>
                  </m:r>
                </m:sup>
              </m:sSup>
            </m:num>
            <m:den>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den>
              </m:f>
            </m:den>
          </m:f>
        </m:oMath>
      </m:oMathPara>
    </w:p>
    <w:p w14:paraId="79868E5F" w14:textId="77777777" w:rsidR="00C718FD" w:rsidRDefault="00C718FD" w:rsidP="00C718FD">
      <w:pPr>
        <w:shd w:val="clear" w:color="auto" w:fill="FFFFFF"/>
        <w:rPr>
          <w:color w:val="2C3E50"/>
        </w:rPr>
      </w:pPr>
    </w:p>
    <w:p w14:paraId="3A10D543" w14:textId="77777777" w:rsidR="00C718FD" w:rsidRPr="00147454" w:rsidRDefault="00C718FD" w:rsidP="00C718FD">
      <w:pPr>
        <w:shd w:val="clear" w:color="auto" w:fill="FFFFFF"/>
        <w:ind w:firstLine="720"/>
      </w:pPr>
      <w:r w:rsidRPr="00147454">
        <w:t xml:space="preserve">Hedge’s </w:t>
      </w:r>
      <w:r w:rsidRPr="00147454">
        <w:rPr>
          <w:i/>
          <w:iCs/>
        </w:rPr>
        <w:t>g</w:t>
      </w:r>
      <w:r w:rsidRPr="00147454">
        <w:t xml:space="preserve"> effect size</w:t>
      </w:r>
      <w:r>
        <w:t xml:space="preserve">, a version of Cohen’s </w:t>
      </w:r>
      <w:r w:rsidRPr="005700F9">
        <w:rPr>
          <w:i/>
          <w:iCs/>
        </w:rPr>
        <w:t>d</w:t>
      </w:r>
      <w:r>
        <w:t xml:space="preserve"> with a bias correction for small sample sizes, </w:t>
      </w:r>
      <w:r w:rsidRPr="00147454">
        <w:t>was calculated using the following equation.</w:t>
      </w:r>
    </w:p>
    <w:p w14:paraId="32D243D5" w14:textId="77777777" w:rsidR="00C718FD" w:rsidRDefault="00C718FD" w:rsidP="00C718FD">
      <w:pPr>
        <w:shd w:val="clear" w:color="auto" w:fill="FFFFFF"/>
        <w:rPr>
          <w:color w:val="2C3E50"/>
        </w:rPr>
      </w:pPr>
    </w:p>
    <w:p w14:paraId="478109B6" w14:textId="77777777" w:rsidR="00C718FD" w:rsidRPr="000316AC" w:rsidRDefault="00C718FD" w:rsidP="00C718FD">
      <w:pPr>
        <w:shd w:val="clear" w:color="auto" w:fill="FFFFFF"/>
      </w:pPr>
      <m:oMathPara>
        <m:oMath>
          <m:r>
            <w:rPr>
              <w:rFonts w:ascii="Cambria Math" w:hAnsi="Cambria Math"/>
            </w:rPr>
            <m:t xml:space="preserve">g=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num>
                    <m:den>
                      <m:r>
                        <w:rPr>
                          <w:rFonts w:ascii="Cambria Math" w:hAnsi="Cambria Math"/>
                        </w:rPr>
                        <m:t>2</m:t>
                      </m:r>
                    </m:den>
                  </m:f>
                </m:e>
              </m:rad>
            </m:den>
          </m:f>
          <m:r>
            <w:rPr>
              <w:rFonts w:ascii="Cambria Math" w:hAnsi="Cambria Math"/>
            </w:rPr>
            <m:t xml:space="preserve"> ×  </m:t>
          </m:r>
          <m:d>
            <m:dPr>
              <m:ctrlPr>
                <w:rPr>
                  <w:rFonts w:ascii="Cambria Math" w:hAnsi="Cambria Math"/>
                  <w:i/>
                </w:rPr>
              </m:ctrlPr>
            </m:dPr>
            <m:e>
              <m:r>
                <w:rPr>
                  <w:rFonts w:ascii="Cambria Math" w:hAnsi="Cambria Math"/>
                </w:rPr>
                <m:t xml:space="preserve">1- </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e>
                      </m:d>
                      <m:r>
                        <w:rPr>
                          <w:rFonts w:ascii="Cambria Math" w:hAnsi="Cambria Math"/>
                        </w:rPr>
                        <m:t>-1</m:t>
                      </m:r>
                    </m:den>
                  </m:f>
                </m:e>
              </m:d>
            </m:e>
          </m:d>
        </m:oMath>
      </m:oMathPara>
    </w:p>
    <w:p w14:paraId="3C5E61F6" w14:textId="77777777" w:rsidR="00C718FD" w:rsidRDefault="00C718FD" w:rsidP="00C718FD"/>
    <w:p w14:paraId="0BE0E1DA" w14:textId="13A8AE93" w:rsidR="00C718FD" w:rsidRDefault="00C718FD" w:rsidP="00C718FD">
      <w:pPr>
        <w:ind w:firstLine="720"/>
      </w:pPr>
      <w:r w:rsidRPr="00147454">
        <w:rPr>
          <w:i/>
          <w:iCs/>
        </w:rPr>
        <w:t>p</w:t>
      </w:r>
      <w:r w:rsidRPr="00147454">
        <w:t xml:space="preserve"> values were calculated from the estimates of </w:t>
      </w:r>
      <w:r w:rsidRPr="00147454">
        <w:rPr>
          <w:i/>
          <w:iCs/>
        </w:rPr>
        <w:t>t</w:t>
      </w:r>
      <w:r w:rsidRPr="00147454">
        <w:t xml:space="preserve"> and df using the </w:t>
      </w:r>
      <w:r w:rsidRPr="00147454">
        <w:rPr>
          <w:i/>
          <w:iCs/>
        </w:rPr>
        <w:t>t</w:t>
      </w:r>
      <w:r w:rsidRPr="00147454">
        <w:t xml:space="preserve"> distribution. Finally, in order to correct for the familywise error rate, adjusted </w:t>
      </w:r>
      <w:r w:rsidRPr="00147454">
        <w:rPr>
          <w:i/>
          <w:iCs/>
        </w:rPr>
        <w:t>p</w:t>
      </w:r>
      <w:r w:rsidRPr="00147454">
        <w:t xml:space="preserve"> values </w:t>
      </w:r>
      <w:r w:rsidR="00D33DC2">
        <w:t>(</w:t>
      </w:r>
      <w:proofErr w:type="spellStart"/>
      <w:r w:rsidR="00D33DC2" w:rsidRPr="00D33DC2">
        <w:rPr>
          <w:i/>
          <w:iCs/>
        </w:rPr>
        <w:t>p</w:t>
      </w:r>
      <w:r w:rsidR="00D33DC2" w:rsidRPr="00D33DC2">
        <w:rPr>
          <w:vertAlign w:val="subscript"/>
        </w:rPr>
        <w:t>adj</w:t>
      </w:r>
      <w:proofErr w:type="spellEnd"/>
      <w:r w:rsidR="00D33DC2">
        <w:t xml:space="preserve">) </w:t>
      </w:r>
      <w:r w:rsidRPr="00147454">
        <w:t xml:space="preserve">were calculated using Holm corrections (see Table </w:t>
      </w:r>
      <w:r>
        <w:t>2</w:t>
      </w:r>
      <w:r w:rsidRPr="00147454">
        <w:t xml:space="preserve"> and Figure 1).</w:t>
      </w:r>
    </w:p>
    <w:p w14:paraId="493DED82" w14:textId="59648E9F" w:rsidR="00C11A5F" w:rsidRDefault="00C11A5F" w:rsidP="00C11A5F">
      <w:pPr>
        <w:pStyle w:val="Heading3"/>
      </w:pPr>
      <w:r>
        <w:t>Analyses assuming intervals represent 95% CIs</w:t>
      </w:r>
    </w:p>
    <w:p w14:paraId="1128149A" w14:textId="061D27B5" w:rsidR="006A6236" w:rsidRDefault="006A6236" w:rsidP="00C1400F">
      <w:pPr>
        <w:ind w:firstLine="720"/>
      </w:pPr>
      <w:r>
        <w:t xml:space="preserve">If we assume the intervals reported in Foody et al.’s (2013) plots represent </w:t>
      </w:r>
      <w:r w:rsidR="00C11A5F">
        <w:t>95% CIs</w:t>
      </w:r>
      <w:r>
        <w:t xml:space="preserve">, results demonstrated that </w:t>
      </w:r>
      <w:r w:rsidR="00FC4B54">
        <w:t>scores were significantly lower in the hierarchical condition than the distinction condition for discomfort (</w:t>
      </w:r>
      <w:r w:rsidR="00E86232" w:rsidRPr="00E86232">
        <w:rPr>
          <w:i/>
          <w:iCs/>
        </w:rPr>
        <w:t>p</w:t>
      </w:r>
      <w:r w:rsidR="00E86232">
        <w:t xml:space="preserve"> = </w:t>
      </w:r>
      <w:r w:rsidR="001A5315">
        <w:t>.005</w:t>
      </w:r>
      <w:r w:rsidR="00E86232">
        <w:t xml:space="preserve">, </w:t>
      </w:r>
      <w:proofErr w:type="spellStart"/>
      <w:r w:rsidR="00FC4B54" w:rsidRPr="00D33DC2">
        <w:rPr>
          <w:i/>
          <w:iCs/>
        </w:rPr>
        <w:t>p</w:t>
      </w:r>
      <w:r w:rsidR="00FC4B54" w:rsidRPr="00D33DC2">
        <w:rPr>
          <w:vertAlign w:val="subscript"/>
        </w:rPr>
        <w:t>adj</w:t>
      </w:r>
      <w:proofErr w:type="spellEnd"/>
      <w:r w:rsidR="00FC4B54">
        <w:t xml:space="preserve"> = .014) and stress (</w:t>
      </w:r>
      <w:r w:rsidR="001A5315" w:rsidRPr="00E86232">
        <w:rPr>
          <w:i/>
          <w:iCs/>
        </w:rPr>
        <w:t>p</w:t>
      </w:r>
      <w:r w:rsidR="001A5315">
        <w:t xml:space="preserve"> = .009, </w:t>
      </w:r>
      <w:proofErr w:type="spellStart"/>
      <w:r w:rsidR="00FC4B54" w:rsidRPr="00D33DC2">
        <w:rPr>
          <w:i/>
          <w:iCs/>
        </w:rPr>
        <w:t>p</w:t>
      </w:r>
      <w:r w:rsidR="00FC4B54" w:rsidRPr="00D33DC2">
        <w:rPr>
          <w:vertAlign w:val="subscript"/>
        </w:rPr>
        <w:t>adj</w:t>
      </w:r>
      <w:proofErr w:type="spellEnd"/>
      <w:r w:rsidR="00FC4B54">
        <w:t xml:space="preserve"> = .018), but no statistically </w:t>
      </w:r>
      <w:r w:rsidR="001A5315">
        <w:t>significant</w:t>
      </w:r>
      <w:r w:rsidR="00FC4B54">
        <w:t xml:space="preserve"> decreases were observed for anxiety (</w:t>
      </w:r>
      <w:r w:rsidR="001A5315" w:rsidRPr="00E86232">
        <w:rPr>
          <w:i/>
          <w:iCs/>
        </w:rPr>
        <w:t>p</w:t>
      </w:r>
      <w:r w:rsidR="001A5315">
        <w:t xml:space="preserve"> = .</w:t>
      </w:r>
      <w:r w:rsidR="00B841C8">
        <w:t>840</w:t>
      </w:r>
      <w:r w:rsidR="001A5315">
        <w:t xml:space="preserve">, </w:t>
      </w:r>
      <w:proofErr w:type="spellStart"/>
      <w:r w:rsidR="00FC4B54" w:rsidRPr="00D33DC2">
        <w:rPr>
          <w:i/>
          <w:iCs/>
        </w:rPr>
        <w:t>p</w:t>
      </w:r>
      <w:r w:rsidR="00FC4B54" w:rsidRPr="00D33DC2">
        <w:rPr>
          <w:vertAlign w:val="subscript"/>
        </w:rPr>
        <w:t>adj</w:t>
      </w:r>
      <w:proofErr w:type="spellEnd"/>
      <w:r w:rsidR="00FC4B54" w:rsidRPr="00FC4B54">
        <w:t xml:space="preserve"> </w:t>
      </w:r>
      <w:r w:rsidR="00FC4B54">
        <w:t>= .840</w:t>
      </w:r>
      <w:r w:rsidR="008C5BC8">
        <w:t>; see Table 2</w:t>
      </w:r>
      <w:r w:rsidR="00FC4B54" w:rsidRPr="00AE22C8">
        <w:t>)</w:t>
      </w:r>
      <w:r w:rsidR="00816752" w:rsidRPr="00AE22C8">
        <w:t xml:space="preserve">. </w:t>
      </w:r>
      <w:r w:rsidR="008C5BC8" w:rsidRPr="00AE22C8">
        <w:t>However, the effect size for discomfort and stress were so large</w:t>
      </w:r>
      <w:r w:rsidR="004E404E">
        <w:t xml:space="preserve"> </w:t>
      </w:r>
      <w:r w:rsidR="008C5BC8" w:rsidRPr="00AE22C8">
        <w:t xml:space="preserve">as to </w:t>
      </w:r>
      <w:r w:rsidR="00AE22C8" w:rsidRPr="00AE22C8">
        <w:t xml:space="preserve">possibly </w:t>
      </w:r>
      <w:r w:rsidR="008C5BC8" w:rsidRPr="00AE22C8">
        <w:t>raise questions about their credibility</w:t>
      </w:r>
      <w:r w:rsidR="004E404E">
        <w:t xml:space="preserve"> </w:t>
      </w:r>
      <w:r w:rsidR="004E404E" w:rsidRPr="00AE22C8">
        <w:t xml:space="preserve">(Hedges’ </w:t>
      </w:r>
      <w:r w:rsidR="004E404E" w:rsidRPr="00AE22C8">
        <w:rPr>
          <w:i/>
          <w:iCs/>
        </w:rPr>
        <w:t>g</w:t>
      </w:r>
      <w:r w:rsidR="004E404E" w:rsidRPr="00AE22C8">
        <w:t xml:space="preserve"> = 0.99 and 0.91, respectively)</w:t>
      </w:r>
      <w:r w:rsidR="004E404E">
        <w:t xml:space="preserve">. </w:t>
      </w:r>
      <w:r w:rsidR="004E404E">
        <w:t>This is especially the case when one considers that these effect sizes represent not merely the impact of the intervention but the differential impact between the two interventions</w:t>
      </w:r>
      <w:r w:rsidR="00AE22C8" w:rsidRPr="00AE22C8">
        <w:t xml:space="preserve"> </w:t>
      </w:r>
      <w:r w:rsidR="004E404E">
        <w:fldChar w:fldCharType="begin"/>
      </w:r>
      <w:r w:rsidR="004E404E">
        <w:instrText xml:space="preserve"> ADDIN ZOTERO_ITEM CSL_CITATION {"citationID":"YamHOSRw","properties":{"formattedCitation":"(for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404E">
        <w:fldChar w:fldCharType="separate"/>
      </w:r>
      <w:r w:rsidR="004E404E">
        <w:rPr>
          <w:noProof/>
        </w:rPr>
        <w:t>(for discussion of the plausibility of very large effect sizes see Funder &amp; Ozer, 2019; Hilgard, 2021)</w:t>
      </w:r>
      <w:r w:rsidR="004E404E">
        <w:fldChar w:fldCharType="end"/>
      </w:r>
      <w:r w:rsidR="004E404E">
        <w:t xml:space="preserve">. </w:t>
      </w:r>
    </w:p>
    <w:p w14:paraId="7DD63E49" w14:textId="16F83C70" w:rsidR="00151E63" w:rsidRDefault="00151E63" w:rsidP="00151E63">
      <w:pPr>
        <w:pStyle w:val="Heading3"/>
      </w:pPr>
      <w:r>
        <w:t xml:space="preserve">Analyses assuming intervals represent </w:t>
      </w:r>
      <w:r w:rsidR="007F3079">
        <w:t xml:space="preserve">the </w:t>
      </w:r>
      <w:r>
        <w:t>SEM</w:t>
      </w:r>
    </w:p>
    <w:p w14:paraId="5F6ED5D5" w14:textId="166309D7" w:rsidR="00742B1C" w:rsidRDefault="0050563E" w:rsidP="002301CC">
      <w:r>
        <w:t xml:space="preserve">If we assume the intervals reported in Foody et al.’s (2013) plots represent </w:t>
      </w:r>
      <w:r w:rsidR="004F3F4C">
        <w:t>the SEM</w:t>
      </w:r>
      <w:r>
        <w:t xml:space="preserve">, </w:t>
      </w:r>
      <w:r w:rsidR="00EB6F56">
        <w:t xml:space="preserve">no </w:t>
      </w:r>
      <w:r w:rsidR="00FC4FB9">
        <w:t>significant</w:t>
      </w:r>
      <w:r w:rsidR="00EB6F56">
        <w:t xml:space="preserve"> </w:t>
      </w:r>
      <w:r w:rsidR="00FC4FB9">
        <w:t>differences</w:t>
      </w:r>
      <w:r w:rsidR="00EB6F56">
        <w:t xml:space="preserve"> were found between the conditions on any of the outcome variables: </w:t>
      </w:r>
      <w:r>
        <w:t>discomfort (</w:t>
      </w:r>
      <w:r w:rsidR="002301CC" w:rsidRPr="00E86232">
        <w:rPr>
          <w:i/>
          <w:iCs/>
        </w:rPr>
        <w:t>p</w:t>
      </w:r>
      <w:r w:rsidR="002301CC">
        <w:t xml:space="preserve"> = .131, </w:t>
      </w:r>
      <w:proofErr w:type="spellStart"/>
      <w:r w:rsidR="002301CC" w:rsidRPr="00D33DC2">
        <w:rPr>
          <w:i/>
          <w:iCs/>
        </w:rPr>
        <w:t>p</w:t>
      </w:r>
      <w:r w:rsidR="002301CC" w:rsidRPr="00D33DC2">
        <w:rPr>
          <w:vertAlign w:val="subscript"/>
        </w:rPr>
        <w:t>adj</w:t>
      </w:r>
      <w:proofErr w:type="spellEnd"/>
      <w:r w:rsidR="002301CC">
        <w:t xml:space="preserve"> =.392</w:t>
      </w:r>
      <w:r>
        <w:t>)</w:t>
      </w:r>
      <w:r w:rsidR="00EB6F56">
        <w:t xml:space="preserve">, </w:t>
      </w:r>
      <w:r>
        <w:t>stress (</w:t>
      </w:r>
      <w:r w:rsidR="002301CC" w:rsidRPr="00E86232">
        <w:rPr>
          <w:i/>
          <w:iCs/>
        </w:rPr>
        <w:t>p</w:t>
      </w:r>
      <w:r w:rsidR="002301CC">
        <w:t xml:space="preserve"> = .918, </w:t>
      </w:r>
      <w:proofErr w:type="spellStart"/>
      <w:r w:rsidR="002301CC" w:rsidRPr="00D33DC2">
        <w:rPr>
          <w:i/>
          <w:iCs/>
        </w:rPr>
        <w:t>p</w:t>
      </w:r>
      <w:r w:rsidR="002301CC" w:rsidRPr="00D33DC2">
        <w:rPr>
          <w:vertAlign w:val="subscript"/>
        </w:rPr>
        <w:t>adj</w:t>
      </w:r>
      <w:proofErr w:type="spellEnd"/>
      <w:r w:rsidR="002301CC">
        <w:t xml:space="preserve"> =.918</w:t>
      </w:r>
      <w:r>
        <w:t xml:space="preserve">), </w:t>
      </w:r>
      <w:r w:rsidR="00EB6F56">
        <w:t xml:space="preserve">and </w:t>
      </w:r>
      <w:r>
        <w:t>anxiety (</w:t>
      </w:r>
      <w:r w:rsidR="002301CC" w:rsidRPr="00E86232">
        <w:rPr>
          <w:i/>
          <w:iCs/>
        </w:rPr>
        <w:t>p</w:t>
      </w:r>
      <w:r w:rsidR="002301CC">
        <w:t xml:space="preserve"> = .166, </w:t>
      </w:r>
      <w:proofErr w:type="spellStart"/>
      <w:r w:rsidR="002301CC" w:rsidRPr="00D33DC2">
        <w:rPr>
          <w:i/>
          <w:iCs/>
        </w:rPr>
        <w:t>p</w:t>
      </w:r>
      <w:r w:rsidR="002301CC" w:rsidRPr="00D33DC2">
        <w:rPr>
          <w:vertAlign w:val="subscript"/>
        </w:rPr>
        <w:t>adj</w:t>
      </w:r>
      <w:proofErr w:type="spellEnd"/>
      <w:r w:rsidR="002301CC">
        <w:t xml:space="preserve"> =.392</w:t>
      </w:r>
      <w:r>
        <w:t>; see Table 2).</w:t>
      </w:r>
    </w:p>
    <w:p w14:paraId="568B9BA4" w14:textId="3F96F276" w:rsidR="00765A39" w:rsidRDefault="00042F0C" w:rsidP="00034F46">
      <w:pPr>
        <w:pStyle w:val="Heading3"/>
      </w:pPr>
      <w:r>
        <w:t>Differences</w:t>
      </w:r>
      <w:r w:rsidR="00765A39">
        <w:t xml:space="preserve"> in </w:t>
      </w:r>
      <w:r>
        <w:t>differences</w:t>
      </w:r>
    </w:p>
    <w:p w14:paraId="50FE0460" w14:textId="79243D58" w:rsidR="00B65573" w:rsidRDefault="00ED2A8E" w:rsidP="007E646A">
      <w:pPr>
        <w:ind w:firstLine="720"/>
      </w:pPr>
      <w:r>
        <w:t xml:space="preserve">If we assume that </w:t>
      </w:r>
      <w:r>
        <w:t>the intervals reported in Foody et al.’s (2013) plots represent 95% CIs,</w:t>
      </w:r>
      <w:r>
        <w:t xml:space="preserve"> results present an unclear picture: statistically significant differences were found between the conditions on discomfort and stress but not anxiety. </w:t>
      </w:r>
      <w:r w:rsidR="00113CCA">
        <w:t xml:space="preserve">It is important to appreciate that this does not mean that differential effects were observed between the outcome variables, as the difference between significant and non-significant is not necessarily itself significant </w:t>
      </w:r>
      <w:r w:rsidR="00113CCA">
        <w:fldChar w:fldCharType="begin"/>
      </w:r>
      <w:r w:rsidR="00113CCA">
        <w:instrText xml:space="preserve"> ADDIN ZOTERO_ITEM CSL_CITATION {"citationID":"9aEesv8w","properties":{"formattedCitation":"(Gelman &amp; Stern, 2006)","plainCitation":"(Gelman &amp; Stern, 2006)","noteIndex":0},"citationItems":[{"id":4579,"uris":["http://zotero.org/users/1687755/items/FQETENZX"],"itemData":{"id":4579,"type":"article-journal","container-title":"The American Statistician","DOI":"10.1198/000313006X152649","ISSN":"0003-1305, 1537-2731","issue":"4","language":"en","page":"328-331","source":"CrossRef","title":"The Difference Between “Significant” and “Not Significant” is not Itself Statistically Significant","volume":"60","author":[{"family":"Gelman","given":"Andrew"},{"family":"Stern","given":"Hal"}],"issued":{"date-parts":[["2006",11]]}}}],"schema":"https://github.com/citation-style-language/schema/raw/master/csl-citation.json"} </w:instrText>
      </w:r>
      <w:r w:rsidR="00113CCA">
        <w:fldChar w:fldCharType="separate"/>
      </w:r>
      <w:r w:rsidR="00113CCA">
        <w:rPr>
          <w:noProof/>
        </w:rPr>
        <w:t>(Gelman &amp; Stern, 2006)</w:t>
      </w:r>
      <w:r w:rsidR="00113CCA">
        <w:fldChar w:fldCharType="end"/>
      </w:r>
      <w:r w:rsidR="00113CCA">
        <w:t xml:space="preserve">. </w:t>
      </w:r>
      <w:r w:rsidR="00F21074">
        <w:t xml:space="preserve">Put another way, if we want to conclude that that the interventions produced differential outcomes between the three outcome measures, this would need to be tested directly. </w:t>
      </w:r>
      <w:r w:rsidR="00113CCA">
        <w:t xml:space="preserve">I did this by converting </w:t>
      </w:r>
      <w:r w:rsidR="00B65573">
        <w:t xml:space="preserve">the </w:t>
      </w:r>
      <w:r w:rsidR="00113CCA">
        <w:t xml:space="preserve">Hedges’ </w:t>
      </w:r>
      <w:r w:rsidR="00B65573" w:rsidRPr="00B65573">
        <w:rPr>
          <w:i/>
          <w:iCs/>
        </w:rPr>
        <w:t>g</w:t>
      </w:r>
      <w:r w:rsidR="00113CCA">
        <w:t xml:space="preserve"> </w:t>
      </w:r>
      <w:r w:rsidR="00B65573">
        <w:t xml:space="preserve">effect sizes and their confidence intervals for each outcome measure to pairwise </w:t>
      </w:r>
      <w:r w:rsidR="00B65573">
        <w:rPr>
          <w:i/>
          <w:iCs/>
        </w:rPr>
        <w:t>Z</w:t>
      </w:r>
      <w:r w:rsidR="00B65573">
        <w:t xml:space="preserve"> scores using the below equation. </w:t>
      </w:r>
      <w:r w:rsidR="00B65573" w:rsidRPr="00B65573">
        <w:rPr>
          <w:i/>
          <w:iCs/>
        </w:rPr>
        <w:t>Z</w:t>
      </w:r>
      <w:r w:rsidR="00B65573">
        <w:t xml:space="preserve"> scores were then converted </w:t>
      </w:r>
      <w:proofErr w:type="spellStart"/>
      <w:r w:rsidR="00B65573">
        <w:t xml:space="preserve">to </w:t>
      </w:r>
      <w:r w:rsidR="00B65573" w:rsidRPr="00B65573">
        <w:rPr>
          <w:i/>
          <w:iCs/>
        </w:rPr>
        <w:t>p</w:t>
      </w:r>
      <w:proofErr w:type="spellEnd"/>
      <w:r w:rsidR="00B65573">
        <w:t xml:space="preserve"> values. </w:t>
      </w:r>
    </w:p>
    <w:p w14:paraId="7E524191" w14:textId="77777777" w:rsidR="007E646A" w:rsidRDefault="007E646A" w:rsidP="007E646A">
      <w:pPr>
        <w:ind w:firstLine="720"/>
      </w:pPr>
    </w:p>
    <w:p w14:paraId="0330C5CC" w14:textId="456BE920" w:rsidR="00B65573" w:rsidRPr="000316AC" w:rsidRDefault="00B65573" w:rsidP="00B65573">
      <w:pPr>
        <w:shd w:val="clear" w:color="auto" w:fill="FFFFFF"/>
      </w:pPr>
      <m:oMathPara>
        <m:oMath>
          <m:r>
            <w:rPr>
              <w:rFonts w:ascii="Cambria Math" w:hAnsi="Cambria Math"/>
            </w:rPr>
            <m:t>Z</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num>
            <m:den>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g</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2</m:t>
                      </m:r>
                    </m:sub>
                    <m:sup>
                      <m:r>
                        <w:rPr>
                          <w:rFonts w:ascii="Cambria Math" w:hAnsi="Cambria Math"/>
                        </w:rPr>
                        <m:t>2</m:t>
                      </m:r>
                    </m:sup>
                  </m:sSubSup>
                </m:e>
              </m:rad>
            </m:den>
          </m:f>
        </m:oMath>
      </m:oMathPara>
    </w:p>
    <w:p w14:paraId="71546917" w14:textId="77777777" w:rsidR="00113CCA" w:rsidRDefault="00113CCA" w:rsidP="00113CCA"/>
    <w:p w14:paraId="5BC1F5B1" w14:textId="3D4559F2" w:rsidR="00FF6333" w:rsidRDefault="007E646A" w:rsidP="007E646A">
      <w:pPr>
        <w:ind w:firstLine="720"/>
      </w:pPr>
      <w:r>
        <w:t>No differences were found in any of the pairwise comparisons: d</w:t>
      </w:r>
      <w:r w:rsidR="00113CCA" w:rsidRPr="00D35CD7">
        <w:t>iscomfort vs. </w:t>
      </w:r>
      <w:r>
        <w:t>a</w:t>
      </w:r>
      <w:r w:rsidR="00113CCA" w:rsidRPr="00D35CD7">
        <w:t>nxiety</w:t>
      </w:r>
      <w:r>
        <w:t xml:space="preserve">, </w:t>
      </w:r>
      <w:r w:rsidRPr="007E646A">
        <w:rPr>
          <w:i/>
          <w:iCs/>
        </w:rPr>
        <w:t>p</w:t>
      </w:r>
      <w:r w:rsidRPr="007E646A">
        <w:t xml:space="preserve"> = .361</w:t>
      </w:r>
      <w:r>
        <w:t>; d</w:t>
      </w:r>
      <w:r w:rsidRPr="007E646A">
        <w:t xml:space="preserve">iscomfort vs. </w:t>
      </w:r>
      <w:r>
        <w:t>s</w:t>
      </w:r>
      <w:r w:rsidRPr="007E646A">
        <w:t>tress</w:t>
      </w:r>
      <w:r>
        <w:t>,</w:t>
      </w:r>
      <w:r w:rsidRPr="007E646A">
        <w:t xml:space="preserve"> </w:t>
      </w:r>
      <w:r w:rsidRPr="007E646A">
        <w:rPr>
          <w:i/>
          <w:iCs/>
        </w:rPr>
        <w:t>p</w:t>
      </w:r>
      <w:r w:rsidRPr="007E646A">
        <w:t xml:space="preserve"> = .999</w:t>
      </w:r>
      <w:r>
        <w:t>; a</w:t>
      </w:r>
      <w:r w:rsidRPr="007E646A">
        <w:t>nxiety vs.</w:t>
      </w:r>
      <w:r>
        <w:t xml:space="preserve"> s</w:t>
      </w:r>
      <w:r w:rsidRPr="007E646A">
        <w:t xml:space="preserve">tress </w:t>
      </w:r>
      <w:r w:rsidRPr="007E646A">
        <w:rPr>
          <w:i/>
          <w:iCs/>
        </w:rPr>
        <w:t>p</w:t>
      </w:r>
      <w:r w:rsidRPr="007E646A">
        <w:t xml:space="preserve"> = .361</w:t>
      </w:r>
      <w:r>
        <w:t>.</w:t>
      </w:r>
      <w:r w:rsidR="00674A25">
        <w:t xml:space="preserve"> Foody et al.’s (2013) results therefore cannot be interpreted as evidence of differential impact of the interventions between the three outcome variables</w:t>
      </w:r>
      <w:r w:rsidR="00FF6333">
        <w:t xml:space="preserve">. </w:t>
      </w:r>
    </w:p>
    <w:p w14:paraId="5D4DFFC2" w14:textId="77777777" w:rsidR="00FF6333" w:rsidRDefault="00FF6333" w:rsidP="007E646A">
      <w:pPr>
        <w:ind w:firstLine="720"/>
      </w:pPr>
    </w:p>
    <w:p w14:paraId="4CFEE430" w14:textId="77777777" w:rsidR="00113CCA" w:rsidRDefault="00113CCA" w:rsidP="00ED2A8E">
      <w:pPr>
        <w:ind w:firstLine="720"/>
      </w:pPr>
    </w:p>
    <w:p w14:paraId="36581524" w14:textId="4D6A7E33" w:rsidR="00765A39" w:rsidRDefault="00765A39" w:rsidP="00765A39">
      <w:pPr>
        <w:ind w:firstLine="720"/>
      </w:pPr>
      <w:r>
        <w:t xml:space="preserve">Foody et al. (2013) describe their three ad hoc </w:t>
      </w:r>
      <w:r w:rsidR="000939B2">
        <w:t>visual analogue scales</w:t>
      </w:r>
      <w:r>
        <w:t xml:space="preserve"> as being measures of “Distress”. Whether or not it is appropriate to treat these three ad hoc measures as valid measures of a latent “Distress” variable cannot be answered  based on the summary statistics alone and would require separate prior measure validation. Putting this measurement question aside and assuming that Foody et al. (2013) are correct that their </w:t>
      </w:r>
      <w:r w:rsidR="000939B2">
        <w:t xml:space="preserve">visual analogue scales </w:t>
      </w:r>
      <w:r>
        <w:t>are valid measures of distress, the mixed findings between the measures present an issue for the interpretation of the results.</w:t>
      </w:r>
    </w:p>
    <w:p w14:paraId="35270E30" w14:textId="77777777" w:rsidR="00765A39" w:rsidRDefault="00765A39" w:rsidP="005A0EF9"/>
    <w:p w14:paraId="33983C62" w14:textId="77777777" w:rsidR="00765A39" w:rsidRDefault="00765A39" w:rsidP="005A0EF9"/>
    <w:p w14:paraId="3519A3CB" w14:textId="58423F1E" w:rsidR="00765A39" w:rsidRDefault="00446BA1" w:rsidP="00446BA1">
      <w:pPr>
        <w:pStyle w:val="Heading2"/>
      </w:pPr>
      <w:r>
        <w:t>Assessing differences between the conditions for a pooled outcome variable</w:t>
      </w:r>
    </w:p>
    <w:p w14:paraId="4D45269C" w14:textId="77777777" w:rsidR="00C718FD" w:rsidRDefault="00C718FD" w:rsidP="00C718FD">
      <w:r>
        <w:tab/>
        <w:t xml:space="preserve">As discussed previously, Foody et al. (2013) make claims in their abstract and discussion regarding the superiority of the hierarchical intervention over the distinction intervention with regard to decreasing distress in general. It is therefore useful to also construct a single hypothesis test that </w:t>
      </w:r>
    </w:p>
    <w:p w14:paraId="70E71446" w14:textId="77777777" w:rsidR="00C718FD" w:rsidRDefault="00C718FD" w:rsidP="00C718FD"/>
    <w:p w14:paraId="6C01A6F5" w14:textId="77777777" w:rsidR="00C718FD" w:rsidRDefault="00000000" w:rsidP="00C718FD">
      <m:oMathPara>
        <m:oMath>
          <m:sSub>
            <m:sSubPr>
              <m:ctrlPr>
                <w:rPr>
                  <w:rFonts w:ascii="Cambria Math" w:hAnsi="Cambria Math"/>
                  <w:i/>
                </w:rPr>
              </m:ctrlPr>
            </m:sSubPr>
            <m:e>
              <m:r>
                <w:rPr>
                  <w:rFonts w:ascii="Cambria Math" w:hAnsi="Cambria Math"/>
                </w:rPr>
                <m:t>SD</m:t>
              </m:r>
            </m:e>
            <m:sub>
              <m:r>
                <w:rPr>
                  <w:rFonts w:ascii="Cambria Math" w:hAnsi="Cambria Math"/>
                </w:rPr>
                <m:t>pooled</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SD</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SD</m:t>
                      </m:r>
                    </m:e>
                    <m:sub>
                      <m:r>
                        <w:rPr>
                          <w:rFonts w:ascii="Cambria Math" w:hAnsi="Cambria Math"/>
                        </w:rPr>
                        <m:t>3</m:t>
                      </m:r>
                    </m:sub>
                    <m:sup>
                      <m:r>
                        <w:rPr>
                          <w:rFonts w:ascii="Cambria Math" w:hAnsi="Cambria Math"/>
                        </w:rPr>
                        <m:t>2</m:t>
                      </m:r>
                    </m:sup>
                  </m:sSubSup>
                </m:num>
                <m:den>
                  <m:r>
                    <w:rPr>
                      <w:rFonts w:ascii="Cambria Math" w:hAnsi="Cambria Math"/>
                    </w:rPr>
                    <m:t>3</m:t>
                  </m:r>
                </m:den>
              </m:f>
            </m:e>
          </m:rad>
        </m:oMath>
      </m:oMathPara>
    </w:p>
    <w:p w14:paraId="1EF8ED64" w14:textId="77777777" w:rsidR="00991169" w:rsidRDefault="00991169" w:rsidP="00B5669C"/>
    <w:p w14:paraId="41CCEF1E" w14:textId="3961B522" w:rsidR="00576F58" w:rsidRDefault="00576F58" w:rsidP="00576F58">
      <w:r w:rsidRPr="00DA14AA">
        <w:rPr>
          <w:b/>
          <w:bCs/>
        </w:rPr>
        <w:t xml:space="preserve">Table </w:t>
      </w:r>
      <w:r w:rsidR="003B7E83">
        <w:rPr>
          <w:b/>
          <w:bCs/>
        </w:rPr>
        <w:t>2</w:t>
      </w:r>
      <w:r w:rsidRPr="00DA14AA">
        <w:rPr>
          <w:b/>
          <w:bCs/>
        </w:rPr>
        <w:t>.</w:t>
      </w:r>
      <w:r>
        <w:t xml:space="preserve"> Independent Welch’s </w:t>
      </w:r>
      <w:r w:rsidRPr="00F3010F">
        <w:rPr>
          <w:i/>
          <w:iCs/>
        </w:rPr>
        <w:t>t</w:t>
      </w:r>
      <w:r>
        <w:t xml:space="preserve">-tests comparing the hierarchical and distinction conditions at the post intervention time point. Adjusted </w:t>
      </w:r>
      <w:r w:rsidRPr="00F3010F">
        <w:rPr>
          <w:i/>
          <w:iCs/>
        </w:rPr>
        <w:t>p</w:t>
      </w:r>
      <w:r>
        <w:t xml:space="preserve"> values using Holm corrections.</w:t>
      </w:r>
      <w:r w:rsidR="00364AE9">
        <w:t xml:space="preserve"> </w:t>
      </w:r>
      <w:r w:rsidR="007E681D">
        <w:t>Results calculated assuming that the intervals reported in Foody et al.’s (2013) plots represent 95% C</w:t>
      </w:r>
      <w:r w:rsidR="00D2051F">
        <w:t xml:space="preserve">onfidence </w:t>
      </w:r>
      <w:r w:rsidR="007E681D">
        <w:t>I</w:t>
      </w:r>
      <w:r w:rsidR="00D2051F">
        <w:t>ntervals</w:t>
      </w:r>
      <w:r w:rsidR="007E681D">
        <w:t xml:space="preserve"> or the S</w:t>
      </w:r>
      <w:r w:rsidR="00943221">
        <w:t xml:space="preserve">tandard </w:t>
      </w:r>
      <w:r w:rsidR="007E681D">
        <w:t>E</w:t>
      </w:r>
      <w:r w:rsidR="00943221">
        <w:t xml:space="preserve">rror of the </w:t>
      </w:r>
      <w:r w:rsidR="007E681D">
        <w:t>M</w:t>
      </w:r>
      <w:r w:rsidR="00943221">
        <w:t>ean</w:t>
      </w:r>
      <w:r w:rsidR="007E681D">
        <w:t>.</w:t>
      </w:r>
    </w:p>
    <w:p w14:paraId="6DFE1841" w14:textId="77777777" w:rsidR="00576F58" w:rsidRDefault="00576F58" w:rsidP="00576F58"/>
    <w:tbl>
      <w:tblPr>
        <w:tblW w:w="8910" w:type="dxa"/>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3"/>
        <w:gridCol w:w="1083"/>
        <w:gridCol w:w="541"/>
        <w:gridCol w:w="542"/>
        <w:gridCol w:w="631"/>
        <w:gridCol w:w="542"/>
        <w:gridCol w:w="992"/>
        <w:gridCol w:w="722"/>
        <w:gridCol w:w="722"/>
        <w:gridCol w:w="541"/>
        <w:gridCol w:w="611"/>
        <w:gridCol w:w="540"/>
        <w:gridCol w:w="540"/>
      </w:tblGrid>
      <w:tr w:rsidR="00B26578" w:rsidRPr="00887AB3" w14:paraId="3133085B" w14:textId="77777777" w:rsidTr="003E7D53">
        <w:trPr>
          <w:trHeight w:val="247"/>
          <w:tblHeader/>
        </w:trPr>
        <w:tc>
          <w:tcPr>
            <w:tcW w:w="903" w:type="dxa"/>
            <w:shd w:val="clear" w:color="auto" w:fill="FFFFFF"/>
            <w:vAlign w:val="center"/>
          </w:tcPr>
          <w:p w14:paraId="49EB2172" w14:textId="77777777" w:rsidR="00B26578" w:rsidRPr="00887AB3" w:rsidRDefault="00B26578" w:rsidP="003E7D53">
            <w:pPr>
              <w:pStyle w:val="table"/>
            </w:pPr>
          </w:p>
        </w:tc>
        <w:tc>
          <w:tcPr>
            <w:tcW w:w="1083" w:type="dxa"/>
            <w:shd w:val="clear" w:color="auto" w:fill="FFFFFF"/>
            <w:tcMar>
              <w:top w:w="0" w:type="dxa"/>
              <w:left w:w="75" w:type="dxa"/>
              <w:bottom w:w="0" w:type="dxa"/>
              <w:right w:w="75" w:type="dxa"/>
            </w:tcMar>
            <w:vAlign w:val="center"/>
          </w:tcPr>
          <w:p w14:paraId="47F564F5" w14:textId="1B29B986" w:rsidR="00B26578" w:rsidRPr="00887AB3" w:rsidRDefault="00B26578" w:rsidP="003E7D53">
            <w:pPr>
              <w:pStyle w:val="table"/>
            </w:pPr>
          </w:p>
        </w:tc>
        <w:tc>
          <w:tcPr>
            <w:tcW w:w="1083" w:type="dxa"/>
            <w:gridSpan w:val="2"/>
            <w:tcBorders>
              <w:bottom w:val="single" w:sz="4" w:space="0" w:color="auto"/>
            </w:tcBorders>
            <w:shd w:val="clear" w:color="auto" w:fill="FFFFFF"/>
            <w:vAlign w:val="center"/>
          </w:tcPr>
          <w:p w14:paraId="2C2EE1D9" w14:textId="64969426" w:rsidR="00B26578" w:rsidRPr="00887AB3" w:rsidRDefault="00B26578" w:rsidP="003E7D53">
            <w:pPr>
              <w:pStyle w:val="table"/>
              <w:jc w:val="center"/>
            </w:pPr>
            <w:r>
              <w:t>Distinction</w:t>
            </w:r>
          </w:p>
        </w:tc>
        <w:tc>
          <w:tcPr>
            <w:tcW w:w="1173" w:type="dxa"/>
            <w:gridSpan w:val="2"/>
            <w:tcBorders>
              <w:bottom w:val="single" w:sz="4" w:space="0" w:color="auto"/>
            </w:tcBorders>
            <w:shd w:val="clear" w:color="auto" w:fill="FFFFFF"/>
            <w:vAlign w:val="center"/>
          </w:tcPr>
          <w:p w14:paraId="1D9B0951" w14:textId="77777777" w:rsidR="00B26578" w:rsidRPr="00887AB3" w:rsidRDefault="00B26578" w:rsidP="003E7D53">
            <w:pPr>
              <w:pStyle w:val="table"/>
              <w:jc w:val="center"/>
            </w:pPr>
            <w:r>
              <w:t>Hierarchy</w:t>
            </w:r>
          </w:p>
        </w:tc>
        <w:tc>
          <w:tcPr>
            <w:tcW w:w="992" w:type="dxa"/>
            <w:shd w:val="clear" w:color="auto" w:fill="FFFFFF"/>
            <w:tcMar>
              <w:top w:w="0" w:type="dxa"/>
              <w:left w:w="75" w:type="dxa"/>
              <w:bottom w:w="0" w:type="dxa"/>
              <w:right w:w="75" w:type="dxa"/>
            </w:tcMar>
            <w:vAlign w:val="center"/>
          </w:tcPr>
          <w:p w14:paraId="5FC126D7" w14:textId="77777777" w:rsidR="00B26578" w:rsidRPr="00887AB3" w:rsidRDefault="00B26578" w:rsidP="003E7D53">
            <w:pPr>
              <w:pStyle w:val="table"/>
              <w:jc w:val="center"/>
            </w:pPr>
          </w:p>
        </w:tc>
        <w:tc>
          <w:tcPr>
            <w:tcW w:w="1444"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0FFBEBB6" w14:textId="77777777" w:rsidR="00B26578" w:rsidRPr="00887AB3" w:rsidRDefault="00B26578" w:rsidP="003E7D53">
            <w:pPr>
              <w:pStyle w:val="table"/>
              <w:jc w:val="center"/>
            </w:pPr>
            <w:r w:rsidRPr="00887AB3">
              <w:t>95% CI</w:t>
            </w:r>
          </w:p>
        </w:tc>
        <w:tc>
          <w:tcPr>
            <w:tcW w:w="541" w:type="dxa"/>
            <w:shd w:val="clear" w:color="auto" w:fill="FFFFFF"/>
            <w:tcMar>
              <w:top w:w="0" w:type="dxa"/>
              <w:left w:w="75" w:type="dxa"/>
              <w:bottom w:w="0" w:type="dxa"/>
              <w:right w:w="75" w:type="dxa"/>
            </w:tcMar>
            <w:vAlign w:val="center"/>
          </w:tcPr>
          <w:p w14:paraId="4E8E6448" w14:textId="77777777" w:rsidR="00B26578" w:rsidRPr="00887AB3" w:rsidRDefault="00B26578" w:rsidP="003E7D53">
            <w:pPr>
              <w:pStyle w:val="table"/>
              <w:jc w:val="center"/>
            </w:pPr>
          </w:p>
        </w:tc>
        <w:tc>
          <w:tcPr>
            <w:tcW w:w="611" w:type="dxa"/>
            <w:shd w:val="clear" w:color="auto" w:fill="FFFFFF"/>
            <w:tcMar>
              <w:top w:w="0" w:type="dxa"/>
              <w:left w:w="75" w:type="dxa"/>
              <w:bottom w:w="0" w:type="dxa"/>
              <w:right w:w="75" w:type="dxa"/>
            </w:tcMar>
            <w:vAlign w:val="center"/>
          </w:tcPr>
          <w:p w14:paraId="47A9FCB7" w14:textId="77777777" w:rsidR="00B26578" w:rsidRPr="00887AB3" w:rsidRDefault="00B26578" w:rsidP="003E7D53">
            <w:pPr>
              <w:pStyle w:val="table"/>
              <w:jc w:val="center"/>
            </w:pPr>
          </w:p>
        </w:tc>
        <w:tc>
          <w:tcPr>
            <w:tcW w:w="540" w:type="dxa"/>
            <w:shd w:val="clear" w:color="auto" w:fill="FFFFFF"/>
            <w:tcMar>
              <w:top w:w="0" w:type="dxa"/>
              <w:left w:w="75" w:type="dxa"/>
              <w:bottom w:w="0" w:type="dxa"/>
              <w:right w:w="75" w:type="dxa"/>
            </w:tcMar>
            <w:vAlign w:val="center"/>
          </w:tcPr>
          <w:p w14:paraId="5F50DB29" w14:textId="77777777" w:rsidR="00B26578" w:rsidRPr="00887AB3" w:rsidRDefault="00B26578" w:rsidP="003E7D53">
            <w:pPr>
              <w:pStyle w:val="table"/>
              <w:jc w:val="center"/>
            </w:pPr>
          </w:p>
        </w:tc>
        <w:tc>
          <w:tcPr>
            <w:tcW w:w="540" w:type="dxa"/>
            <w:shd w:val="clear" w:color="auto" w:fill="FFFFFF"/>
            <w:tcMar>
              <w:top w:w="0" w:type="dxa"/>
              <w:left w:w="75" w:type="dxa"/>
              <w:bottom w:w="0" w:type="dxa"/>
              <w:right w:w="75" w:type="dxa"/>
            </w:tcMar>
            <w:vAlign w:val="center"/>
          </w:tcPr>
          <w:p w14:paraId="3BF49633" w14:textId="77777777" w:rsidR="00B26578" w:rsidRPr="00887AB3" w:rsidRDefault="00B26578" w:rsidP="003E7D53">
            <w:pPr>
              <w:pStyle w:val="table"/>
              <w:jc w:val="center"/>
            </w:pPr>
          </w:p>
        </w:tc>
      </w:tr>
      <w:tr w:rsidR="00B26578" w:rsidRPr="00887AB3" w14:paraId="47AD0408" w14:textId="77777777" w:rsidTr="003E7D53">
        <w:trPr>
          <w:trHeight w:val="247"/>
          <w:tblHeader/>
        </w:trPr>
        <w:tc>
          <w:tcPr>
            <w:tcW w:w="903" w:type="dxa"/>
            <w:tcBorders>
              <w:bottom w:val="single" w:sz="4" w:space="0" w:color="auto"/>
            </w:tcBorders>
            <w:shd w:val="clear" w:color="auto" w:fill="FFFFFF"/>
            <w:vAlign w:val="center"/>
          </w:tcPr>
          <w:p w14:paraId="284775D2" w14:textId="1627F3A7" w:rsidR="00B26578" w:rsidRPr="00887AB3" w:rsidRDefault="00B26578" w:rsidP="003E7D53">
            <w:pPr>
              <w:pStyle w:val="table"/>
            </w:pPr>
            <w:r>
              <w:t xml:space="preserve">Interval </w:t>
            </w:r>
          </w:p>
        </w:tc>
        <w:tc>
          <w:tcPr>
            <w:tcW w:w="1083" w:type="dxa"/>
            <w:tcBorders>
              <w:bottom w:val="single" w:sz="4" w:space="0" w:color="auto"/>
            </w:tcBorders>
            <w:shd w:val="clear" w:color="auto" w:fill="FFFFFF"/>
            <w:tcMar>
              <w:top w:w="0" w:type="dxa"/>
              <w:left w:w="75" w:type="dxa"/>
              <w:bottom w:w="0" w:type="dxa"/>
              <w:right w:w="75" w:type="dxa"/>
            </w:tcMar>
            <w:vAlign w:val="center"/>
            <w:hideMark/>
          </w:tcPr>
          <w:p w14:paraId="0DD45F22" w14:textId="7B61C071" w:rsidR="00B26578" w:rsidRPr="008A6E79" w:rsidRDefault="00B26578" w:rsidP="003E7D53">
            <w:pPr>
              <w:pStyle w:val="table"/>
            </w:pPr>
            <w:r w:rsidRPr="00887AB3">
              <w:t>DV</w:t>
            </w:r>
          </w:p>
        </w:tc>
        <w:tc>
          <w:tcPr>
            <w:tcW w:w="541" w:type="dxa"/>
            <w:tcBorders>
              <w:top w:val="single" w:sz="4" w:space="0" w:color="auto"/>
              <w:bottom w:val="single" w:sz="4" w:space="0" w:color="auto"/>
            </w:tcBorders>
            <w:shd w:val="clear" w:color="auto" w:fill="FFFFFF"/>
            <w:vAlign w:val="center"/>
          </w:tcPr>
          <w:p w14:paraId="27524730" w14:textId="4577C24A" w:rsidR="00B26578" w:rsidRPr="004F3154" w:rsidRDefault="00B26578" w:rsidP="003E7D53">
            <w:pPr>
              <w:pStyle w:val="table"/>
              <w:jc w:val="center"/>
              <w:rPr>
                <w:i/>
                <w:iCs/>
              </w:rPr>
            </w:pPr>
            <w:r w:rsidRPr="004F3154">
              <w:rPr>
                <w:i/>
                <w:iCs/>
              </w:rPr>
              <w:t>M</w:t>
            </w:r>
          </w:p>
        </w:tc>
        <w:tc>
          <w:tcPr>
            <w:tcW w:w="542" w:type="dxa"/>
            <w:tcBorders>
              <w:top w:val="single" w:sz="4" w:space="0" w:color="auto"/>
              <w:bottom w:val="single" w:sz="4" w:space="0" w:color="auto"/>
            </w:tcBorders>
            <w:shd w:val="clear" w:color="auto" w:fill="FFFFFF"/>
            <w:vAlign w:val="center"/>
          </w:tcPr>
          <w:p w14:paraId="1A81B9E2" w14:textId="77777777" w:rsidR="00B26578" w:rsidRPr="004F3154" w:rsidRDefault="00B26578" w:rsidP="003E7D53">
            <w:pPr>
              <w:pStyle w:val="table"/>
              <w:jc w:val="center"/>
              <w:rPr>
                <w:i/>
                <w:iCs/>
              </w:rPr>
            </w:pPr>
            <w:r w:rsidRPr="004F3154">
              <w:rPr>
                <w:i/>
                <w:iCs/>
              </w:rPr>
              <w:t>SD</w:t>
            </w:r>
          </w:p>
        </w:tc>
        <w:tc>
          <w:tcPr>
            <w:tcW w:w="631" w:type="dxa"/>
            <w:tcBorders>
              <w:top w:val="single" w:sz="4" w:space="0" w:color="auto"/>
              <w:bottom w:val="single" w:sz="4" w:space="0" w:color="auto"/>
            </w:tcBorders>
            <w:shd w:val="clear" w:color="auto" w:fill="FFFFFF"/>
            <w:vAlign w:val="center"/>
          </w:tcPr>
          <w:p w14:paraId="7DC4C47A" w14:textId="77777777" w:rsidR="00B26578" w:rsidRPr="004F3154" w:rsidRDefault="00B26578" w:rsidP="003E7D53">
            <w:pPr>
              <w:pStyle w:val="table"/>
              <w:jc w:val="center"/>
              <w:rPr>
                <w:i/>
                <w:iCs/>
              </w:rPr>
            </w:pPr>
            <w:r w:rsidRPr="004F3154">
              <w:rPr>
                <w:i/>
                <w:iCs/>
              </w:rPr>
              <w:t>M</w:t>
            </w:r>
          </w:p>
        </w:tc>
        <w:tc>
          <w:tcPr>
            <w:tcW w:w="542" w:type="dxa"/>
            <w:tcBorders>
              <w:top w:val="single" w:sz="4" w:space="0" w:color="auto"/>
              <w:bottom w:val="single" w:sz="4" w:space="0" w:color="auto"/>
            </w:tcBorders>
            <w:shd w:val="clear" w:color="auto" w:fill="FFFFFF"/>
            <w:vAlign w:val="center"/>
          </w:tcPr>
          <w:p w14:paraId="00B27110" w14:textId="77777777" w:rsidR="00B26578" w:rsidRPr="004F3154" w:rsidRDefault="00B26578" w:rsidP="003E7D53">
            <w:pPr>
              <w:pStyle w:val="table"/>
              <w:jc w:val="center"/>
              <w:rPr>
                <w:i/>
                <w:iCs/>
              </w:rPr>
            </w:pPr>
            <w:r w:rsidRPr="004F3154">
              <w:rPr>
                <w:i/>
                <w:iCs/>
              </w:rPr>
              <w:t>SD</w:t>
            </w:r>
          </w:p>
        </w:tc>
        <w:tc>
          <w:tcPr>
            <w:tcW w:w="992" w:type="dxa"/>
            <w:tcBorders>
              <w:bottom w:val="single" w:sz="4" w:space="0" w:color="auto"/>
            </w:tcBorders>
            <w:shd w:val="clear" w:color="auto" w:fill="FFFFFF"/>
            <w:tcMar>
              <w:top w:w="0" w:type="dxa"/>
              <w:left w:w="75" w:type="dxa"/>
              <w:bottom w:w="0" w:type="dxa"/>
              <w:right w:w="75" w:type="dxa"/>
            </w:tcMar>
            <w:vAlign w:val="center"/>
            <w:hideMark/>
          </w:tcPr>
          <w:p w14:paraId="58A82649" w14:textId="77777777" w:rsidR="00B26578" w:rsidRPr="008A6E79" w:rsidRDefault="00B26578" w:rsidP="003E7D53">
            <w:pPr>
              <w:pStyle w:val="table"/>
              <w:jc w:val="center"/>
            </w:pPr>
            <w:r w:rsidRPr="00887AB3">
              <w:t>H</w:t>
            </w:r>
            <w:r w:rsidRPr="008A6E79">
              <w:t>edges</w:t>
            </w:r>
            <w:r w:rsidRPr="00887AB3">
              <w:t xml:space="preserve">’ </w:t>
            </w:r>
            <w:r w:rsidRPr="008A6E79">
              <w:rPr>
                <w:i/>
                <w:iCs/>
              </w:rPr>
              <w:t>g</w:t>
            </w:r>
          </w:p>
        </w:tc>
        <w:tc>
          <w:tcPr>
            <w:tcW w:w="722"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45D1B68E" w14:textId="77777777" w:rsidR="00B26578" w:rsidRPr="008A6E79" w:rsidRDefault="00B26578" w:rsidP="003E7D53">
            <w:pPr>
              <w:pStyle w:val="table"/>
              <w:jc w:val="center"/>
            </w:pPr>
            <w:r w:rsidRPr="00887AB3">
              <w:t>Lower</w:t>
            </w:r>
          </w:p>
        </w:tc>
        <w:tc>
          <w:tcPr>
            <w:tcW w:w="722"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19554A71" w14:textId="77777777" w:rsidR="00B26578" w:rsidRPr="008A6E79" w:rsidRDefault="00B26578" w:rsidP="003E7D53">
            <w:pPr>
              <w:pStyle w:val="table"/>
              <w:jc w:val="center"/>
            </w:pPr>
            <w:r w:rsidRPr="00887AB3">
              <w:t>Upper</w:t>
            </w:r>
          </w:p>
        </w:tc>
        <w:tc>
          <w:tcPr>
            <w:tcW w:w="541" w:type="dxa"/>
            <w:tcBorders>
              <w:bottom w:val="single" w:sz="4" w:space="0" w:color="auto"/>
            </w:tcBorders>
            <w:shd w:val="clear" w:color="auto" w:fill="FFFFFF"/>
            <w:tcMar>
              <w:top w:w="0" w:type="dxa"/>
              <w:left w:w="75" w:type="dxa"/>
              <w:bottom w:w="0" w:type="dxa"/>
              <w:right w:w="75" w:type="dxa"/>
            </w:tcMar>
            <w:vAlign w:val="center"/>
            <w:hideMark/>
          </w:tcPr>
          <w:p w14:paraId="78159741" w14:textId="77777777" w:rsidR="00B26578" w:rsidRPr="008A6E79" w:rsidRDefault="00B26578" w:rsidP="003E7D53">
            <w:pPr>
              <w:pStyle w:val="table"/>
              <w:jc w:val="center"/>
              <w:rPr>
                <w:i/>
                <w:iCs/>
              </w:rPr>
            </w:pPr>
            <w:r w:rsidRPr="008A6E79">
              <w:rPr>
                <w:i/>
                <w:iCs/>
              </w:rPr>
              <w:t>t</w:t>
            </w:r>
          </w:p>
        </w:tc>
        <w:tc>
          <w:tcPr>
            <w:tcW w:w="611" w:type="dxa"/>
            <w:tcBorders>
              <w:bottom w:val="single" w:sz="4" w:space="0" w:color="auto"/>
            </w:tcBorders>
            <w:shd w:val="clear" w:color="auto" w:fill="FFFFFF"/>
            <w:tcMar>
              <w:top w:w="0" w:type="dxa"/>
              <w:left w:w="75" w:type="dxa"/>
              <w:bottom w:w="0" w:type="dxa"/>
              <w:right w:w="75" w:type="dxa"/>
            </w:tcMar>
            <w:vAlign w:val="center"/>
            <w:hideMark/>
          </w:tcPr>
          <w:p w14:paraId="6F58A061" w14:textId="77777777" w:rsidR="00B26578" w:rsidRPr="008A6E79" w:rsidRDefault="00B26578" w:rsidP="003E7D53">
            <w:pPr>
              <w:pStyle w:val="table"/>
              <w:jc w:val="center"/>
            </w:pPr>
            <w:r w:rsidRPr="008A6E79">
              <w:t>df</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360DAE89" w14:textId="77777777" w:rsidR="00B26578" w:rsidRPr="008A6E79" w:rsidRDefault="00B26578" w:rsidP="003E7D53">
            <w:pPr>
              <w:pStyle w:val="table"/>
              <w:jc w:val="center"/>
              <w:rPr>
                <w:i/>
                <w:iCs/>
              </w:rPr>
            </w:pPr>
            <w:r w:rsidRPr="008A6E79">
              <w:rPr>
                <w:i/>
                <w:iCs/>
              </w:rPr>
              <w:t>p</w:t>
            </w:r>
          </w:p>
        </w:tc>
        <w:tc>
          <w:tcPr>
            <w:tcW w:w="540" w:type="dxa"/>
            <w:tcBorders>
              <w:bottom w:val="single" w:sz="4" w:space="0" w:color="auto"/>
            </w:tcBorders>
            <w:shd w:val="clear" w:color="auto" w:fill="FFFFFF"/>
            <w:tcMar>
              <w:top w:w="0" w:type="dxa"/>
              <w:left w:w="75" w:type="dxa"/>
              <w:bottom w:w="0" w:type="dxa"/>
              <w:right w:w="75" w:type="dxa"/>
            </w:tcMar>
            <w:vAlign w:val="center"/>
            <w:hideMark/>
          </w:tcPr>
          <w:p w14:paraId="45ED9D01" w14:textId="77777777" w:rsidR="00B26578" w:rsidRPr="008A6E79" w:rsidRDefault="00B26578" w:rsidP="003E7D53">
            <w:pPr>
              <w:pStyle w:val="table"/>
              <w:jc w:val="center"/>
              <w:rPr>
                <w:i/>
                <w:iCs/>
              </w:rPr>
            </w:pPr>
            <w:proofErr w:type="spellStart"/>
            <w:r w:rsidRPr="00887AB3">
              <w:rPr>
                <w:i/>
                <w:iCs/>
              </w:rPr>
              <w:t>p</w:t>
            </w:r>
            <w:r w:rsidRPr="003439A7">
              <w:rPr>
                <w:vertAlign w:val="subscript"/>
              </w:rPr>
              <w:t>adj</w:t>
            </w:r>
            <w:proofErr w:type="spellEnd"/>
          </w:p>
        </w:tc>
      </w:tr>
      <w:tr w:rsidR="004605F5" w:rsidRPr="00887AB3" w14:paraId="3CF31B7A" w14:textId="77777777" w:rsidTr="003E7D53">
        <w:trPr>
          <w:trHeight w:val="247"/>
        </w:trPr>
        <w:tc>
          <w:tcPr>
            <w:tcW w:w="903" w:type="dxa"/>
            <w:tcBorders>
              <w:top w:val="single" w:sz="4" w:space="0" w:color="auto"/>
            </w:tcBorders>
            <w:shd w:val="clear" w:color="auto" w:fill="FFFFFF"/>
            <w:vAlign w:val="center"/>
          </w:tcPr>
          <w:p w14:paraId="35F9A288" w14:textId="05FB9036" w:rsidR="004605F5" w:rsidRPr="008A6E79" w:rsidRDefault="004605F5" w:rsidP="003E7D53">
            <w:pPr>
              <w:pStyle w:val="table"/>
            </w:pPr>
            <w:r>
              <w:t>95% CI</w:t>
            </w:r>
          </w:p>
        </w:tc>
        <w:tc>
          <w:tcPr>
            <w:tcW w:w="1083" w:type="dxa"/>
            <w:tcBorders>
              <w:top w:val="single" w:sz="4" w:space="0" w:color="auto"/>
            </w:tcBorders>
            <w:shd w:val="clear" w:color="auto" w:fill="FFFFFF"/>
            <w:tcMar>
              <w:top w:w="0" w:type="dxa"/>
              <w:left w:w="75" w:type="dxa"/>
              <w:bottom w:w="0" w:type="dxa"/>
              <w:right w:w="75" w:type="dxa"/>
            </w:tcMar>
            <w:vAlign w:val="center"/>
            <w:hideMark/>
          </w:tcPr>
          <w:p w14:paraId="53808A7C" w14:textId="01BBE3A4" w:rsidR="004605F5" w:rsidRPr="00BF61C6" w:rsidRDefault="004605F5" w:rsidP="003E7D53">
            <w:pPr>
              <w:pStyle w:val="table"/>
            </w:pPr>
            <w:r w:rsidRPr="00BF61C6">
              <w:t>Discomfort</w:t>
            </w:r>
          </w:p>
        </w:tc>
        <w:tc>
          <w:tcPr>
            <w:tcW w:w="541" w:type="dxa"/>
            <w:tcBorders>
              <w:top w:val="single" w:sz="4" w:space="0" w:color="auto"/>
            </w:tcBorders>
            <w:shd w:val="clear" w:color="auto" w:fill="FFFFFF"/>
            <w:vAlign w:val="center"/>
          </w:tcPr>
          <w:p w14:paraId="054DA040" w14:textId="7404E5CB" w:rsidR="004605F5" w:rsidRPr="00BF61C6" w:rsidRDefault="004605F5" w:rsidP="003E7D53">
            <w:pPr>
              <w:pStyle w:val="table"/>
              <w:jc w:val="center"/>
            </w:pPr>
            <w:r w:rsidRPr="004605F5">
              <w:t>24.76</w:t>
            </w:r>
          </w:p>
        </w:tc>
        <w:tc>
          <w:tcPr>
            <w:tcW w:w="542" w:type="dxa"/>
            <w:tcBorders>
              <w:top w:val="single" w:sz="4" w:space="0" w:color="auto"/>
            </w:tcBorders>
            <w:shd w:val="clear" w:color="auto" w:fill="FFFFFF"/>
            <w:vAlign w:val="center"/>
          </w:tcPr>
          <w:p w14:paraId="0E096BA1" w14:textId="78B40B33" w:rsidR="004605F5" w:rsidRPr="00BF61C6" w:rsidRDefault="004605F5" w:rsidP="003E7D53">
            <w:pPr>
              <w:pStyle w:val="table"/>
              <w:jc w:val="center"/>
            </w:pPr>
            <w:r w:rsidRPr="004605F5">
              <w:t>8.66</w:t>
            </w:r>
          </w:p>
        </w:tc>
        <w:tc>
          <w:tcPr>
            <w:tcW w:w="631" w:type="dxa"/>
            <w:tcBorders>
              <w:top w:val="single" w:sz="4" w:space="0" w:color="auto"/>
            </w:tcBorders>
            <w:shd w:val="clear" w:color="auto" w:fill="FFFFFF"/>
            <w:vAlign w:val="center"/>
          </w:tcPr>
          <w:p w14:paraId="1A72B1B1" w14:textId="64FB3707" w:rsidR="004605F5" w:rsidRPr="00BF61C6" w:rsidRDefault="004605F5" w:rsidP="003E7D53">
            <w:pPr>
              <w:pStyle w:val="table"/>
              <w:jc w:val="center"/>
            </w:pPr>
            <w:r w:rsidRPr="004605F5">
              <w:t>15.43</w:t>
            </w:r>
          </w:p>
        </w:tc>
        <w:tc>
          <w:tcPr>
            <w:tcW w:w="542" w:type="dxa"/>
            <w:tcBorders>
              <w:top w:val="single" w:sz="4" w:space="0" w:color="auto"/>
            </w:tcBorders>
            <w:shd w:val="clear" w:color="auto" w:fill="FFFFFF"/>
            <w:vAlign w:val="center"/>
          </w:tcPr>
          <w:p w14:paraId="3D17A19A" w14:textId="4D1630E1" w:rsidR="004605F5" w:rsidRPr="00BF61C6" w:rsidRDefault="004605F5" w:rsidP="003E7D53">
            <w:pPr>
              <w:pStyle w:val="table"/>
              <w:jc w:val="center"/>
            </w:pPr>
            <w:r w:rsidRPr="004605F5">
              <w:t>9.74</w:t>
            </w:r>
          </w:p>
        </w:tc>
        <w:tc>
          <w:tcPr>
            <w:tcW w:w="992" w:type="dxa"/>
            <w:tcBorders>
              <w:top w:val="single" w:sz="4" w:space="0" w:color="auto"/>
            </w:tcBorders>
            <w:shd w:val="clear" w:color="auto" w:fill="FFFFFF"/>
            <w:tcMar>
              <w:top w:w="0" w:type="dxa"/>
              <w:left w:w="75" w:type="dxa"/>
              <w:bottom w:w="0" w:type="dxa"/>
              <w:right w:w="75" w:type="dxa"/>
            </w:tcMar>
            <w:vAlign w:val="center"/>
            <w:hideMark/>
          </w:tcPr>
          <w:p w14:paraId="4E9F63AA" w14:textId="1E1029B0" w:rsidR="004605F5" w:rsidRPr="00BF61C6" w:rsidRDefault="004605F5" w:rsidP="003E7D53">
            <w:pPr>
              <w:pStyle w:val="table"/>
              <w:jc w:val="center"/>
            </w:pPr>
            <w:r w:rsidRPr="004605F5">
              <w:t>0.99</w:t>
            </w:r>
          </w:p>
        </w:tc>
        <w:tc>
          <w:tcPr>
            <w:tcW w:w="722" w:type="dxa"/>
            <w:tcBorders>
              <w:top w:val="single" w:sz="4" w:space="0" w:color="auto"/>
            </w:tcBorders>
            <w:shd w:val="clear" w:color="auto" w:fill="FFFFFF"/>
            <w:tcMar>
              <w:top w:w="0" w:type="dxa"/>
              <w:left w:w="75" w:type="dxa"/>
              <w:bottom w:w="0" w:type="dxa"/>
              <w:right w:w="75" w:type="dxa"/>
            </w:tcMar>
            <w:vAlign w:val="center"/>
            <w:hideMark/>
          </w:tcPr>
          <w:p w14:paraId="53BF5EFA" w14:textId="677450E4" w:rsidR="004605F5" w:rsidRPr="00BF61C6" w:rsidRDefault="004605F5" w:rsidP="003E7D53">
            <w:pPr>
              <w:pStyle w:val="table"/>
              <w:jc w:val="center"/>
            </w:pPr>
            <w:r w:rsidRPr="004605F5">
              <w:t>0.29</w:t>
            </w:r>
          </w:p>
        </w:tc>
        <w:tc>
          <w:tcPr>
            <w:tcW w:w="722" w:type="dxa"/>
            <w:tcBorders>
              <w:top w:val="single" w:sz="4" w:space="0" w:color="auto"/>
            </w:tcBorders>
            <w:shd w:val="clear" w:color="auto" w:fill="FFFFFF"/>
            <w:tcMar>
              <w:top w:w="0" w:type="dxa"/>
              <w:left w:w="75" w:type="dxa"/>
              <w:bottom w:w="0" w:type="dxa"/>
              <w:right w:w="75" w:type="dxa"/>
            </w:tcMar>
            <w:vAlign w:val="center"/>
            <w:hideMark/>
          </w:tcPr>
          <w:p w14:paraId="6FAB7E13" w14:textId="4112E053" w:rsidR="004605F5" w:rsidRPr="00BF61C6" w:rsidRDefault="004605F5" w:rsidP="003E7D53">
            <w:pPr>
              <w:pStyle w:val="table"/>
              <w:jc w:val="center"/>
            </w:pPr>
            <w:r w:rsidRPr="004605F5">
              <w:t>1.68</w:t>
            </w:r>
          </w:p>
        </w:tc>
        <w:tc>
          <w:tcPr>
            <w:tcW w:w="541" w:type="dxa"/>
            <w:tcBorders>
              <w:top w:val="single" w:sz="4" w:space="0" w:color="auto"/>
            </w:tcBorders>
            <w:shd w:val="clear" w:color="auto" w:fill="FFFFFF"/>
            <w:tcMar>
              <w:top w:w="0" w:type="dxa"/>
              <w:left w:w="75" w:type="dxa"/>
              <w:bottom w:w="0" w:type="dxa"/>
              <w:right w:w="75" w:type="dxa"/>
            </w:tcMar>
            <w:vAlign w:val="center"/>
            <w:hideMark/>
          </w:tcPr>
          <w:p w14:paraId="21109644" w14:textId="5C503C99" w:rsidR="004605F5" w:rsidRPr="00BF61C6" w:rsidRDefault="004605F5" w:rsidP="003E7D53">
            <w:pPr>
              <w:pStyle w:val="table"/>
              <w:jc w:val="center"/>
            </w:pPr>
            <w:r w:rsidRPr="004605F5">
              <w:t>3.04</w:t>
            </w:r>
          </w:p>
        </w:tc>
        <w:tc>
          <w:tcPr>
            <w:tcW w:w="611" w:type="dxa"/>
            <w:tcBorders>
              <w:top w:val="single" w:sz="4" w:space="0" w:color="auto"/>
            </w:tcBorders>
            <w:shd w:val="clear" w:color="auto" w:fill="FFFFFF"/>
            <w:tcMar>
              <w:top w:w="0" w:type="dxa"/>
              <w:left w:w="75" w:type="dxa"/>
              <w:bottom w:w="0" w:type="dxa"/>
              <w:right w:w="75" w:type="dxa"/>
            </w:tcMar>
            <w:vAlign w:val="center"/>
            <w:hideMark/>
          </w:tcPr>
          <w:p w14:paraId="14616FD2" w14:textId="44360DC8" w:rsidR="004605F5" w:rsidRPr="00BF61C6" w:rsidRDefault="004605F5" w:rsidP="003E7D53">
            <w:pPr>
              <w:pStyle w:val="table"/>
              <w:jc w:val="center"/>
            </w:pPr>
            <w:r w:rsidRPr="004605F5">
              <w:t>33.54</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790B78D8" w14:textId="2FF9B0AA" w:rsidR="004605F5" w:rsidRPr="00BF61C6" w:rsidRDefault="004605F5" w:rsidP="003E7D53">
            <w:pPr>
              <w:pStyle w:val="table"/>
              <w:jc w:val="center"/>
            </w:pPr>
            <w:r w:rsidRPr="004605F5">
              <w:t>.005</w:t>
            </w:r>
          </w:p>
        </w:tc>
        <w:tc>
          <w:tcPr>
            <w:tcW w:w="540" w:type="dxa"/>
            <w:tcBorders>
              <w:top w:val="single" w:sz="4" w:space="0" w:color="auto"/>
            </w:tcBorders>
            <w:shd w:val="clear" w:color="auto" w:fill="FFFFFF"/>
            <w:tcMar>
              <w:top w:w="0" w:type="dxa"/>
              <w:left w:w="75" w:type="dxa"/>
              <w:bottom w:w="0" w:type="dxa"/>
              <w:right w:w="75" w:type="dxa"/>
            </w:tcMar>
            <w:vAlign w:val="center"/>
            <w:hideMark/>
          </w:tcPr>
          <w:p w14:paraId="4827E117" w14:textId="7E9CA19E" w:rsidR="004605F5" w:rsidRPr="00BF61C6" w:rsidRDefault="004605F5" w:rsidP="003E7D53">
            <w:pPr>
              <w:pStyle w:val="table"/>
              <w:jc w:val="center"/>
            </w:pPr>
            <w:r w:rsidRPr="004605F5">
              <w:t>.014</w:t>
            </w:r>
          </w:p>
        </w:tc>
      </w:tr>
      <w:tr w:rsidR="004605F5" w:rsidRPr="00887AB3" w14:paraId="3FDC3D00" w14:textId="77777777" w:rsidTr="003E7D53">
        <w:trPr>
          <w:trHeight w:val="247"/>
        </w:trPr>
        <w:tc>
          <w:tcPr>
            <w:tcW w:w="903" w:type="dxa"/>
            <w:shd w:val="clear" w:color="auto" w:fill="FFFFFF"/>
            <w:vAlign w:val="center"/>
          </w:tcPr>
          <w:p w14:paraId="6D09CBA6" w14:textId="79C623FD"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5571F548" w14:textId="1747024C" w:rsidR="004605F5" w:rsidRPr="00BF61C6" w:rsidRDefault="004605F5" w:rsidP="003E7D53">
            <w:pPr>
              <w:pStyle w:val="table"/>
            </w:pPr>
            <w:r w:rsidRPr="00BF61C6">
              <w:t>Anxiety</w:t>
            </w:r>
          </w:p>
        </w:tc>
        <w:tc>
          <w:tcPr>
            <w:tcW w:w="541" w:type="dxa"/>
            <w:shd w:val="clear" w:color="auto" w:fill="FFFFFF"/>
            <w:vAlign w:val="center"/>
          </w:tcPr>
          <w:p w14:paraId="0FDB9C75" w14:textId="6624759F" w:rsidR="004605F5" w:rsidRPr="00BF61C6" w:rsidRDefault="004605F5" w:rsidP="003E7D53">
            <w:pPr>
              <w:pStyle w:val="table"/>
              <w:jc w:val="center"/>
            </w:pPr>
            <w:r w:rsidRPr="004605F5">
              <w:t>17.97</w:t>
            </w:r>
          </w:p>
        </w:tc>
        <w:tc>
          <w:tcPr>
            <w:tcW w:w="542" w:type="dxa"/>
            <w:shd w:val="clear" w:color="auto" w:fill="FFFFFF"/>
            <w:vAlign w:val="center"/>
          </w:tcPr>
          <w:p w14:paraId="770DEB0C" w14:textId="538FB6D0" w:rsidR="004605F5" w:rsidRPr="00BF61C6" w:rsidRDefault="004605F5" w:rsidP="003E7D53">
            <w:pPr>
              <w:pStyle w:val="table"/>
              <w:jc w:val="center"/>
            </w:pPr>
            <w:r w:rsidRPr="004605F5">
              <w:t>12.18</w:t>
            </w:r>
          </w:p>
        </w:tc>
        <w:tc>
          <w:tcPr>
            <w:tcW w:w="631" w:type="dxa"/>
            <w:shd w:val="clear" w:color="auto" w:fill="FFFFFF"/>
            <w:vAlign w:val="center"/>
          </w:tcPr>
          <w:p w14:paraId="6BFF348D" w14:textId="05D1CCA4" w:rsidR="004605F5" w:rsidRPr="00BF61C6" w:rsidRDefault="004605F5" w:rsidP="003E7D53">
            <w:pPr>
              <w:pStyle w:val="table"/>
              <w:jc w:val="center"/>
            </w:pPr>
            <w:r w:rsidRPr="004605F5">
              <w:t>17.14</w:t>
            </w:r>
          </w:p>
        </w:tc>
        <w:tc>
          <w:tcPr>
            <w:tcW w:w="542" w:type="dxa"/>
            <w:shd w:val="clear" w:color="auto" w:fill="FFFFFF"/>
            <w:vAlign w:val="center"/>
          </w:tcPr>
          <w:p w14:paraId="388FF58A" w14:textId="28DDA8BE" w:rsidR="004605F5" w:rsidRPr="00BF61C6" w:rsidRDefault="004605F5" w:rsidP="003E7D53">
            <w:pPr>
              <w:pStyle w:val="table"/>
              <w:jc w:val="center"/>
            </w:pPr>
            <w:r w:rsidRPr="004605F5">
              <w:t>12.18</w:t>
            </w:r>
          </w:p>
        </w:tc>
        <w:tc>
          <w:tcPr>
            <w:tcW w:w="992" w:type="dxa"/>
            <w:shd w:val="clear" w:color="auto" w:fill="FFFFFF"/>
            <w:tcMar>
              <w:top w:w="0" w:type="dxa"/>
              <w:left w:w="75" w:type="dxa"/>
              <w:bottom w:w="0" w:type="dxa"/>
              <w:right w:w="75" w:type="dxa"/>
            </w:tcMar>
            <w:vAlign w:val="center"/>
          </w:tcPr>
          <w:p w14:paraId="05CB93C4" w14:textId="2D372FED" w:rsidR="004605F5" w:rsidRPr="00BF61C6" w:rsidRDefault="004605F5" w:rsidP="003E7D53">
            <w:pPr>
              <w:pStyle w:val="table"/>
              <w:jc w:val="center"/>
            </w:pPr>
            <w:r w:rsidRPr="004605F5">
              <w:t>0.07</w:t>
            </w:r>
          </w:p>
        </w:tc>
        <w:tc>
          <w:tcPr>
            <w:tcW w:w="722" w:type="dxa"/>
            <w:shd w:val="clear" w:color="auto" w:fill="FFFFFF"/>
            <w:tcMar>
              <w:top w:w="0" w:type="dxa"/>
              <w:left w:w="75" w:type="dxa"/>
              <w:bottom w:w="0" w:type="dxa"/>
              <w:right w:w="75" w:type="dxa"/>
            </w:tcMar>
            <w:vAlign w:val="center"/>
          </w:tcPr>
          <w:p w14:paraId="6DF07781" w14:textId="763BD404" w:rsidR="004605F5" w:rsidRPr="00BF61C6" w:rsidRDefault="004605F5" w:rsidP="003E7D53">
            <w:pPr>
              <w:pStyle w:val="table"/>
              <w:jc w:val="center"/>
            </w:pPr>
            <w:r w:rsidRPr="004605F5">
              <w:t>-0.59</w:t>
            </w:r>
          </w:p>
        </w:tc>
        <w:tc>
          <w:tcPr>
            <w:tcW w:w="722" w:type="dxa"/>
            <w:shd w:val="clear" w:color="auto" w:fill="FFFFFF"/>
            <w:tcMar>
              <w:top w:w="0" w:type="dxa"/>
              <w:left w:w="75" w:type="dxa"/>
              <w:bottom w:w="0" w:type="dxa"/>
              <w:right w:w="75" w:type="dxa"/>
            </w:tcMar>
            <w:vAlign w:val="center"/>
          </w:tcPr>
          <w:p w14:paraId="3D257DA2" w14:textId="1DAF25C9" w:rsidR="004605F5" w:rsidRPr="00BF61C6" w:rsidRDefault="004605F5" w:rsidP="003E7D53">
            <w:pPr>
              <w:pStyle w:val="table"/>
              <w:jc w:val="center"/>
            </w:pPr>
            <w:r w:rsidRPr="004605F5">
              <w:t>0.72</w:t>
            </w:r>
          </w:p>
        </w:tc>
        <w:tc>
          <w:tcPr>
            <w:tcW w:w="541" w:type="dxa"/>
            <w:shd w:val="clear" w:color="auto" w:fill="FFFFFF"/>
            <w:tcMar>
              <w:top w:w="0" w:type="dxa"/>
              <w:left w:w="75" w:type="dxa"/>
              <w:bottom w:w="0" w:type="dxa"/>
              <w:right w:w="75" w:type="dxa"/>
            </w:tcMar>
            <w:vAlign w:val="center"/>
          </w:tcPr>
          <w:p w14:paraId="62518DBC" w14:textId="0D392A9B" w:rsidR="004605F5" w:rsidRPr="00BF61C6" w:rsidRDefault="004605F5" w:rsidP="003E7D53">
            <w:pPr>
              <w:pStyle w:val="table"/>
              <w:jc w:val="center"/>
            </w:pPr>
            <w:r w:rsidRPr="004605F5">
              <w:t>0.20</w:t>
            </w:r>
          </w:p>
        </w:tc>
        <w:tc>
          <w:tcPr>
            <w:tcW w:w="611" w:type="dxa"/>
            <w:shd w:val="clear" w:color="auto" w:fill="FFFFFF"/>
            <w:tcMar>
              <w:top w:w="0" w:type="dxa"/>
              <w:left w:w="75" w:type="dxa"/>
              <w:bottom w:w="0" w:type="dxa"/>
              <w:right w:w="75" w:type="dxa"/>
            </w:tcMar>
            <w:vAlign w:val="center"/>
          </w:tcPr>
          <w:p w14:paraId="6DB755FD" w14:textId="3752CED0" w:rsidR="004605F5" w:rsidRPr="00BF61C6" w:rsidRDefault="004605F5" w:rsidP="003E7D53">
            <w:pPr>
              <w:pStyle w:val="table"/>
              <w:jc w:val="center"/>
            </w:pPr>
            <w:r w:rsidRPr="004605F5">
              <w:t>34.00</w:t>
            </w:r>
          </w:p>
        </w:tc>
        <w:tc>
          <w:tcPr>
            <w:tcW w:w="540" w:type="dxa"/>
            <w:shd w:val="clear" w:color="auto" w:fill="FFFFFF"/>
            <w:tcMar>
              <w:top w:w="0" w:type="dxa"/>
              <w:left w:w="75" w:type="dxa"/>
              <w:bottom w:w="0" w:type="dxa"/>
              <w:right w:w="75" w:type="dxa"/>
            </w:tcMar>
            <w:vAlign w:val="center"/>
          </w:tcPr>
          <w:p w14:paraId="2D6AABF2" w14:textId="18FB31EB" w:rsidR="004605F5" w:rsidRPr="00BF61C6" w:rsidRDefault="004605F5" w:rsidP="003E7D53">
            <w:pPr>
              <w:pStyle w:val="table"/>
              <w:jc w:val="center"/>
            </w:pPr>
            <w:r w:rsidRPr="004605F5">
              <w:t>.840</w:t>
            </w:r>
          </w:p>
        </w:tc>
        <w:tc>
          <w:tcPr>
            <w:tcW w:w="540" w:type="dxa"/>
            <w:shd w:val="clear" w:color="auto" w:fill="FFFFFF"/>
            <w:tcMar>
              <w:top w:w="0" w:type="dxa"/>
              <w:left w:w="75" w:type="dxa"/>
              <w:bottom w:w="0" w:type="dxa"/>
              <w:right w:w="75" w:type="dxa"/>
            </w:tcMar>
            <w:vAlign w:val="center"/>
          </w:tcPr>
          <w:p w14:paraId="70531F14" w14:textId="59F11DF0" w:rsidR="004605F5" w:rsidRPr="00BF61C6" w:rsidRDefault="004605F5" w:rsidP="003E7D53">
            <w:pPr>
              <w:pStyle w:val="table"/>
              <w:jc w:val="center"/>
            </w:pPr>
            <w:r w:rsidRPr="004605F5">
              <w:t>.840</w:t>
            </w:r>
          </w:p>
        </w:tc>
      </w:tr>
      <w:tr w:rsidR="004605F5" w:rsidRPr="00887AB3" w14:paraId="7B786B1B" w14:textId="77777777" w:rsidTr="003E7D53">
        <w:trPr>
          <w:trHeight w:val="247"/>
        </w:trPr>
        <w:tc>
          <w:tcPr>
            <w:tcW w:w="903" w:type="dxa"/>
            <w:shd w:val="clear" w:color="auto" w:fill="FFFFFF"/>
            <w:vAlign w:val="center"/>
          </w:tcPr>
          <w:p w14:paraId="5F9BBF0C" w14:textId="415FA78E"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7F1CF0DA" w14:textId="17C0ACFF" w:rsidR="004605F5" w:rsidRPr="00BF61C6" w:rsidRDefault="004605F5" w:rsidP="003E7D53">
            <w:pPr>
              <w:pStyle w:val="table"/>
            </w:pPr>
            <w:r w:rsidRPr="00BF61C6">
              <w:t>Stress</w:t>
            </w:r>
          </w:p>
        </w:tc>
        <w:tc>
          <w:tcPr>
            <w:tcW w:w="541" w:type="dxa"/>
            <w:shd w:val="clear" w:color="auto" w:fill="FFFFFF"/>
            <w:vAlign w:val="center"/>
          </w:tcPr>
          <w:p w14:paraId="1450E2D2" w14:textId="357BA8EA" w:rsidR="004605F5" w:rsidRPr="00BF61C6" w:rsidRDefault="004605F5" w:rsidP="003E7D53">
            <w:pPr>
              <w:pStyle w:val="table"/>
              <w:jc w:val="center"/>
            </w:pPr>
            <w:r w:rsidRPr="004605F5">
              <w:t>21.71</w:t>
            </w:r>
          </w:p>
        </w:tc>
        <w:tc>
          <w:tcPr>
            <w:tcW w:w="542" w:type="dxa"/>
            <w:shd w:val="clear" w:color="auto" w:fill="FFFFFF"/>
            <w:vAlign w:val="center"/>
          </w:tcPr>
          <w:p w14:paraId="7E1A3D12" w14:textId="3781D6C0" w:rsidR="004605F5" w:rsidRPr="00BF61C6" w:rsidRDefault="004605F5" w:rsidP="003E7D53">
            <w:pPr>
              <w:pStyle w:val="table"/>
              <w:jc w:val="center"/>
            </w:pPr>
            <w:r w:rsidRPr="004605F5">
              <w:t>10.82</w:t>
            </w:r>
          </w:p>
        </w:tc>
        <w:tc>
          <w:tcPr>
            <w:tcW w:w="631" w:type="dxa"/>
            <w:shd w:val="clear" w:color="auto" w:fill="FFFFFF"/>
            <w:vAlign w:val="center"/>
          </w:tcPr>
          <w:p w14:paraId="4FA5D0E0" w14:textId="3DB79EF7" w:rsidR="004605F5" w:rsidRPr="00BF61C6" w:rsidRDefault="004605F5" w:rsidP="003E7D53">
            <w:pPr>
              <w:pStyle w:val="table"/>
              <w:jc w:val="center"/>
            </w:pPr>
            <w:r w:rsidRPr="004605F5">
              <w:t>12.18</w:t>
            </w:r>
          </w:p>
        </w:tc>
        <w:tc>
          <w:tcPr>
            <w:tcW w:w="542" w:type="dxa"/>
            <w:shd w:val="clear" w:color="auto" w:fill="FFFFFF"/>
            <w:vAlign w:val="center"/>
          </w:tcPr>
          <w:p w14:paraId="274B0C99" w14:textId="468C2FFE" w:rsidR="004605F5" w:rsidRPr="00BF61C6" w:rsidRDefault="004605F5" w:rsidP="003E7D53">
            <w:pPr>
              <w:pStyle w:val="table"/>
              <w:jc w:val="center"/>
            </w:pPr>
            <w:r w:rsidRPr="004605F5">
              <w:t>9.74</w:t>
            </w:r>
          </w:p>
        </w:tc>
        <w:tc>
          <w:tcPr>
            <w:tcW w:w="992" w:type="dxa"/>
            <w:shd w:val="clear" w:color="auto" w:fill="FFFFFF"/>
            <w:tcMar>
              <w:top w:w="0" w:type="dxa"/>
              <w:left w:w="75" w:type="dxa"/>
              <w:bottom w:w="0" w:type="dxa"/>
              <w:right w:w="75" w:type="dxa"/>
            </w:tcMar>
            <w:vAlign w:val="center"/>
          </w:tcPr>
          <w:p w14:paraId="052F20A7" w14:textId="7DD3E16E" w:rsidR="004605F5" w:rsidRPr="00BF61C6" w:rsidRDefault="004605F5" w:rsidP="003E7D53">
            <w:pPr>
              <w:pStyle w:val="table"/>
              <w:jc w:val="center"/>
            </w:pPr>
            <w:r w:rsidRPr="004605F5">
              <w:t>0.91</w:t>
            </w:r>
          </w:p>
        </w:tc>
        <w:tc>
          <w:tcPr>
            <w:tcW w:w="722" w:type="dxa"/>
            <w:shd w:val="clear" w:color="auto" w:fill="FFFFFF"/>
            <w:tcMar>
              <w:top w:w="0" w:type="dxa"/>
              <w:left w:w="75" w:type="dxa"/>
              <w:bottom w:w="0" w:type="dxa"/>
              <w:right w:w="75" w:type="dxa"/>
            </w:tcMar>
            <w:vAlign w:val="center"/>
          </w:tcPr>
          <w:p w14:paraId="7C045CB0" w14:textId="6B8A5EEF" w:rsidR="004605F5" w:rsidRPr="00BF61C6" w:rsidRDefault="004605F5" w:rsidP="003E7D53">
            <w:pPr>
              <w:pStyle w:val="table"/>
              <w:jc w:val="center"/>
            </w:pPr>
            <w:r w:rsidRPr="004605F5">
              <w:t>0.21</w:t>
            </w:r>
          </w:p>
        </w:tc>
        <w:tc>
          <w:tcPr>
            <w:tcW w:w="722" w:type="dxa"/>
            <w:shd w:val="clear" w:color="auto" w:fill="FFFFFF"/>
            <w:tcMar>
              <w:top w:w="0" w:type="dxa"/>
              <w:left w:w="75" w:type="dxa"/>
              <w:bottom w:w="0" w:type="dxa"/>
              <w:right w:w="75" w:type="dxa"/>
            </w:tcMar>
            <w:vAlign w:val="center"/>
          </w:tcPr>
          <w:p w14:paraId="4E64CAB7" w14:textId="73583F2E" w:rsidR="004605F5" w:rsidRPr="00BF61C6" w:rsidRDefault="004605F5" w:rsidP="003E7D53">
            <w:pPr>
              <w:pStyle w:val="table"/>
              <w:jc w:val="center"/>
            </w:pPr>
            <w:r w:rsidRPr="004605F5">
              <w:t>1.59</w:t>
            </w:r>
          </w:p>
        </w:tc>
        <w:tc>
          <w:tcPr>
            <w:tcW w:w="541" w:type="dxa"/>
            <w:shd w:val="clear" w:color="auto" w:fill="FFFFFF"/>
            <w:tcMar>
              <w:top w:w="0" w:type="dxa"/>
              <w:left w:w="75" w:type="dxa"/>
              <w:bottom w:w="0" w:type="dxa"/>
              <w:right w:w="75" w:type="dxa"/>
            </w:tcMar>
            <w:vAlign w:val="center"/>
          </w:tcPr>
          <w:p w14:paraId="0BC1B536" w14:textId="1E1F418C" w:rsidR="004605F5" w:rsidRPr="00BF61C6" w:rsidRDefault="004605F5" w:rsidP="003E7D53">
            <w:pPr>
              <w:pStyle w:val="table"/>
              <w:jc w:val="center"/>
            </w:pPr>
            <w:r w:rsidRPr="004605F5">
              <w:t>2.78</w:t>
            </w:r>
          </w:p>
        </w:tc>
        <w:tc>
          <w:tcPr>
            <w:tcW w:w="611" w:type="dxa"/>
            <w:shd w:val="clear" w:color="auto" w:fill="FFFFFF"/>
            <w:tcMar>
              <w:top w:w="0" w:type="dxa"/>
              <w:left w:w="75" w:type="dxa"/>
              <w:bottom w:w="0" w:type="dxa"/>
              <w:right w:w="75" w:type="dxa"/>
            </w:tcMar>
            <w:vAlign w:val="center"/>
          </w:tcPr>
          <w:p w14:paraId="21518D38" w14:textId="2F888A37" w:rsidR="004605F5" w:rsidRPr="00BF61C6" w:rsidRDefault="004605F5" w:rsidP="003E7D53">
            <w:pPr>
              <w:pStyle w:val="table"/>
              <w:jc w:val="center"/>
            </w:pPr>
            <w:r w:rsidRPr="004605F5">
              <w:t>33.63</w:t>
            </w:r>
          </w:p>
        </w:tc>
        <w:tc>
          <w:tcPr>
            <w:tcW w:w="540" w:type="dxa"/>
            <w:shd w:val="clear" w:color="auto" w:fill="FFFFFF"/>
            <w:tcMar>
              <w:top w:w="0" w:type="dxa"/>
              <w:left w:w="75" w:type="dxa"/>
              <w:bottom w:w="0" w:type="dxa"/>
              <w:right w:w="75" w:type="dxa"/>
            </w:tcMar>
            <w:vAlign w:val="center"/>
          </w:tcPr>
          <w:p w14:paraId="50A36473" w14:textId="77B6B4C6" w:rsidR="004605F5" w:rsidRPr="00BF61C6" w:rsidRDefault="004605F5" w:rsidP="003E7D53">
            <w:pPr>
              <w:pStyle w:val="table"/>
              <w:jc w:val="center"/>
            </w:pPr>
            <w:r w:rsidRPr="004605F5">
              <w:t>.009</w:t>
            </w:r>
          </w:p>
        </w:tc>
        <w:tc>
          <w:tcPr>
            <w:tcW w:w="540" w:type="dxa"/>
            <w:shd w:val="clear" w:color="auto" w:fill="FFFFFF"/>
            <w:tcMar>
              <w:top w:w="0" w:type="dxa"/>
              <w:left w:w="75" w:type="dxa"/>
              <w:bottom w:w="0" w:type="dxa"/>
              <w:right w:w="75" w:type="dxa"/>
            </w:tcMar>
            <w:vAlign w:val="center"/>
          </w:tcPr>
          <w:p w14:paraId="27517814" w14:textId="12165DA0" w:rsidR="004605F5" w:rsidRPr="00BF61C6" w:rsidRDefault="004605F5" w:rsidP="003E7D53">
            <w:pPr>
              <w:pStyle w:val="table"/>
              <w:jc w:val="center"/>
            </w:pPr>
            <w:r w:rsidRPr="004605F5">
              <w:t>.018</w:t>
            </w:r>
          </w:p>
        </w:tc>
      </w:tr>
      <w:tr w:rsidR="004605F5" w:rsidRPr="00887AB3" w14:paraId="04E6B2AC" w14:textId="77777777" w:rsidTr="003E7D53">
        <w:trPr>
          <w:trHeight w:val="247"/>
        </w:trPr>
        <w:tc>
          <w:tcPr>
            <w:tcW w:w="903" w:type="dxa"/>
            <w:shd w:val="clear" w:color="auto" w:fill="FFFFFF"/>
            <w:vAlign w:val="center"/>
          </w:tcPr>
          <w:p w14:paraId="2BE64939" w14:textId="313A82A2" w:rsidR="004605F5" w:rsidRPr="008A6E79" w:rsidRDefault="004605F5" w:rsidP="003E7D53">
            <w:pPr>
              <w:pStyle w:val="table"/>
            </w:pPr>
            <w:r>
              <w:t>SEM</w:t>
            </w:r>
          </w:p>
        </w:tc>
        <w:tc>
          <w:tcPr>
            <w:tcW w:w="1083" w:type="dxa"/>
            <w:shd w:val="clear" w:color="auto" w:fill="FFFFFF"/>
            <w:tcMar>
              <w:top w:w="0" w:type="dxa"/>
              <w:left w:w="75" w:type="dxa"/>
              <w:bottom w:w="0" w:type="dxa"/>
              <w:right w:w="75" w:type="dxa"/>
            </w:tcMar>
            <w:vAlign w:val="center"/>
          </w:tcPr>
          <w:p w14:paraId="65397C09" w14:textId="6F26D5F2" w:rsidR="004605F5" w:rsidRPr="00BF61C6" w:rsidRDefault="004605F5" w:rsidP="003E7D53">
            <w:pPr>
              <w:pStyle w:val="table"/>
            </w:pPr>
            <w:r w:rsidRPr="00BF61C6">
              <w:t>Discomfort</w:t>
            </w:r>
          </w:p>
        </w:tc>
        <w:tc>
          <w:tcPr>
            <w:tcW w:w="541" w:type="dxa"/>
            <w:shd w:val="clear" w:color="auto" w:fill="FFFFFF"/>
            <w:vAlign w:val="center"/>
          </w:tcPr>
          <w:p w14:paraId="7C513D20" w14:textId="50978EB1" w:rsidR="004605F5" w:rsidRPr="00BF61C6" w:rsidRDefault="004605F5" w:rsidP="003E7D53">
            <w:pPr>
              <w:pStyle w:val="table"/>
              <w:jc w:val="center"/>
            </w:pPr>
            <w:r w:rsidRPr="004605F5">
              <w:t>24.76</w:t>
            </w:r>
          </w:p>
        </w:tc>
        <w:tc>
          <w:tcPr>
            <w:tcW w:w="542" w:type="dxa"/>
            <w:shd w:val="clear" w:color="auto" w:fill="FFFFFF"/>
            <w:vAlign w:val="center"/>
          </w:tcPr>
          <w:p w14:paraId="53A2E47E" w14:textId="7031F531" w:rsidR="004605F5" w:rsidRPr="00BF61C6" w:rsidRDefault="004605F5" w:rsidP="003E7D53">
            <w:pPr>
              <w:pStyle w:val="table"/>
              <w:jc w:val="center"/>
            </w:pPr>
            <w:r w:rsidRPr="004605F5">
              <w:t>16.97</w:t>
            </w:r>
          </w:p>
        </w:tc>
        <w:tc>
          <w:tcPr>
            <w:tcW w:w="631" w:type="dxa"/>
            <w:shd w:val="clear" w:color="auto" w:fill="FFFFFF"/>
            <w:vAlign w:val="center"/>
          </w:tcPr>
          <w:p w14:paraId="2B2496F5" w14:textId="39539BDB" w:rsidR="004605F5" w:rsidRPr="00BF61C6" w:rsidRDefault="004605F5" w:rsidP="003E7D53">
            <w:pPr>
              <w:pStyle w:val="table"/>
              <w:jc w:val="center"/>
            </w:pPr>
            <w:r w:rsidRPr="004605F5">
              <w:t>15.43</w:t>
            </w:r>
          </w:p>
        </w:tc>
        <w:tc>
          <w:tcPr>
            <w:tcW w:w="542" w:type="dxa"/>
            <w:shd w:val="clear" w:color="auto" w:fill="FFFFFF"/>
            <w:vAlign w:val="center"/>
          </w:tcPr>
          <w:p w14:paraId="35BFFF09" w14:textId="1FCD7366" w:rsidR="004605F5" w:rsidRPr="00BF61C6" w:rsidRDefault="004605F5" w:rsidP="003E7D53">
            <w:pPr>
              <w:pStyle w:val="table"/>
              <w:jc w:val="center"/>
            </w:pPr>
            <w:r w:rsidRPr="004605F5">
              <w:t>19.09</w:t>
            </w:r>
          </w:p>
        </w:tc>
        <w:tc>
          <w:tcPr>
            <w:tcW w:w="992" w:type="dxa"/>
            <w:shd w:val="clear" w:color="auto" w:fill="FFFFFF"/>
            <w:tcMar>
              <w:top w:w="0" w:type="dxa"/>
              <w:left w:w="75" w:type="dxa"/>
              <w:bottom w:w="0" w:type="dxa"/>
              <w:right w:w="75" w:type="dxa"/>
            </w:tcMar>
            <w:vAlign w:val="center"/>
          </w:tcPr>
          <w:p w14:paraId="21A7C16E" w14:textId="0F8822F8" w:rsidR="004605F5" w:rsidRPr="00BF61C6" w:rsidRDefault="004605F5" w:rsidP="003E7D53">
            <w:pPr>
              <w:pStyle w:val="table"/>
              <w:jc w:val="center"/>
            </w:pPr>
            <w:r w:rsidRPr="004605F5">
              <w:t>0.51</w:t>
            </w:r>
          </w:p>
        </w:tc>
        <w:tc>
          <w:tcPr>
            <w:tcW w:w="722" w:type="dxa"/>
            <w:shd w:val="clear" w:color="auto" w:fill="FFFFFF"/>
            <w:tcMar>
              <w:top w:w="0" w:type="dxa"/>
              <w:left w:w="75" w:type="dxa"/>
              <w:bottom w:w="0" w:type="dxa"/>
              <w:right w:w="75" w:type="dxa"/>
            </w:tcMar>
            <w:vAlign w:val="center"/>
          </w:tcPr>
          <w:p w14:paraId="3BB4658A" w14:textId="74808868" w:rsidR="004605F5" w:rsidRPr="00BF61C6" w:rsidRDefault="004605F5" w:rsidP="003E7D53">
            <w:pPr>
              <w:pStyle w:val="table"/>
              <w:jc w:val="center"/>
            </w:pPr>
            <w:r w:rsidRPr="004605F5">
              <w:t>-0.16</w:t>
            </w:r>
          </w:p>
        </w:tc>
        <w:tc>
          <w:tcPr>
            <w:tcW w:w="722" w:type="dxa"/>
            <w:shd w:val="clear" w:color="auto" w:fill="FFFFFF"/>
            <w:tcMar>
              <w:top w:w="0" w:type="dxa"/>
              <w:left w:w="75" w:type="dxa"/>
              <w:bottom w:w="0" w:type="dxa"/>
              <w:right w:w="75" w:type="dxa"/>
            </w:tcMar>
            <w:vAlign w:val="center"/>
          </w:tcPr>
          <w:p w14:paraId="12A82B0A" w14:textId="05A419B7" w:rsidR="004605F5" w:rsidRPr="00BF61C6" w:rsidRDefault="004605F5" w:rsidP="003E7D53">
            <w:pPr>
              <w:pStyle w:val="table"/>
              <w:jc w:val="center"/>
            </w:pPr>
            <w:r w:rsidRPr="004605F5">
              <w:t>1.17</w:t>
            </w:r>
          </w:p>
        </w:tc>
        <w:tc>
          <w:tcPr>
            <w:tcW w:w="541" w:type="dxa"/>
            <w:shd w:val="clear" w:color="auto" w:fill="FFFFFF"/>
            <w:tcMar>
              <w:top w:w="0" w:type="dxa"/>
              <w:left w:w="75" w:type="dxa"/>
              <w:bottom w:w="0" w:type="dxa"/>
              <w:right w:w="75" w:type="dxa"/>
            </w:tcMar>
            <w:vAlign w:val="center"/>
          </w:tcPr>
          <w:p w14:paraId="5887D22F" w14:textId="2858276C" w:rsidR="004605F5" w:rsidRPr="00BF61C6" w:rsidRDefault="004605F5" w:rsidP="003E7D53">
            <w:pPr>
              <w:pStyle w:val="table"/>
              <w:jc w:val="center"/>
            </w:pPr>
            <w:r w:rsidRPr="004605F5">
              <w:t>1.55</w:t>
            </w:r>
          </w:p>
        </w:tc>
        <w:tc>
          <w:tcPr>
            <w:tcW w:w="611" w:type="dxa"/>
            <w:shd w:val="clear" w:color="auto" w:fill="FFFFFF"/>
            <w:tcMar>
              <w:top w:w="0" w:type="dxa"/>
              <w:left w:w="75" w:type="dxa"/>
              <w:bottom w:w="0" w:type="dxa"/>
              <w:right w:w="75" w:type="dxa"/>
            </w:tcMar>
            <w:vAlign w:val="center"/>
          </w:tcPr>
          <w:p w14:paraId="6D972DB6" w14:textId="1BE6C5B7" w:rsidR="004605F5" w:rsidRPr="00BF61C6" w:rsidRDefault="004605F5" w:rsidP="003E7D53">
            <w:pPr>
              <w:pStyle w:val="table"/>
              <w:jc w:val="center"/>
            </w:pPr>
            <w:r w:rsidRPr="004605F5">
              <w:t>33.54</w:t>
            </w:r>
          </w:p>
        </w:tc>
        <w:tc>
          <w:tcPr>
            <w:tcW w:w="540" w:type="dxa"/>
            <w:shd w:val="clear" w:color="auto" w:fill="FFFFFF"/>
            <w:tcMar>
              <w:top w:w="0" w:type="dxa"/>
              <w:left w:w="75" w:type="dxa"/>
              <w:bottom w:w="0" w:type="dxa"/>
              <w:right w:w="75" w:type="dxa"/>
            </w:tcMar>
            <w:vAlign w:val="center"/>
          </w:tcPr>
          <w:p w14:paraId="5BC19ABF" w14:textId="3741F6CF" w:rsidR="004605F5" w:rsidRPr="00BF61C6" w:rsidRDefault="004605F5" w:rsidP="003E7D53">
            <w:pPr>
              <w:pStyle w:val="table"/>
              <w:jc w:val="center"/>
            </w:pPr>
            <w:r w:rsidRPr="004605F5">
              <w:t>.131</w:t>
            </w:r>
          </w:p>
        </w:tc>
        <w:tc>
          <w:tcPr>
            <w:tcW w:w="540" w:type="dxa"/>
            <w:shd w:val="clear" w:color="auto" w:fill="FFFFFF"/>
            <w:tcMar>
              <w:top w:w="0" w:type="dxa"/>
              <w:left w:w="75" w:type="dxa"/>
              <w:bottom w:w="0" w:type="dxa"/>
              <w:right w:w="75" w:type="dxa"/>
            </w:tcMar>
            <w:vAlign w:val="center"/>
          </w:tcPr>
          <w:p w14:paraId="2D5A8680" w14:textId="7F128A01" w:rsidR="004605F5" w:rsidRPr="00BF61C6" w:rsidRDefault="004605F5" w:rsidP="003E7D53">
            <w:pPr>
              <w:pStyle w:val="table"/>
              <w:jc w:val="center"/>
            </w:pPr>
            <w:r w:rsidRPr="004605F5">
              <w:t>.392</w:t>
            </w:r>
          </w:p>
        </w:tc>
      </w:tr>
      <w:tr w:rsidR="004605F5" w:rsidRPr="00887AB3" w14:paraId="350A2D3E" w14:textId="77777777" w:rsidTr="003E7D53">
        <w:trPr>
          <w:trHeight w:val="247"/>
        </w:trPr>
        <w:tc>
          <w:tcPr>
            <w:tcW w:w="903" w:type="dxa"/>
            <w:shd w:val="clear" w:color="auto" w:fill="FFFFFF"/>
            <w:vAlign w:val="center"/>
          </w:tcPr>
          <w:p w14:paraId="11C9ADA8" w14:textId="0DABDC2A"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21611F9E" w14:textId="0DE9BD75" w:rsidR="004605F5" w:rsidRPr="00BF61C6" w:rsidRDefault="004605F5" w:rsidP="003E7D53">
            <w:pPr>
              <w:pStyle w:val="table"/>
            </w:pPr>
            <w:r w:rsidRPr="00BF61C6">
              <w:t>Anxiety</w:t>
            </w:r>
          </w:p>
        </w:tc>
        <w:tc>
          <w:tcPr>
            <w:tcW w:w="541" w:type="dxa"/>
            <w:shd w:val="clear" w:color="auto" w:fill="FFFFFF"/>
            <w:vAlign w:val="center"/>
          </w:tcPr>
          <w:p w14:paraId="693C695D" w14:textId="6B245DF2" w:rsidR="004605F5" w:rsidRPr="00BF61C6" w:rsidRDefault="004605F5" w:rsidP="003E7D53">
            <w:pPr>
              <w:pStyle w:val="table"/>
              <w:jc w:val="center"/>
            </w:pPr>
            <w:r w:rsidRPr="004605F5">
              <w:t>17.97</w:t>
            </w:r>
          </w:p>
        </w:tc>
        <w:tc>
          <w:tcPr>
            <w:tcW w:w="542" w:type="dxa"/>
            <w:shd w:val="clear" w:color="auto" w:fill="FFFFFF"/>
            <w:vAlign w:val="center"/>
          </w:tcPr>
          <w:p w14:paraId="4DA2F3A5" w14:textId="26481507" w:rsidR="004605F5" w:rsidRPr="00BF61C6" w:rsidRDefault="004605F5" w:rsidP="003E7D53">
            <w:pPr>
              <w:pStyle w:val="table"/>
              <w:jc w:val="center"/>
            </w:pPr>
            <w:r w:rsidRPr="004605F5">
              <w:t>23.86</w:t>
            </w:r>
          </w:p>
        </w:tc>
        <w:tc>
          <w:tcPr>
            <w:tcW w:w="631" w:type="dxa"/>
            <w:shd w:val="clear" w:color="auto" w:fill="FFFFFF"/>
            <w:vAlign w:val="center"/>
          </w:tcPr>
          <w:p w14:paraId="7F69D921" w14:textId="6E3DA51A" w:rsidR="004605F5" w:rsidRPr="00BF61C6" w:rsidRDefault="004605F5" w:rsidP="003E7D53">
            <w:pPr>
              <w:pStyle w:val="table"/>
              <w:jc w:val="center"/>
            </w:pPr>
            <w:r w:rsidRPr="004605F5">
              <w:t>17.14</w:t>
            </w:r>
          </w:p>
        </w:tc>
        <w:tc>
          <w:tcPr>
            <w:tcW w:w="542" w:type="dxa"/>
            <w:shd w:val="clear" w:color="auto" w:fill="FFFFFF"/>
            <w:vAlign w:val="center"/>
          </w:tcPr>
          <w:p w14:paraId="1ABBBF2D" w14:textId="1C4549A9" w:rsidR="004605F5" w:rsidRPr="00BF61C6" w:rsidRDefault="004605F5" w:rsidP="003E7D53">
            <w:pPr>
              <w:pStyle w:val="table"/>
              <w:jc w:val="center"/>
            </w:pPr>
            <w:r w:rsidRPr="004605F5">
              <w:t>23.86</w:t>
            </w:r>
          </w:p>
        </w:tc>
        <w:tc>
          <w:tcPr>
            <w:tcW w:w="992" w:type="dxa"/>
            <w:shd w:val="clear" w:color="auto" w:fill="FFFFFF"/>
            <w:tcMar>
              <w:top w:w="0" w:type="dxa"/>
              <w:left w:w="75" w:type="dxa"/>
              <w:bottom w:w="0" w:type="dxa"/>
              <w:right w:w="75" w:type="dxa"/>
            </w:tcMar>
            <w:vAlign w:val="center"/>
          </w:tcPr>
          <w:p w14:paraId="2FA1E250" w14:textId="6FB47E95" w:rsidR="004605F5" w:rsidRPr="00BF61C6" w:rsidRDefault="004605F5" w:rsidP="003E7D53">
            <w:pPr>
              <w:pStyle w:val="table"/>
              <w:jc w:val="center"/>
            </w:pPr>
            <w:r w:rsidRPr="004605F5">
              <w:t>0.03</w:t>
            </w:r>
          </w:p>
        </w:tc>
        <w:tc>
          <w:tcPr>
            <w:tcW w:w="722" w:type="dxa"/>
            <w:shd w:val="clear" w:color="auto" w:fill="FFFFFF"/>
            <w:tcMar>
              <w:top w:w="0" w:type="dxa"/>
              <w:left w:w="75" w:type="dxa"/>
              <w:bottom w:w="0" w:type="dxa"/>
              <w:right w:w="75" w:type="dxa"/>
            </w:tcMar>
            <w:vAlign w:val="center"/>
          </w:tcPr>
          <w:p w14:paraId="7073DD0B" w14:textId="2C18ACBB" w:rsidR="004605F5" w:rsidRPr="00BF61C6" w:rsidRDefault="004605F5" w:rsidP="003E7D53">
            <w:pPr>
              <w:pStyle w:val="table"/>
              <w:jc w:val="center"/>
            </w:pPr>
            <w:r w:rsidRPr="004605F5">
              <w:t>-0.62</w:t>
            </w:r>
          </w:p>
        </w:tc>
        <w:tc>
          <w:tcPr>
            <w:tcW w:w="722" w:type="dxa"/>
            <w:shd w:val="clear" w:color="auto" w:fill="FFFFFF"/>
            <w:tcMar>
              <w:top w:w="0" w:type="dxa"/>
              <w:left w:w="75" w:type="dxa"/>
              <w:bottom w:w="0" w:type="dxa"/>
              <w:right w:w="75" w:type="dxa"/>
            </w:tcMar>
            <w:vAlign w:val="center"/>
          </w:tcPr>
          <w:p w14:paraId="27F3E1DD" w14:textId="30B2B80E" w:rsidR="004605F5" w:rsidRPr="00BF61C6" w:rsidRDefault="004605F5" w:rsidP="003E7D53">
            <w:pPr>
              <w:pStyle w:val="table"/>
              <w:jc w:val="center"/>
            </w:pPr>
            <w:r w:rsidRPr="004605F5">
              <w:t>0.69</w:t>
            </w:r>
          </w:p>
        </w:tc>
        <w:tc>
          <w:tcPr>
            <w:tcW w:w="541" w:type="dxa"/>
            <w:shd w:val="clear" w:color="auto" w:fill="FFFFFF"/>
            <w:tcMar>
              <w:top w:w="0" w:type="dxa"/>
              <w:left w:w="75" w:type="dxa"/>
              <w:bottom w:w="0" w:type="dxa"/>
              <w:right w:w="75" w:type="dxa"/>
            </w:tcMar>
            <w:vAlign w:val="center"/>
          </w:tcPr>
          <w:p w14:paraId="522CA04B" w14:textId="1E2D7257" w:rsidR="004605F5" w:rsidRPr="00BF61C6" w:rsidRDefault="004605F5" w:rsidP="003E7D53">
            <w:pPr>
              <w:pStyle w:val="table"/>
              <w:jc w:val="center"/>
            </w:pPr>
            <w:r w:rsidRPr="004605F5">
              <w:t>0.10</w:t>
            </w:r>
          </w:p>
        </w:tc>
        <w:tc>
          <w:tcPr>
            <w:tcW w:w="611" w:type="dxa"/>
            <w:shd w:val="clear" w:color="auto" w:fill="FFFFFF"/>
            <w:tcMar>
              <w:top w:w="0" w:type="dxa"/>
              <w:left w:w="75" w:type="dxa"/>
              <w:bottom w:w="0" w:type="dxa"/>
              <w:right w:w="75" w:type="dxa"/>
            </w:tcMar>
            <w:vAlign w:val="center"/>
          </w:tcPr>
          <w:p w14:paraId="150E4241" w14:textId="150D82C0" w:rsidR="004605F5" w:rsidRPr="00BF61C6" w:rsidRDefault="004605F5" w:rsidP="003E7D53">
            <w:pPr>
              <w:pStyle w:val="table"/>
              <w:jc w:val="center"/>
            </w:pPr>
            <w:r w:rsidRPr="004605F5">
              <w:t>34.00</w:t>
            </w:r>
          </w:p>
        </w:tc>
        <w:tc>
          <w:tcPr>
            <w:tcW w:w="540" w:type="dxa"/>
            <w:shd w:val="clear" w:color="auto" w:fill="FFFFFF"/>
            <w:tcMar>
              <w:top w:w="0" w:type="dxa"/>
              <w:left w:w="75" w:type="dxa"/>
              <w:bottom w:w="0" w:type="dxa"/>
              <w:right w:w="75" w:type="dxa"/>
            </w:tcMar>
            <w:vAlign w:val="center"/>
          </w:tcPr>
          <w:p w14:paraId="5F106565" w14:textId="78A625CF" w:rsidR="004605F5" w:rsidRPr="00BF61C6" w:rsidRDefault="004605F5" w:rsidP="003E7D53">
            <w:pPr>
              <w:pStyle w:val="table"/>
              <w:jc w:val="center"/>
            </w:pPr>
            <w:r w:rsidRPr="004605F5">
              <w:t>.918</w:t>
            </w:r>
          </w:p>
        </w:tc>
        <w:tc>
          <w:tcPr>
            <w:tcW w:w="540" w:type="dxa"/>
            <w:shd w:val="clear" w:color="auto" w:fill="FFFFFF"/>
            <w:tcMar>
              <w:top w:w="0" w:type="dxa"/>
              <w:left w:w="75" w:type="dxa"/>
              <w:bottom w:w="0" w:type="dxa"/>
              <w:right w:w="75" w:type="dxa"/>
            </w:tcMar>
            <w:vAlign w:val="center"/>
          </w:tcPr>
          <w:p w14:paraId="130EACDC" w14:textId="05454220" w:rsidR="004605F5" w:rsidRPr="00BF61C6" w:rsidRDefault="004605F5" w:rsidP="003E7D53">
            <w:pPr>
              <w:pStyle w:val="table"/>
              <w:jc w:val="center"/>
            </w:pPr>
            <w:r w:rsidRPr="004605F5">
              <w:t>.918</w:t>
            </w:r>
          </w:p>
        </w:tc>
      </w:tr>
      <w:tr w:rsidR="004605F5" w:rsidRPr="00887AB3" w14:paraId="55A0758D" w14:textId="77777777" w:rsidTr="003E7D53">
        <w:trPr>
          <w:trHeight w:val="247"/>
        </w:trPr>
        <w:tc>
          <w:tcPr>
            <w:tcW w:w="903" w:type="dxa"/>
            <w:shd w:val="clear" w:color="auto" w:fill="FFFFFF"/>
            <w:vAlign w:val="center"/>
          </w:tcPr>
          <w:p w14:paraId="04DB916C" w14:textId="1529E81D" w:rsidR="004605F5" w:rsidRPr="008A6E79" w:rsidRDefault="004605F5" w:rsidP="003E7D53">
            <w:pPr>
              <w:pStyle w:val="table"/>
            </w:pPr>
          </w:p>
        </w:tc>
        <w:tc>
          <w:tcPr>
            <w:tcW w:w="1083" w:type="dxa"/>
            <w:shd w:val="clear" w:color="auto" w:fill="FFFFFF"/>
            <w:tcMar>
              <w:top w:w="0" w:type="dxa"/>
              <w:left w:w="75" w:type="dxa"/>
              <w:bottom w:w="0" w:type="dxa"/>
              <w:right w:w="75" w:type="dxa"/>
            </w:tcMar>
            <w:vAlign w:val="center"/>
          </w:tcPr>
          <w:p w14:paraId="62767BA3" w14:textId="16BBD386" w:rsidR="004605F5" w:rsidRPr="00BF61C6" w:rsidRDefault="004605F5" w:rsidP="003E7D53">
            <w:pPr>
              <w:pStyle w:val="table"/>
            </w:pPr>
            <w:r w:rsidRPr="00BF61C6">
              <w:t>Stress</w:t>
            </w:r>
          </w:p>
        </w:tc>
        <w:tc>
          <w:tcPr>
            <w:tcW w:w="541" w:type="dxa"/>
            <w:shd w:val="clear" w:color="auto" w:fill="FFFFFF"/>
            <w:vAlign w:val="center"/>
          </w:tcPr>
          <w:p w14:paraId="107A2069" w14:textId="6B9BAE5D" w:rsidR="004605F5" w:rsidRPr="00BF61C6" w:rsidRDefault="004605F5" w:rsidP="003E7D53">
            <w:pPr>
              <w:pStyle w:val="table"/>
              <w:jc w:val="center"/>
            </w:pPr>
            <w:r w:rsidRPr="004605F5">
              <w:t>21.71</w:t>
            </w:r>
          </w:p>
        </w:tc>
        <w:tc>
          <w:tcPr>
            <w:tcW w:w="542" w:type="dxa"/>
            <w:shd w:val="clear" w:color="auto" w:fill="FFFFFF"/>
            <w:vAlign w:val="center"/>
          </w:tcPr>
          <w:p w14:paraId="383A21E7" w14:textId="2FF3DCEF" w:rsidR="004605F5" w:rsidRPr="00BF61C6" w:rsidRDefault="004605F5" w:rsidP="003E7D53">
            <w:pPr>
              <w:pStyle w:val="table"/>
              <w:jc w:val="center"/>
            </w:pPr>
            <w:r w:rsidRPr="004605F5">
              <w:t>21.21</w:t>
            </w:r>
          </w:p>
        </w:tc>
        <w:tc>
          <w:tcPr>
            <w:tcW w:w="631" w:type="dxa"/>
            <w:shd w:val="clear" w:color="auto" w:fill="FFFFFF"/>
            <w:vAlign w:val="center"/>
          </w:tcPr>
          <w:p w14:paraId="293378E1" w14:textId="07D7363D" w:rsidR="004605F5" w:rsidRPr="00BF61C6" w:rsidRDefault="004605F5" w:rsidP="003E7D53">
            <w:pPr>
              <w:pStyle w:val="table"/>
              <w:jc w:val="center"/>
            </w:pPr>
            <w:r w:rsidRPr="004605F5">
              <w:t>12.18</w:t>
            </w:r>
          </w:p>
        </w:tc>
        <w:tc>
          <w:tcPr>
            <w:tcW w:w="542" w:type="dxa"/>
            <w:shd w:val="clear" w:color="auto" w:fill="FFFFFF"/>
            <w:vAlign w:val="center"/>
          </w:tcPr>
          <w:p w14:paraId="36B12109" w14:textId="02AAF8DA" w:rsidR="004605F5" w:rsidRPr="00BF61C6" w:rsidRDefault="004605F5" w:rsidP="003E7D53">
            <w:pPr>
              <w:pStyle w:val="table"/>
              <w:jc w:val="center"/>
            </w:pPr>
            <w:r w:rsidRPr="004605F5">
              <w:t>19.09</w:t>
            </w:r>
          </w:p>
        </w:tc>
        <w:tc>
          <w:tcPr>
            <w:tcW w:w="992" w:type="dxa"/>
            <w:shd w:val="clear" w:color="auto" w:fill="FFFFFF"/>
            <w:tcMar>
              <w:top w:w="0" w:type="dxa"/>
              <w:left w:w="75" w:type="dxa"/>
              <w:bottom w:w="0" w:type="dxa"/>
              <w:right w:w="75" w:type="dxa"/>
            </w:tcMar>
            <w:vAlign w:val="center"/>
          </w:tcPr>
          <w:p w14:paraId="444D332E" w14:textId="0E4F68A8" w:rsidR="004605F5" w:rsidRPr="00BF61C6" w:rsidRDefault="004605F5" w:rsidP="003E7D53">
            <w:pPr>
              <w:pStyle w:val="table"/>
              <w:jc w:val="center"/>
            </w:pPr>
            <w:r w:rsidRPr="004605F5">
              <w:t>0.46</w:t>
            </w:r>
          </w:p>
        </w:tc>
        <w:tc>
          <w:tcPr>
            <w:tcW w:w="722" w:type="dxa"/>
            <w:shd w:val="clear" w:color="auto" w:fill="FFFFFF"/>
            <w:tcMar>
              <w:top w:w="0" w:type="dxa"/>
              <w:left w:w="75" w:type="dxa"/>
              <w:bottom w:w="0" w:type="dxa"/>
              <w:right w:w="75" w:type="dxa"/>
            </w:tcMar>
            <w:vAlign w:val="center"/>
          </w:tcPr>
          <w:p w14:paraId="60B14E8A" w14:textId="0AF89844" w:rsidR="004605F5" w:rsidRPr="00BF61C6" w:rsidRDefault="004605F5" w:rsidP="003E7D53">
            <w:pPr>
              <w:pStyle w:val="table"/>
              <w:jc w:val="center"/>
            </w:pPr>
            <w:r w:rsidRPr="004605F5">
              <w:t>-0.20</w:t>
            </w:r>
          </w:p>
        </w:tc>
        <w:tc>
          <w:tcPr>
            <w:tcW w:w="722" w:type="dxa"/>
            <w:shd w:val="clear" w:color="auto" w:fill="FFFFFF"/>
            <w:tcMar>
              <w:top w:w="0" w:type="dxa"/>
              <w:left w:w="75" w:type="dxa"/>
              <w:bottom w:w="0" w:type="dxa"/>
              <w:right w:w="75" w:type="dxa"/>
            </w:tcMar>
            <w:vAlign w:val="center"/>
          </w:tcPr>
          <w:p w14:paraId="0D1EF461" w14:textId="6461F0DE" w:rsidR="004605F5" w:rsidRPr="00BF61C6" w:rsidRDefault="004605F5" w:rsidP="003E7D53">
            <w:pPr>
              <w:pStyle w:val="table"/>
              <w:jc w:val="center"/>
            </w:pPr>
            <w:r w:rsidRPr="004605F5">
              <w:t>1.12</w:t>
            </w:r>
          </w:p>
        </w:tc>
        <w:tc>
          <w:tcPr>
            <w:tcW w:w="541" w:type="dxa"/>
            <w:shd w:val="clear" w:color="auto" w:fill="FFFFFF"/>
            <w:tcMar>
              <w:top w:w="0" w:type="dxa"/>
              <w:left w:w="75" w:type="dxa"/>
              <w:bottom w:w="0" w:type="dxa"/>
              <w:right w:w="75" w:type="dxa"/>
            </w:tcMar>
            <w:vAlign w:val="center"/>
          </w:tcPr>
          <w:p w14:paraId="7791E475" w14:textId="028C6189" w:rsidR="004605F5" w:rsidRPr="00BF61C6" w:rsidRDefault="004605F5" w:rsidP="003E7D53">
            <w:pPr>
              <w:pStyle w:val="table"/>
              <w:jc w:val="center"/>
            </w:pPr>
            <w:r w:rsidRPr="004605F5">
              <w:t>1.42</w:t>
            </w:r>
          </w:p>
        </w:tc>
        <w:tc>
          <w:tcPr>
            <w:tcW w:w="611" w:type="dxa"/>
            <w:shd w:val="clear" w:color="auto" w:fill="FFFFFF"/>
            <w:tcMar>
              <w:top w:w="0" w:type="dxa"/>
              <w:left w:w="75" w:type="dxa"/>
              <w:bottom w:w="0" w:type="dxa"/>
              <w:right w:w="75" w:type="dxa"/>
            </w:tcMar>
            <w:vAlign w:val="center"/>
          </w:tcPr>
          <w:p w14:paraId="32F657B0" w14:textId="66052E7A" w:rsidR="004605F5" w:rsidRPr="00BF61C6" w:rsidRDefault="004605F5" w:rsidP="003E7D53">
            <w:pPr>
              <w:pStyle w:val="table"/>
              <w:jc w:val="center"/>
            </w:pPr>
            <w:r w:rsidRPr="004605F5">
              <w:t>33.63</w:t>
            </w:r>
          </w:p>
        </w:tc>
        <w:tc>
          <w:tcPr>
            <w:tcW w:w="540" w:type="dxa"/>
            <w:shd w:val="clear" w:color="auto" w:fill="FFFFFF"/>
            <w:tcMar>
              <w:top w:w="0" w:type="dxa"/>
              <w:left w:w="75" w:type="dxa"/>
              <w:bottom w:w="0" w:type="dxa"/>
              <w:right w:w="75" w:type="dxa"/>
            </w:tcMar>
            <w:vAlign w:val="center"/>
          </w:tcPr>
          <w:p w14:paraId="2F8EC618" w14:textId="19056266" w:rsidR="004605F5" w:rsidRPr="00BF61C6" w:rsidRDefault="004605F5" w:rsidP="003E7D53">
            <w:pPr>
              <w:pStyle w:val="table"/>
              <w:jc w:val="center"/>
            </w:pPr>
            <w:r w:rsidRPr="004605F5">
              <w:t>.166</w:t>
            </w:r>
          </w:p>
        </w:tc>
        <w:tc>
          <w:tcPr>
            <w:tcW w:w="540" w:type="dxa"/>
            <w:shd w:val="clear" w:color="auto" w:fill="FFFFFF"/>
            <w:tcMar>
              <w:top w:w="0" w:type="dxa"/>
              <w:left w:w="75" w:type="dxa"/>
              <w:bottom w:w="0" w:type="dxa"/>
              <w:right w:w="75" w:type="dxa"/>
            </w:tcMar>
            <w:vAlign w:val="center"/>
          </w:tcPr>
          <w:p w14:paraId="13524151" w14:textId="4D067F8B" w:rsidR="004605F5" w:rsidRPr="00BF61C6" w:rsidRDefault="004605F5" w:rsidP="003E7D53">
            <w:pPr>
              <w:pStyle w:val="table"/>
              <w:jc w:val="center"/>
            </w:pPr>
            <w:r w:rsidRPr="004605F5">
              <w:t>.392</w:t>
            </w:r>
          </w:p>
        </w:tc>
      </w:tr>
    </w:tbl>
    <w:p w14:paraId="0F4B2FBB" w14:textId="77777777" w:rsidR="00A96F55" w:rsidRDefault="00A96F55" w:rsidP="004605F5"/>
    <w:p w14:paraId="28296F7A" w14:textId="77777777" w:rsidR="00F65EEF" w:rsidRDefault="00F65EEF">
      <w:pPr>
        <w:rPr>
          <w:b/>
          <w:bCs/>
        </w:rPr>
      </w:pPr>
      <w:r>
        <w:rPr>
          <w:b/>
          <w:bCs/>
        </w:rPr>
        <w:br w:type="page"/>
      </w:r>
    </w:p>
    <w:p w14:paraId="5EEC069D" w14:textId="39F5DCEE" w:rsidR="00A21020" w:rsidRDefault="00A21020" w:rsidP="004605F5">
      <w:r w:rsidRPr="00346EE3">
        <w:rPr>
          <w:b/>
          <w:bCs/>
        </w:rPr>
        <w:lastRenderedPageBreak/>
        <w:t>Figure 1.</w:t>
      </w:r>
      <w:r>
        <w:t xml:space="preserve"> Hedges’ </w:t>
      </w:r>
      <w:r w:rsidRPr="00E51EF6">
        <w:rPr>
          <w:i/>
          <w:iCs/>
        </w:rPr>
        <w:t>g</w:t>
      </w:r>
      <w:r>
        <w:t xml:space="preserve"> effect sizes for each distress outcome variable reported in Foody et al. (2013) (in blue) plus a pooled variable (in green)</w:t>
      </w:r>
      <w:r w:rsidR="00BD4DF5">
        <w:t>, calculated by treating the intervals reported in Foody et al. (2013) as either 95% Confidence Intervals or Standard Errors of the Mean.</w:t>
      </w:r>
    </w:p>
    <w:p w14:paraId="5E5E66D3" w14:textId="669BA0B7" w:rsidR="00CF02C1" w:rsidRDefault="00CF02C1" w:rsidP="004605F5"/>
    <w:p w14:paraId="7B71742E" w14:textId="46061050" w:rsidR="00CF02C1" w:rsidRPr="004605F5" w:rsidRDefault="00B857A0" w:rsidP="00CF02C1">
      <w:pPr>
        <w:jc w:val="center"/>
      </w:pPr>
      <w:r>
        <w:rPr>
          <w:noProof/>
        </w:rPr>
        <w:drawing>
          <wp:inline distT="0" distB="0" distL="0" distR="0" wp14:anchorId="71ACA57A" wp14:editId="67BB4765">
            <wp:extent cx="45720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F638CD5" w14:textId="745EEC85" w:rsidR="00E63A98" w:rsidRDefault="00E63A98">
      <w:pPr>
        <w:rPr>
          <w:b/>
          <w:bCs/>
        </w:rPr>
      </w:pPr>
    </w:p>
    <w:p w14:paraId="075CF9F5" w14:textId="393BF772" w:rsidR="00445BCF" w:rsidRDefault="003C43B5" w:rsidP="00E742C9">
      <w:pPr>
        <w:ind w:firstLine="720"/>
      </w:pPr>
      <w:r w:rsidRPr="0078581A">
        <w:rPr>
          <w:highlight w:val="magenta"/>
        </w:rPr>
        <w:t xml:space="preserve">There are two reasons why these results are still difficult to interpret. First, the effect size for discomfort and stress are implausibly large. </w:t>
      </w:r>
      <w:r w:rsidR="00445BCF" w:rsidRPr="0078581A">
        <w:rPr>
          <w:highlight w:val="magenta"/>
        </w:rPr>
        <w:t xml:space="preserve">A wealth of research in the wake of the Replication Crisis in psychology has noted that the combination of small sample sizes and very large effect sizes, such as that observed in Foody et al. (2013), are a hallmark of unreplicable effects (REF). In providing guidance on the interpretation of both large and small effect sizes, Funder and Ozer </w:t>
      </w:r>
      <w:r w:rsidR="00445BCF" w:rsidRPr="0078581A">
        <w:rPr>
          <w:highlight w:val="magenta"/>
        </w:rPr>
        <w:fldChar w:fldCharType="begin"/>
      </w:r>
      <w:r w:rsidR="00445BCF" w:rsidRPr="0078581A">
        <w:rPr>
          <w:highlight w:val="magenta"/>
        </w:rPr>
        <w:instrText xml:space="preserve"> ADDIN ZOTERO_ITEM CSL_CITATION {"citationID":"BBp7Hq98","properties":{"formattedCitation":"(2019)","plainCitation":"(2019)","noteIndex":0},"citationItems":[{"id":16292,"uris":["http://zotero.org/users/1687755/items/295T2ATY"],"itemData":{"id":16292,"type":"article-journal","abstract":"Effect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J."}],"issued":{"date-parts":[["2019",6,1]]}},"label":"page","suppress-author":true}],"schema":"https://github.com/citation-style-language/schema/raw/master/csl-citation.json"} </w:instrText>
      </w:r>
      <w:r w:rsidR="00445BCF" w:rsidRPr="0078581A">
        <w:rPr>
          <w:highlight w:val="magenta"/>
        </w:rPr>
        <w:fldChar w:fldCharType="separate"/>
      </w:r>
      <w:r w:rsidR="00445BCF" w:rsidRPr="0078581A">
        <w:rPr>
          <w:noProof/>
          <w:highlight w:val="magenta"/>
        </w:rPr>
        <w:t>(2019)</w:t>
      </w:r>
      <w:r w:rsidR="00445BCF" w:rsidRPr="0078581A">
        <w:rPr>
          <w:highlight w:val="magenta"/>
        </w:rPr>
        <w:fldChar w:fldCharType="end"/>
      </w:r>
      <w:r w:rsidR="00445BCF" w:rsidRPr="0078581A">
        <w:rPr>
          <w:highlight w:val="magenta"/>
        </w:rPr>
        <w:t xml:space="preserve"> note that a “very large effect size (</w:t>
      </w:r>
      <w:r w:rsidR="00445BCF" w:rsidRPr="0078581A">
        <w:rPr>
          <w:i/>
          <w:iCs/>
          <w:highlight w:val="magenta"/>
        </w:rPr>
        <w:t>r</w:t>
      </w:r>
      <w:r w:rsidR="00445BCF" w:rsidRPr="0078581A">
        <w:rPr>
          <w:highlight w:val="magenta"/>
        </w:rPr>
        <w:t xml:space="preserve"> = .40 [Cohen’s </w:t>
      </w:r>
      <w:r w:rsidR="00445BCF" w:rsidRPr="0078581A">
        <w:rPr>
          <w:i/>
          <w:iCs/>
          <w:highlight w:val="magenta"/>
        </w:rPr>
        <w:t>d</w:t>
      </w:r>
      <w:r w:rsidR="00445BCF" w:rsidRPr="0078581A">
        <w:rPr>
          <w:highlight w:val="magenta"/>
        </w:rPr>
        <w:t xml:space="preserve"> = 0.87] or greater) in the context of psychological research is likely to be a gross overestimate that will rarely be found in a large sample or in a replication.” (p. 156, effect size conversion added). The effect sizes for discomfort and stress (Hedges’ </w:t>
      </w:r>
      <w:r w:rsidR="00445BCF" w:rsidRPr="0078581A">
        <w:rPr>
          <w:i/>
          <w:iCs/>
          <w:highlight w:val="magenta"/>
        </w:rPr>
        <w:t>g</w:t>
      </w:r>
      <w:r w:rsidR="00445BCF" w:rsidRPr="0078581A">
        <w:rPr>
          <w:highlight w:val="magenta"/>
        </w:rPr>
        <w:t xml:space="preserve"> = 1.00 and 0.90, equivalent to </w:t>
      </w:r>
      <w:r w:rsidR="00445BCF" w:rsidRPr="0078581A">
        <w:rPr>
          <w:i/>
          <w:iCs/>
          <w:highlight w:val="magenta"/>
        </w:rPr>
        <w:t>r</w:t>
      </w:r>
      <w:r w:rsidR="00445BCF" w:rsidRPr="0078581A">
        <w:rPr>
          <w:highlight w:val="magenta"/>
        </w:rPr>
        <w:t xml:space="preserve"> = .45 and .41) are both larger than this, raising questions about them being credible estimates of the population effect</w:t>
      </w:r>
      <w:r w:rsidR="00445BCF">
        <w:t xml:space="preserve">. </w:t>
      </w:r>
      <w:r w:rsidR="00445BCF" w:rsidRPr="0038660F">
        <w:rPr>
          <w:highlight w:val="yellow"/>
        </w:rPr>
        <w:t xml:space="preserve">To put the effect sizes for these two outcome measures in context, this would imply that the difference in efficacy of the distinction and hierarchical conditions – both of which are plausible looking ACT-informed interventions – is roughly the same size as the correlation between weight and height in U.S. adults </w:t>
      </w:r>
      <w:r w:rsidR="00445BCF" w:rsidRPr="0038660F">
        <w:rPr>
          <w:highlight w:val="yellow"/>
        </w:rPr>
        <w:fldChar w:fldCharType="begin"/>
      </w:r>
      <w:r w:rsidR="00445BCF" w:rsidRPr="0038660F">
        <w:rPr>
          <w:highlight w:val="yellow"/>
        </w:rPr>
        <w:instrText xml:space="preserve"> ADDIN ZOTERO_ITEM CSL_CITATION {"citationID":"a8h9pvfe","properties":{"formattedCitation":"(r = .44: Funder &amp; Ozer, 2019)","plainCitation":"(r = .44: Funder &amp; Ozer, 2019)","noteIndex":0},"citationItems":[{"id":16292,"uris":["http://zotero.org/users/1687755/items/295T2ATY"],"itemData":{"id":16292,"type":"article-journal","abstract":"Effect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J."}],"issued":{"date-parts":[["2019",6,1]]}},"label":"page","prefix":"r = .44: "}],"schema":"https://github.com/citation-style-language/schema/raw/master/csl-citation.json"} </w:instrText>
      </w:r>
      <w:r w:rsidR="00445BCF" w:rsidRPr="0038660F">
        <w:rPr>
          <w:highlight w:val="yellow"/>
        </w:rPr>
        <w:fldChar w:fldCharType="separate"/>
      </w:r>
      <w:r w:rsidR="00445BCF" w:rsidRPr="0038660F">
        <w:rPr>
          <w:noProof/>
          <w:highlight w:val="yellow"/>
        </w:rPr>
        <w:t>(</w:t>
      </w:r>
      <w:r w:rsidR="00445BCF" w:rsidRPr="0038660F">
        <w:rPr>
          <w:i/>
          <w:iCs/>
          <w:noProof/>
          <w:highlight w:val="yellow"/>
        </w:rPr>
        <w:t>r</w:t>
      </w:r>
      <w:r w:rsidR="00445BCF" w:rsidRPr="0038660F">
        <w:rPr>
          <w:noProof/>
          <w:highlight w:val="yellow"/>
        </w:rPr>
        <w:t xml:space="preserve"> = .44: Funder &amp; Ozer, 2019)</w:t>
      </w:r>
      <w:r w:rsidR="00445BCF" w:rsidRPr="0038660F">
        <w:rPr>
          <w:highlight w:val="yellow"/>
        </w:rPr>
        <w:fldChar w:fldCharType="end"/>
      </w:r>
      <w:r w:rsidR="00445BCF" w:rsidRPr="0038660F">
        <w:rPr>
          <w:highlight w:val="yellow"/>
        </w:rPr>
        <w:t>.</w:t>
      </w:r>
      <w:r w:rsidR="00445BCF">
        <w:t xml:space="preserve"> </w:t>
      </w:r>
    </w:p>
    <w:p w14:paraId="4C909F2A" w14:textId="6336E46C" w:rsidR="00AC7A7C" w:rsidRDefault="00AC7A7C" w:rsidP="003C43B5"/>
    <w:p w14:paraId="4BE5FF17" w14:textId="3E756FDB" w:rsidR="00AC7A7C" w:rsidRPr="00754C94" w:rsidRDefault="00AC7A7C" w:rsidP="003C43B5">
      <w:pPr>
        <w:ind w:firstLine="720"/>
      </w:pPr>
      <w:r>
        <w:t xml:space="preserve">Second, even if we take the effect sizes at face value, there is an issue of interpretation. </w:t>
      </w:r>
    </w:p>
    <w:p w14:paraId="4D24BBB7" w14:textId="6A62FB26" w:rsidR="00244D0C" w:rsidRDefault="00244D0C" w:rsidP="008A6E79"/>
    <w:p w14:paraId="7249D77D" w14:textId="15DCCBD3" w:rsidR="00222C56" w:rsidRDefault="00222C56" w:rsidP="008A6E79"/>
    <w:p w14:paraId="52842967" w14:textId="333546C2" w:rsidR="00222C56" w:rsidRDefault="00222C56" w:rsidP="008A6E79"/>
    <w:p w14:paraId="1DE8615C" w14:textId="77777777" w:rsidR="00222C56" w:rsidRDefault="00222C56" w:rsidP="008A6E79"/>
    <w:p w14:paraId="5B7DE23C" w14:textId="77777777" w:rsidR="00445BCF" w:rsidRDefault="00445BCF" w:rsidP="008A6E79"/>
    <w:p w14:paraId="5B11F823" w14:textId="5D89A728" w:rsidR="008A6E79" w:rsidRPr="008A6E79" w:rsidRDefault="00AC1E43" w:rsidP="008A6E79">
      <w:r w:rsidRPr="00DA14AA">
        <w:rPr>
          <w:b/>
          <w:bCs/>
        </w:rPr>
        <w:lastRenderedPageBreak/>
        <w:t xml:space="preserve">Table </w:t>
      </w:r>
      <w:r w:rsidR="003B7E83">
        <w:rPr>
          <w:b/>
          <w:bCs/>
        </w:rPr>
        <w:t>3</w:t>
      </w:r>
      <w:r w:rsidRPr="00DA14AA">
        <w:rPr>
          <w:b/>
          <w:bCs/>
        </w:rPr>
        <w:t>.</w:t>
      </w:r>
      <w:r>
        <w:t xml:space="preserve"> Independent </w:t>
      </w:r>
      <w:r w:rsidR="006B518B">
        <w:t>Welch’s</w:t>
      </w:r>
      <w:r>
        <w:t xml:space="preserve"> </w:t>
      </w:r>
      <w:r w:rsidRPr="00F3010F">
        <w:rPr>
          <w:i/>
          <w:iCs/>
        </w:rPr>
        <w:t>t</w:t>
      </w:r>
      <w:r>
        <w:t>-test comparing the hierarchical and distinction conditions at the post intervention time point</w:t>
      </w:r>
      <w:r w:rsidR="00C40305">
        <w:t xml:space="preserve"> using the pooled </w:t>
      </w:r>
      <w:r w:rsidR="000939B2">
        <w:t xml:space="preserve">responses on the </w:t>
      </w:r>
      <w:r w:rsidR="000939B2">
        <w:t>visual analogue scales</w:t>
      </w:r>
      <w:r w:rsidR="00BF0C69">
        <w:t>.</w:t>
      </w:r>
    </w:p>
    <w:p w14:paraId="48B11A43" w14:textId="4D496AA2" w:rsidR="008A6E79" w:rsidRDefault="008A6E79" w:rsidP="00425562">
      <w:pPr>
        <w:jc w:val="center"/>
      </w:pPr>
    </w:p>
    <w:tbl>
      <w:tblPr>
        <w:tblW w:w="9054" w:type="dxa"/>
        <w:tblBorders>
          <w:top w:val="single" w:sz="4" w:space="0" w:color="auto"/>
          <w:bottom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10"/>
        <w:gridCol w:w="1906"/>
        <w:gridCol w:w="634"/>
        <w:gridCol w:w="543"/>
        <w:gridCol w:w="724"/>
        <w:gridCol w:w="544"/>
        <w:gridCol w:w="996"/>
        <w:gridCol w:w="724"/>
        <w:gridCol w:w="725"/>
        <w:gridCol w:w="543"/>
        <w:gridCol w:w="362"/>
        <w:gridCol w:w="543"/>
      </w:tblGrid>
      <w:tr w:rsidR="00A13EC9" w:rsidRPr="00887AB3" w14:paraId="0C9EF8D7" w14:textId="77777777" w:rsidTr="003E7D53">
        <w:trPr>
          <w:trHeight w:val="274"/>
          <w:tblHeader/>
        </w:trPr>
        <w:tc>
          <w:tcPr>
            <w:tcW w:w="810" w:type="dxa"/>
            <w:shd w:val="clear" w:color="auto" w:fill="FFFFFF"/>
            <w:tcMar>
              <w:top w:w="0" w:type="dxa"/>
              <w:left w:w="75" w:type="dxa"/>
              <w:bottom w:w="0" w:type="dxa"/>
              <w:right w:w="75" w:type="dxa"/>
            </w:tcMar>
            <w:vAlign w:val="center"/>
          </w:tcPr>
          <w:p w14:paraId="145FF815" w14:textId="77777777" w:rsidR="00A13EC9" w:rsidRPr="00887AB3" w:rsidRDefault="00A13EC9" w:rsidP="003E7D53">
            <w:pPr>
              <w:pStyle w:val="table"/>
            </w:pPr>
          </w:p>
        </w:tc>
        <w:tc>
          <w:tcPr>
            <w:tcW w:w="1906" w:type="dxa"/>
            <w:shd w:val="clear" w:color="auto" w:fill="FFFFFF"/>
          </w:tcPr>
          <w:p w14:paraId="25B59FE9" w14:textId="77777777" w:rsidR="00A13EC9" w:rsidRPr="00071179" w:rsidRDefault="00A13EC9" w:rsidP="003E7D53">
            <w:pPr>
              <w:pStyle w:val="table"/>
            </w:pPr>
          </w:p>
        </w:tc>
        <w:tc>
          <w:tcPr>
            <w:tcW w:w="1177" w:type="dxa"/>
            <w:gridSpan w:val="2"/>
            <w:tcBorders>
              <w:bottom w:val="single" w:sz="4" w:space="0" w:color="auto"/>
            </w:tcBorders>
            <w:shd w:val="clear" w:color="auto" w:fill="FFFFFF"/>
            <w:vAlign w:val="center"/>
          </w:tcPr>
          <w:p w14:paraId="2D6DB20E" w14:textId="48D81BF7" w:rsidR="00A13EC9" w:rsidRPr="00071179" w:rsidRDefault="00A13EC9" w:rsidP="003E7D53">
            <w:pPr>
              <w:pStyle w:val="table"/>
              <w:jc w:val="center"/>
            </w:pPr>
            <w:r w:rsidRPr="00071179">
              <w:t>Distinction</w:t>
            </w:r>
          </w:p>
        </w:tc>
        <w:tc>
          <w:tcPr>
            <w:tcW w:w="1268" w:type="dxa"/>
            <w:gridSpan w:val="2"/>
            <w:tcBorders>
              <w:bottom w:val="single" w:sz="4" w:space="0" w:color="auto"/>
            </w:tcBorders>
            <w:shd w:val="clear" w:color="auto" w:fill="FFFFFF"/>
            <w:vAlign w:val="center"/>
          </w:tcPr>
          <w:p w14:paraId="776DCBD3" w14:textId="442F16E3" w:rsidR="00A13EC9" w:rsidRPr="00071179" w:rsidRDefault="00A13EC9" w:rsidP="003E7D53">
            <w:pPr>
              <w:pStyle w:val="table"/>
              <w:jc w:val="center"/>
            </w:pPr>
            <w:r w:rsidRPr="00071179">
              <w:t>Hierarchy</w:t>
            </w:r>
          </w:p>
        </w:tc>
        <w:tc>
          <w:tcPr>
            <w:tcW w:w="996" w:type="dxa"/>
            <w:shd w:val="clear" w:color="auto" w:fill="FFFFFF"/>
            <w:tcMar>
              <w:top w:w="0" w:type="dxa"/>
              <w:left w:w="75" w:type="dxa"/>
              <w:bottom w:w="0" w:type="dxa"/>
              <w:right w:w="75" w:type="dxa"/>
            </w:tcMar>
            <w:vAlign w:val="center"/>
          </w:tcPr>
          <w:p w14:paraId="40BCFAD8" w14:textId="3EF5D15E" w:rsidR="00A13EC9" w:rsidRPr="00887AB3" w:rsidRDefault="00A13EC9" w:rsidP="003E7D53">
            <w:pPr>
              <w:pStyle w:val="table"/>
              <w:jc w:val="center"/>
            </w:pPr>
          </w:p>
        </w:tc>
        <w:tc>
          <w:tcPr>
            <w:tcW w:w="1449" w:type="dxa"/>
            <w:gridSpan w:val="2"/>
            <w:tcBorders>
              <w:top w:val="single" w:sz="4" w:space="0" w:color="auto"/>
              <w:bottom w:val="single" w:sz="4" w:space="0" w:color="auto"/>
            </w:tcBorders>
            <w:shd w:val="clear" w:color="auto" w:fill="FFFFFF"/>
            <w:tcMar>
              <w:top w:w="0" w:type="dxa"/>
              <w:left w:w="75" w:type="dxa"/>
              <w:bottom w:w="0" w:type="dxa"/>
              <w:right w:w="75" w:type="dxa"/>
            </w:tcMar>
            <w:vAlign w:val="center"/>
          </w:tcPr>
          <w:p w14:paraId="2CF019AB" w14:textId="77777777" w:rsidR="00A13EC9" w:rsidRPr="00887AB3" w:rsidRDefault="00A13EC9" w:rsidP="003E7D53">
            <w:pPr>
              <w:pStyle w:val="table"/>
              <w:jc w:val="center"/>
            </w:pPr>
            <w:r w:rsidRPr="00887AB3">
              <w:t>95% CI</w:t>
            </w:r>
          </w:p>
        </w:tc>
        <w:tc>
          <w:tcPr>
            <w:tcW w:w="543" w:type="dxa"/>
            <w:shd w:val="clear" w:color="auto" w:fill="FFFFFF"/>
            <w:tcMar>
              <w:top w:w="0" w:type="dxa"/>
              <w:left w:w="75" w:type="dxa"/>
              <w:bottom w:w="0" w:type="dxa"/>
              <w:right w:w="75" w:type="dxa"/>
            </w:tcMar>
            <w:vAlign w:val="center"/>
          </w:tcPr>
          <w:p w14:paraId="12158FDD" w14:textId="77777777" w:rsidR="00A13EC9" w:rsidRPr="00887AB3" w:rsidRDefault="00A13EC9" w:rsidP="003E7D53">
            <w:pPr>
              <w:pStyle w:val="table"/>
              <w:jc w:val="center"/>
            </w:pPr>
          </w:p>
        </w:tc>
        <w:tc>
          <w:tcPr>
            <w:tcW w:w="362" w:type="dxa"/>
            <w:shd w:val="clear" w:color="auto" w:fill="FFFFFF"/>
            <w:tcMar>
              <w:top w:w="0" w:type="dxa"/>
              <w:left w:w="75" w:type="dxa"/>
              <w:bottom w:w="0" w:type="dxa"/>
              <w:right w:w="75" w:type="dxa"/>
            </w:tcMar>
            <w:vAlign w:val="center"/>
          </w:tcPr>
          <w:p w14:paraId="603CC37C" w14:textId="77777777" w:rsidR="00A13EC9" w:rsidRPr="00887AB3" w:rsidRDefault="00A13EC9" w:rsidP="003E7D53">
            <w:pPr>
              <w:pStyle w:val="table"/>
              <w:jc w:val="center"/>
            </w:pPr>
          </w:p>
        </w:tc>
        <w:tc>
          <w:tcPr>
            <w:tcW w:w="543" w:type="dxa"/>
            <w:shd w:val="clear" w:color="auto" w:fill="FFFFFF"/>
            <w:tcMar>
              <w:top w:w="0" w:type="dxa"/>
              <w:left w:w="75" w:type="dxa"/>
              <w:bottom w:w="0" w:type="dxa"/>
              <w:right w:w="75" w:type="dxa"/>
            </w:tcMar>
            <w:vAlign w:val="center"/>
          </w:tcPr>
          <w:p w14:paraId="162460B7" w14:textId="77777777" w:rsidR="00A13EC9" w:rsidRPr="00887AB3" w:rsidRDefault="00A13EC9" w:rsidP="003E7D53">
            <w:pPr>
              <w:pStyle w:val="table"/>
              <w:jc w:val="center"/>
            </w:pPr>
          </w:p>
        </w:tc>
      </w:tr>
      <w:tr w:rsidR="00A13EC9" w:rsidRPr="00887AB3" w14:paraId="29550615" w14:textId="77777777" w:rsidTr="003E7D53">
        <w:trPr>
          <w:trHeight w:val="274"/>
          <w:tblHeader/>
        </w:trPr>
        <w:tc>
          <w:tcPr>
            <w:tcW w:w="810" w:type="dxa"/>
            <w:tcBorders>
              <w:bottom w:val="single" w:sz="4" w:space="0" w:color="auto"/>
            </w:tcBorders>
            <w:shd w:val="clear" w:color="auto" w:fill="FFFFFF"/>
            <w:tcMar>
              <w:top w:w="0" w:type="dxa"/>
              <w:left w:w="75" w:type="dxa"/>
              <w:bottom w:w="0" w:type="dxa"/>
              <w:right w:w="75" w:type="dxa"/>
            </w:tcMar>
            <w:vAlign w:val="center"/>
          </w:tcPr>
          <w:p w14:paraId="49BD17F6" w14:textId="13552421" w:rsidR="00A13EC9" w:rsidRPr="00A13EC9" w:rsidRDefault="00A13EC9" w:rsidP="003E7D53">
            <w:pPr>
              <w:pStyle w:val="table"/>
            </w:pPr>
            <w:r w:rsidRPr="00A13EC9">
              <w:t xml:space="preserve">Interval </w:t>
            </w:r>
          </w:p>
        </w:tc>
        <w:tc>
          <w:tcPr>
            <w:tcW w:w="1906" w:type="dxa"/>
            <w:tcBorders>
              <w:bottom w:val="single" w:sz="4" w:space="0" w:color="auto"/>
            </w:tcBorders>
            <w:shd w:val="clear" w:color="auto" w:fill="FFFFFF"/>
            <w:vAlign w:val="center"/>
          </w:tcPr>
          <w:p w14:paraId="6052EDFC" w14:textId="1FC3B2A0" w:rsidR="00A13EC9" w:rsidRPr="00071179" w:rsidRDefault="00A13EC9" w:rsidP="003E7D53">
            <w:pPr>
              <w:pStyle w:val="table"/>
              <w:rPr>
                <w:i/>
                <w:iCs/>
              </w:rPr>
            </w:pPr>
            <w:r w:rsidRPr="00887AB3">
              <w:t>DV</w:t>
            </w:r>
          </w:p>
        </w:tc>
        <w:tc>
          <w:tcPr>
            <w:tcW w:w="634" w:type="dxa"/>
            <w:tcBorders>
              <w:top w:val="single" w:sz="4" w:space="0" w:color="auto"/>
              <w:bottom w:val="single" w:sz="4" w:space="0" w:color="auto"/>
            </w:tcBorders>
            <w:shd w:val="clear" w:color="auto" w:fill="FFFFFF"/>
            <w:vAlign w:val="center"/>
          </w:tcPr>
          <w:p w14:paraId="1A0FC490" w14:textId="43C46491" w:rsidR="00A13EC9" w:rsidRPr="00071179" w:rsidRDefault="00A13EC9" w:rsidP="003E7D53">
            <w:pPr>
              <w:pStyle w:val="table"/>
              <w:jc w:val="center"/>
            </w:pPr>
            <w:r w:rsidRPr="00071179">
              <w:rPr>
                <w:i/>
                <w:iCs/>
              </w:rPr>
              <w:t>M</w:t>
            </w:r>
          </w:p>
        </w:tc>
        <w:tc>
          <w:tcPr>
            <w:tcW w:w="543" w:type="dxa"/>
            <w:tcBorders>
              <w:top w:val="single" w:sz="4" w:space="0" w:color="auto"/>
              <w:bottom w:val="single" w:sz="4" w:space="0" w:color="auto"/>
            </w:tcBorders>
            <w:shd w:val="clear" w:color="auto" w:fill="FFFFFF"/>
            <w:vAlign w:val="center"/>
          </w:tcPr>
          <w:p w14:paraId="69F4775E" w14:textId="23EBA8BF" w:rsidR="00A13EC9" w:rsidRPr="00071179" w:rsidRDefault="00A13EC9" w:rsidP="003E7D53">
            <w:pPr>
              <w:pStyle w:val="table"/>
              <w:jc w:val="center"/>
            </w:pPr>
            <w:r w:rsidRPr="00071179">
              <w:rPr>
                <w:i/>
                <w:iCs/>
              </w:rPr>
              <w:t>SD</w:t>
            </w:r>
          </w:p>
        </w:tc>
        <w:tc>
          <w:tcPr>
            <w:tcW w:w="724" w:type="dxa"/>
            <w:tcBorders>
              <w:top w:val="single" w:sz="4" w:space="0" w:color="auto"/>
              <w:bottom w:val="single" w:sz="4" w:space="0" w:color="auto"/>
            </w:tcBorders>
            <w:shd w:val="clear" w:color="auto" w:fill="FFFFFF"/>
            <w:vAlign w:val="center"/>
          </w:tcPr>
          <w:p w14:paraId="31E7513B" w14:textId="22B56E0C" w:rsidR="00A13EC9" w:rsidRPr="00071179" w:rsidRDefault="00A13EC9" w:rsidP="003E7D53">
            <w:pPr>
              <w:pStyle w:val="table"/>
              <w:jc w:val="center"/>
            </w:pPr>
            <w:r w:rsidRPr="00071179">
              <w:rPr>
                <w:i/>
                <w:iCs/>
              </w:rPr>
              <w:t>M</w:t>
            </w:r>
          </w:p>
        </w:tc>
        <w:tc>
          <w:tcPr>
            <w:tcW w:w="544" w:type="dxa"/>
            <w:tcBorders>
              <w:top w:val="single" w:sz="4" w:space="0" w:color="auto"/>
              <w:bottom w:val="single" w:sz="4" w:space="0" w:color="auto"/>
            </w:tcBorders>
            <w:shd w:val="clear" w:color="auto" w:fill="FFFFFF"/>
            <w:vAlign w:val="center"/>
          </w:tcPr>
          <w:p w14:paraId="64041FA1" w14:textId="254B80DA" w:rsidR="00A13EC9" w:rsidRPr="00071179" w:rsidRDefault="00A13EC9" w:rsidP="003E7D53">
            <w:pPr>
              <w:pStyle w:val="table"/>
              <w:jc w:val="center"/>
            </w:pPr>
            <w:r w:rsidRPr="00071179">
              <w:rPr>
                <w:i/>
                <w:iCs/>
              </w:rPr>
              <w:t>SD</w:t>
            </w:r>
          </w:p>
        </w:tc>
        <w:tc>
          <w:tcPr>
            <w:tcW w:w="996" w:type="dxa"/>
            <w:tcBorders>
              <w:bottom w:val="single" w:sz="4" w:space="0" w:color="auto"/>
            </w:tcBorders>
            <w:shd w:val="clear" w:color="auto" w:fill="FFFFFF"/>
            <w:tcMar>
              <w:top w:w="0" w:type="dxa"/>
              <w:left w:w="75" w:type="dxa"/>
              <w:bottom w:w="0" w:type="dxa"/>
              <w:right w:w="75" w:type="dxa"/>
            </w:tcMar>
            <w:vAlign w:val="center"/>
            <w:hideMark/>
          </w:tcPr>
          <w:p w14:paraId="764D199F" w14:textId="4A316533" w:rsidR="00A13EC9" w:rsidRPr="008A6E79" w:rsidRDefault="00A13EC9" w:rsidP="003E7D53">
            <w:pPr>
              <w:pStyle w:val="table"/>
              <w:jc w:val="center"/>
            </w:pPr>
            <w:r w:rsidRPr="00887AB3">
              <w:t>H</w:t>
            </w:r>
            <w:r w:rsidRPr="008A6E79">
              <w:t>edges</w:t>
            </w:r>
            <w:r w:rsidRPr="00887AB3">
              <w:t xml:space="preserve">’ </w:t>
            </w:r>
            <w:r w:rsidRPr="008A6E79">
              <w:rPr>
                <w:i/>
                <w:iCs/>
              </w:rPr>
              <w:t>g</w:t>
            </w:r>
          </w:p>
        </w:tc>
        <w:tc>
          <w:tcPr>
            <w:tcW w:w="724"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06DCE020" w14:textId="77777777" w:rsidR="00A13EC9" w:rsidRPr="008A6E79" w:rsidRDefault="00A13EC9" w:rsidP="003E7D53">
            <w:pPr>
              <w:pStyle w:val="table"/>
              <w:jc w:val="center"/>
            </w:pPr>
            <w:r w:rsidRPr="00887AB3">
              <w:t>Lower</w:t>
            </w:r>
          </w:p>
        </w:tc>
        <w:tc>
          <w:tcPr>
            <w:tcW w:w="725" w:type="dxa"/>
            <w:tcBorders>
              <w:top w:val="single" w:sz="4" w:space="0" w:color="auto"/>
              <w:bottom w:val="single" w:sz="4" w:space="0" w:color="auto"/>
            </w:tcBorders>
            <w:shd w:val="clear" w:color="auto" w:fill="FFFFFF"/>
            <w:tcMar>
              <w:top w:w="0" w:type="dxa"/>
              <w:left w:w="75" w:type="dxa"/>
              <w:bottom w:w="0" w:type="dxa"/>
              <w:right w:w="75" w:type="dxa"/>
            </w:tcMar>
            <w:vAlign w:val="center"/>
            <w:hideMark/>
          </w:tcPr>
          <w:p w14:paraId="628EECBC" w14:textId="77777777" w:rsidR="00A13EC9" w:rsidRPr="008A6E79" w:rsidRDefault="00A13EC9" w:rsidP="003E7D53">
            <w:pPr>
              <w:pStyle w:val="table"/>
              <w:jc w:val="center"/>
            </w:pPr>
            <w:r w:rsidRPr="00887AB3">
              <w:t>Upper</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201CE295" w14:textId="77777777" w:rsidR="00A13EC9" w:rsidRPr="008A6E79" w:rsidRDefault="00A13EC9" w:rsidP="003E7D53">
            <w:pPr>
              <w:pStyle w:val="table"/>
              <w:jc w:val="center"/>
              <w:rPr>
                <w:i/>
                <w:iCs/>
              </w:rPr>
            </w:pPr>
            <w:r w:rsidRPr="008A6E79">
              <w:rPr>
                <w:i/>
                <w:iCs/>
              </w:rPr>
              <w:t>t</w:t>
            </w:r>
          </w:p>
        </w:tc>
        <w:tc>
          <w:tcPr>
            <w:tcW w:w="362" w:type="dxa"/>
            <w:tcBorders>
              <w:bottom w:val="single" w:sz="4" w:space="0" w:color="auto"/>
            </w:tcBorders>
            <w:shd w:val="clear" w:color="auto" w:fill="FFFFFF"/>
            <w:tcMar>
              <w:top w:w="0" w:type="dxa"/>
              <w:left w:w="75" w:type="dxa"/>
              <w:bottom w:w="0" w:type="dxa"/>
              <w:right w:w="75" w:type="dxa"/>
            </w:tcMar>
            <w:vAlign w:val="center"/>
            <w:hideMark/>
          </w:tcPr>
          <w:p w14:paraId="0F2D3264" w14:textId="77777777" w:rsidR="00A13EC9" w:rsidRPr="008A6E79" w:rsidRDefault="00A13EC9" w:rsidP="003E7D53">
            <w:pPr>
              <w:pStyle w:val="table"/>
              <w:jc w:val="center"/>
            </w:pPr>
            <w:r w:rsidRPr="008A6E79">
              <w:t>df</w:t>
            </w:r>
          </w:p>
        </w:tc>
        <w:tc>
          <w:tcPr>
            <w:tcW w:w="543" w:type="dxa"/>
            <w:tcBorders>
              <w:bottom w:val="single" w:sz="4" w:space="0" w:color="auto"/>
            </w:tcBorders>
            <w:shd w:val="clear" w:color="auto" w:fill="FFFFFF"/>
            <w:tcMar>
              <w:top w:w="0" w:type="dxa"/>
              <w:left w:w="75" w:type="dxa"/>
              <w:bottom w:w="0" w:type="dxa"/>
              <w:right w:w="75" w:type="dxa"/>
            </w:tcMar>
            <w:vAlign w:val="center"/>
            <w:hideMark/>
          </w:tcPr>
          <w:p w14:paraId="53F2EC03" w14:textId="77777777" w:rsidR="00A13EC9" w:rsidRPr="008A6E79" w:rsidRDefault="00A13EC9" w:rsidP="003E7D53">
            <w:pPr>
              <w:pStyle w:val="table"/>
              <w:jc w:val="center"/>
              <w:rPr>
                <w:i/>
                <w:iCs/>
              </w:rPr>
            </w:pPr>
            <w:r w:rsidRPr="008A6E79">
              <w:rPr>
                <w:i/>
                <w:iCs/>
              </w:rPr>
              <w:t>p</w:t>
            </w:r>
          </w:p>
        </w:tc>
      </w:tr>
      <w:tr w:rsidR="00A13EC9" w:rsidRPr="00887AB3" w14:paraId="5DCCADED" w14:textId="77777777" w:rsidTr="003E7D53">
        <w:trPr>
          <w:trHeight w:val="274"/>
        </w:trPr>
        <w:tc>
          <w:tcPr>
            <w:tcW w:w="810" w:type="dxa"/>
            <w:tcBorders>
              <w:top w:val="single" w:sz="4" w:space="0" w:color="auto"/>
              <w:bottom w:val="nil"/>
            </w:tcBorders>
            <w:shd w:val="clear" w:color="auto" w:fill="FFFFFF"/>
            <w:tcMar>
              <w:top w:w="0" w:type="dxa"/>
              <w:left w:w="75" w:type="dxa"/>
              <w:bottom w:w="0" w:type="dxa"/>
              <w:right w:w="75" w:type="dxa"/>
            </w:tcMar>
            <w:vAlign w:val="center"/>
          </w:tcPr>
          <w:p w14:paraId="3DD7290C" w14:textId="4457B7F7" w:rsidR="00A13EC9" w:rsidRPr="00A13EC9" w:rsidRDefault="00A13EC9" w:rsidP="003E7D53">
            <w:pPr>
              <w:pStyle w:val="table"/>
            </w:pPr>
            <w:r w:rsidRPr="00A13EC9">
              <w:t>95% CI</w:t>
            </w:r>
          </w:p>
        </w:tc>
        <w:tc>
          <w:tcPr>
            <w:tcW w:w="1906" w:type="dxa"/>
            <w:tcBorders>
              <w:top w:val="single" w:sz="4" w:space="0" w:color="auto"/>
              <w:bottom w:val="nil"/>
            </w:tcBorders>
            <w:shd w:val="clear" w:color="auto" w:fill="FFFFFF"/>
            <w:vAlign w:val="center"/>
          </w:tcPr>
          <w:p w14:paraId="2D26C289" w14:textId="31A8665D" w:rsidR="00A13EC9" w:rsidRPr="0093217E" w:rsidRDefault="00A13EC9" w:rsidP="003E7D53">
            <w:pPr>
              <w:pStyle w:val="table"/>
            </w:pPr>
            <w:r w:rsidRPr="00887AB3">
              <w:t>Distress (</w:t>
            </w:r>
            <w:r>
              <w:t>pooled</w:t>
            </w:r>
            <w:r w:rsidRPr="00887AB3">
              <w:t>)</w:t>
            </w:r>
          </w:p>
        </w:tc>
        <w:tc>
          <w:tcPr>
            <w:tcW w:w="634" w:type="dxa"/>
            <w:tcBorders>
              <w:top w:val="single" w:sz="4" w:space="0" w:color="auto"/>
              <w:bottom w:val="nil"/>
            </w:tcBorders>
            <w:shd w:val="clear" w:color="auto" w:fill="FFFFFF"/>
            <w:vAlign w:val="center"/>
          </w:tcPr>
          <w:p w14:paraId="69A978ED" w14:textId="6880B82F" w:rsidR="00A13EC9" w:rsidRPr="00CA5743" w:rsidRDefault="00A13EC9" w:rsidP="003E7D53">
            <w:pPr>
              <w:pStyle w:val="table"/>
              <w:jc w:val="center"/>
            </w:pPr>
            <w:r w:rsidRPr="0093217E">
              <w:t>21.48</w:t>
            </w:r>
          </w:p>
        </w:tc>
        <w:tc>
          <w:tcPr>
            <w:tcW w:w="543" w:type="dxa"/>
            <w:tcBorders>
              <w:top w:val="single" w:sz="4" w:space="0" w:color="auto"/>
              <w:bottom w:val="nil"/>
            </w:tcBorders>
            <w:shd w:val="clear" w:color="auto" w:fill="FFFFFF"/>
            <w:vAlign w:val="center"/>
          </w:tcPr>
          <w:p w14:paraId="2590FA96" w14:textId="3FDFD094" w:rsidR="00A13EC9" w:rsidRPr="00CA5743" w:rsidRDefault="00A13EC9" w:rsidP="003E7D53">
            <w:pPr>
              <w:pStyle w:val="table"/>
              <w:jc w:val="center"/>
            </w:pPr>
            <w:r w:rsidRPr="0093217E">
              <w:t>10.65</w:t>
            </w:r>
          </w:p>
        </w:tc>
        <w:tc>
          <w:tcPr>
            <w:tcW w:w="724" w:type="dxa"/>
            <w:tcBorders>
              <w:top w:val="single" w:sz="4" w:space="0" w:color="auto"/>
              <w:bottom w:val="nil"/>
            </w:tcBorders>
            <w:shd w:val="clear" w:color="auto" w:fill="FFFFFF"/>
            <w:vAlign w:val="center"/>
          </w:tcPr>
          <w:p w14:paraId="0E961603" w14:textId="3D266780" w:rsidR="00A13EC9" w:rsidRPr="00CA5743" w:rsidRDefault="00A13EC9" w:rsidP="003E7D53">
            <w:pPr>
              <w:pStyle w:val="table"/>
              <w:jc w:val="center"/>
            </w:pPr>
            <w:r w:rsidRPr="0093217E">
              <w:t>14.92</w:t>
            </w:r>
          </w:p>
        </w:tc>
        <w:tc>
          <w:tcPr>
            <w:tcW w:w="544" w:type="dxa"/>
            <w:tcBorders>
              <w:top w:val="single" w:sz="4" w:space="0" w:color="auto"/>
              <w:bottom w:val="nil"/>
            </w:tcBorders>
            <w:shd w:val="clear" w:color="auto" w:fill="FFFFFF"/>
            <w:vAlign w:val="center"/>
          </w:tcPr>
          <w:p w14:paraId="2B7546A4" w14:textId="69C608D0" w:rsidR="00A13EC9" w:rsidRPr="00CA5743" w:rsidRDefault="00A13EC9" w:rsidP="003E7D53">
            <w:pPr>
              <w:pStyle w:val="table"/>
              <w:jc w:val="center"/>
            </w:pPr>
            <w:r w:rsidRPr="0093217E">
              <w:t>10.61</w:t>
            </w:r>
          </w:p>
        </w:tc>
        <w:tc>
          <w:tcPr>
            <w:tcW w:w="996" w:type="dxa"/>
            <w:tcBorders>
              <w:top w:val="single" w:sz="4" w:space="0" w:color="auto"/>
              <w:bottom w:val="nil"/>
            </w:tcBorders>
            <w:shd w:val="clear" w:color="auto" w:fill="FFFFFF"/>
            <w:tcMar>
              <w:top w:w="0" w:type="dxa"/>
              <w:left w:w="75" w:type="dxa"/>
              <w:bottom w:w="0" w:type="dxa"/>
              <w:right w:w="75" w:type="dxa"/>
            </w:tcMar>
            <w:vAlign w:val="center"/>
            <w:hideMark/>
          </w:tcPr>
          <w:p w14:paraId="024E8DE6" w14:textId="40FC17E0" w:rsidR="00A13EC9" w:rsidRPr="00CA5743" w:rsidRDefault="00A13EC9" w:rsidP="003E7D53">
            <w:pPr>
              <w:pStyle w:val="table"/>
              <w:jc w:val="center"/>
            </w:pPr>
            <w:r w:rsidRPr="0093217E">
              <w:t>0.60</w:t>
            </w:r>
          </w:p>
        </w:tc>
        <w:tc>
          <w:tcPr>
            <w:tcW w:w="724" w:type="dxa"/>
            <w:tcBorders>
              <w:top w:val="single" w:sz="4" w:space="0" w:color="auto"/>
              <w:bottom w:val="nil"/>
            </w:tcBorders>
            <w:shd w:val="clear" w:color="auto" w:fill="FFFFFF"/>
            <w:tcMar>
              <w:top w:w="0" w:type="dxa"/>
              <w:left w:w="75" w:type="dxa"/>
              <w:bottom w:w="0" w:type="dxa"/>
              <w:right w:w="75" w:type="dxa"/>
            </w:tcMar>
            <w:vAlign w:val="center"/>
            <w:hideMark/>
          </w:tcPr>
          <w:p w14:paraId="1AA6708C" w14:textId="2AB17E2C" w:rsidR="00A13EC9" w:rsidRPr="00CA5743" w:rsidRDefault="00A13EC9" w:rsidP="003E7D53">
            <w:pPr>
              <w:pStyle w:val="table"/>
              <w:jc w:val="center"/>
            </w:pPr>
            <w:r w:rsidRPr="0093217E">
              <w:t>-0.07</w:t>
            </w:r>
          </w:p>
        </w:tc>
        <w:tc>
          <w:tcPr>
            <w:tcW w:w="725" w:type="dxa"/>
            <w:tcBorders>
              <w:top w:val="single" w:sz="4" w:space="0" w:color="auto"/>
              <w:bottom w:val="nil"/>
            </w:tcBorders>
            <w:shd w:val="clear" w:color="auto" w:fill="FFFFFF"/>
            <w:tcMar>
              <w:top w:w="0" w:type="dxa"/>
              <w:left w:w="75" w:type="dxa"/>
              <w:bottom w:w="0" w:type="dxa"/>
              <w:right w:w="75" w:type="dxa"/>
            </w:tcMar>
            <w:vAlign w:val="center"/>
            <w:hideMark/>
          </w:tcPr>
          <w:p w14:paraId="7E3862FB" w14:textId="620BD1DD" w:rsidR="00A13EC9" w:rsidRPr="00CA5743" w:rsidRDefault="00A13EC9" w:rsidP="003E7D53">
            <w:pPr>
              <w:pStyle w:val="table"/>
              <w:jc w:val="center"/>
            </w:pPr>
            <w:r w:rsidRPr="0093217E">
              <w:t>1.27</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543A29E6" w14:textId="7128CE4B" w:rsidR="00A13EC9" w:rsidRPr="00CA5743" w:rsidRDefault="00A13EC9" w:rsidP="003E7D53">
            <w:pPr>
              <w:pStyle w:val="table"/>
              <w:jc w:val="center"/>
            </w:pPr>
            <w:r w:rsidRPr="0093217E">
              <w:t>1.85</w:t>
            </w:r>
          </w:p>
        </w:tc>
        <w:tc>
          <w:tcPr>
            <w:tcW w:w="362" w:type="dxa"/>
            <w:tcBorders>
              <w:top w:val="single" w:sz="4" w:space="0" w:color="auto"/>
              <w:bottom w:val="nil"/>
            </w:tcBorders>
            <w:shd w:val="clear" w:color="auto" w:fill="FFFFFF"/>
            <w:tcMar>
              <w:top w:w="0" w:type="dxa"/>
              <w:left w:w="75" w:type="dxa"/>
              <w:bottom w:w="0" w:type="dxa"/>
              <w:right w:w="75" w:type="dxa"/>
            </w:tcMar>
            <w:vAlign w:val="center"/>
            <w:hideMark/>
          </w:tcPr>
          <w:p w14:paraId="566639FD" w14:textId="370E750B" w:rsidR="00A13EC9" w:rsidRPr="00CA5743" w:rsidRDefault="00A13EC9" w:rsidP="003E7D53">
            <w:pPr>
              <w:pStyle w:val="table"/>
              <w:jc w:val="center"/>
            </w:pPr>
            <w:r w:rsidRPr="0093217E">
              <w:t>34</w:t>
            </w:r>
          </w:p>
        </w:tc>
        <w:tc>
          <w:tcPr>
            <w:tcW w:w="543" w:type="dxa"/>
            <w:tcBorders>
              <w:top w:val="single" w:sz="4" w:space="0" w:color="auto"/>
              <w:bottom w:val="nil"/>
            </w:tcBorders>
            <w:shd w:val="clear" w:color="auto" w:fill="FFFFFF"/>
            <w:tcMar>
              <w:top w:w="0" w:type="dxa"/>
              <w:left w:w="75" w:type="dxa"/>
              <w:bottom w:w="0" w:type="dxa"/>
              <w:right w:w="75" w:type="dxa"/>
            </w:tcMar>
            <w:vAlign w:val="center"/>
            <w:hideMark/>
          </w:tcPr>
          <w:p w14:paraId="2ACB8C28" w14:textId="754BE7AC" w:rsidR="00A13EC9" w:rsidRPr="00CA5743" w:rsidRDefault="00A13EC9" w:rsidP="003E7D53">
            <w:pPr>
              <w:pStyle w:val="table"/>
              <w:jc w:val="center"/>
            </w:pPr>
            <w:r w:rsidRPr="0093217E">
              <w:t>.073</w:t>
            </w:r>
          </w:p>
        </w:tc>
      </w:tr>
      <w:tr w:rsidR="00A13EC9" w:rsidRPr="00887AB3" w14:paraId="4AF79775" w14:textId="77777777" w:rsidTr="003E7D53">
        <w:trPr>
          <w:trHeight w:val="274"/>
        </w:trPr>
        <w:tc>
          <w:tcPr>
            <w:tcW w:w="810" w:type="dxa"/>
            <w:tcBorders>
              <w:top w:val="nil"/>
              <w:bottom w:val="single" w:sz="4" w:space="0" w:color="auto"/>
            </w:tcBorders>
            <w:shd w:val="clear" w:color="auto" w:fill="FFFFFF"/>
            <w:tcMar>
              <w:top w:w="0" w:type="dxa"/>
              <w:left w:w="75" w:type="dxa"/>
              <w:bottom w:w="0" w:type="dxa"/>
              <w:right w:w="75" w:type="dxa"/>
            </w:tcMar>
            <w:vAlign w:val="center"/>
          </w:tcPr>
          <w:p w14:paraId="0D49EF7F" w14:textId="57EAC07E" w:rsidR="00A13EC9" w:rsidRPr="00A13EC9" w:rsidRDefault="00A13EC9" w:rsidP="003E7D53">
            <w:pPr>
              <w:pStyle w:val="table"/>
            </w:pPr>
            <w:r w:rsidRPr="00A13EC9">
              <w:t>SEM</w:t>
            </w:r>
          </w:p>
        </w:tc>
        <w:tc>
          <w:tcPr>
            <w:tcW w:w="1906" w:type="dxa"/>
            <w:tcBorders>
              <w:top w:val="nil"/>
              <w:bottom w:val="single" w:sz="4" w:space="0" w:color="auto"/>
            </w:tcBorders>
            <w:shd w:val="clear" w:color="auto" w:fill="FFFFFF"/>
          </w:tcPr>
          <w:p w14:paraId="35EEA867" w14:textId="55C3833F" w:rsidR="00A13EC9" w:rsidRPr="0093217E" w:rsidRDefault="00A13EC9" w:rsidP="003E7D53">
            <w:pPr>
              <w:pStyle w:val="table"/>
            </w:pPr>
            <w:r w:rsidRPr="00887AB3">
              <w:t>Distress (</w:t>
            </w:r>
            <w:r>
              <w:t>pooled</w:t>
            </w:r>
            <w:r w:rsidRPr="00887AB3">
              <w:t>)</w:t>
            </w:r>
          </w:p>
        </w:tc>
        <w:tc>
          <w:tcPr>
            <w:tcW w:w="634" w:type="dxa"/>
            <w:tcBorders>
              <w:top w:val="nil"/>
              <w:bottom w:val="single" w:sz="4" w:space="0" w:color="auto"/>
            </w:tcBorders>
            <w:shd w:val="clear" w:color="auto" w:fill="FFFFFF"/>
            <w:vAlign w:val="center"/>
          </w:tcPr>
          <w:p w14:paraId="6875895E" w14:textId="4301C4FB" w:rsidR="00A13EC9" w:rsidRPr="00CA5743" w:rsidRDefault="00A13EC9" w:rsidP="003E7D53">
            <w:pPr>
              <w:pStyle w:val="table"/>
              <w:jc w:val="center"/>
            </w:pPr>
            <w:r w:rsidRPr="0093217E">
              <w:t>21.48</w:t>
            </w:r>
          </w:p>
        </w:tc>
        <w:tc>
          <w:tcPr>
            <w:tcW w:w="543" w:type="dxa"/>
            <w:tcBorders>
              <w:top w:val="nil"/>
              <w:bottom w:val="single" w:sz="4" w:space="0" w:color="auto"/>
            </w:tcBorders>
            <w:shd w:val="clear" w:color="auto" w:fill="FFFFFF"/>
            <w:vAlign w:val="center"/>
          </w:tcPr>
          <w:p w14:paraId="0023B7C4" w14:textId="567B3636" w:rsidR="00A13EC9" w:rsidRPr="00CA5743" w:rsidRDefault="00A13EC9" w:rsidP="003E7D53">
            <w:pPr>
              <w:pStyle w:val="table"/>
              <w:jc w:val="center"/>
            </w:pPr>
            <w:r w:rsidRPr="0093217E">
              <w:t>20.88</w:t>
            </w:r>
          </w:p>
        </w:tc>
        <w:tc>
          <w:tcPr>
            <w:tcW w:w="724" w:type="dxa"/>
            <w:tcBorders>
              <w:top w:val="nil"/>
              <w:bottom w:val="single" w:sz="4" w:space="0" w:color="auto"/>
            </w:tcBorders>
            <w:shd w:val="clear" w:color="auto" w:fill="FFFFFF"/>
            <w:vAlign w:val="center"/>
          </w:tcPr>
          <w:p w14:paraId="754D7ACB" w14:textId="4FDBA0C4" w:rsidR="00A13EC9" w:rsidRPr="00CA5743" w:rsidRDefault="00A13EC9" w:rsidP="003E7D53">
            <w:pPr>
              <w:pStyle w:val="table"/>
              <w:jc w:val="center"/>
            </w:pPr>
            <w:r w:rsidRPr="0093217E">
              <w:t>14.92</w:t>
            </w:r>
          </w:p>
        </w:tc>
        <w:tc>
          <w:tcPr>
            <w:tcW w:w="544" w:type="dxa"/>
            <w:tcBorders>
              <w:top w:val="nil"/>
              <w:bottom w:val="single" w:sz="4" w:space="0" w:color="auto"/>
            </w:tcBorders>
            <w:shd w:val="clear" w:color="auto" w:fill="FFFFFF"/>
            <w:vAlign w:val="center"/>
          </w:tcPr>
          <w:p w14:paraId="386CBE7A" w14:textId="37B34F4D" w:rsidR="00A13EC9" w:rsidRPr="00CA5743" w:rsidRDefault="00A13EC9" w:rsidP="003E7D53">
            <w:pPr>
              <w:pStyle w:val="table"/>
              <w:jc w:val="center"/>
            </w:pPr>
            <w:r w:rsidRPr="0093217E">
              <w:t>20.80</w:t>
            </w:r>
          </w:p>
        </w:tc>
        <w:tc>
          <w:tcPr>
            <w:tcW w:w="996" w:type="dxa"/>
            <w:tcBorders>
              <w:top w:val="nil"/>
              <w:bottom w:val="single" w:sz="4" w:space="0" w:color="auto"/>
            </w:tcBorders>
            <w:shd w:val="clear" w:color="auto" w:fill="FFFFFF"/>
            <w:tcMar>
              <w:top w:w="0" w:type="dxa"/>
              <w:left w:w="75" w:type="dxa"/>
              <w:bottom w:w="0" w:type="dxa"/>
              <w:right w:w="75" w:type="dxa"/>
            </w:tcMar>
            <w:vAlign w:val="center"/>
          </w:tcPr>
          <w:p w14:paraId="3ED4126E" w14:textId="74F61D7A" w:rsidR="00A13EC9" w:rsidRPr="00CA5743" w:rsidRDefault="00A13EC9" w:rsidP="003E7D53">
            <w:pPr>
              <w:pStyle w:val="table"/>
              <w:jc w:val="center"/>
            </w:pPr>
            <w:r w:rsidRPr="0093217E">
              <w:t>0.31</w:t>
            </w:r>
          </w:p>
        </w:tc>
        <w:tc>
          <w:tcPr>
            <w:tcW w:w="724" w:type="dxa"/>
            <w:tcBorders>
              <w:top w:val="nil"/>
              <w:bottom w:val="single" w:sz="4" w:space="0" w:color="auto"/>
            </w:tcBorders>
            <w:shd w:val="clear" w:color="auto" w:fill="FFFFFF"/>
            <w:tcMar>
              <w:top w:w="0" w:type="dxa"/>
              <w:left w:w="75" w:type="dxa"/>
              <w:bottom w:w="0" w:type="dxa"/>
              <w:right w:w="75" w:type="dxa"/>
            </w:tcMar>
            <w:vAlign w:val="center"/>
          </w:tcPr>
          <w:p w14:paraId="68D3E412" w14:textId="20D5CFBA" w:rsidR="00A13EC9" w:rsidRPr="00CA5743" w:rsidRDefault="00A13EC9" w:rsidP="003E7D53">
            <w:pPr>
              <w:pStyle w:val="table"/>
              <w:jc w:val="center"/>
            </w:pPr>
            <w:r w:rsidRPr="0093217E">
              <w:t>-0.35</w:t>
            </w:r>
          </w:p>
        </w:tc>
        <w:tc>
          <w:tcPr>
            <w:tcW w:w="725" w:type="dxa"/>
            <w:tcBorders>
              <w:top w:val="nil"/>
              <w:bottom w:val="single" w:sz="4" w:space="0" w:color="auto"/>
            </w:tcBorders>
            <w:shd w:val="clear" w:color="auto" w:fill="FFFFFF"/>
            <w:tcMar>
              <w:top w:w="0" w:type="dxa"/>
              <w:left w:w="75" w:type="dxa"/>
              <w:bottom w:w="0" w:type="dxa"/>
              <w:right w:w="75" w:type="dxa"/>
            </w:tcMar>
            <w:vAlign w:val="center"/>
          </w:tcPr>
          <w:p w14:paraId="23E165C6" w14:textId="458ED688" w:rsidR="00A13EC9" w:rsidRPr="00CA5743" w:rsidRDefault="00A13EC9" w:rsidP="003E7D53">
            <w:pPr>
              <w:pStyle w:val="table"/>
              <w:jc w:val="center"/>
            </w:pPr>
            <w:r w:rsidRPr="0093217E">
              <w:t>0.96</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190A319A" w14:textId="13C8EF95" w:rsidR="00A13EC9" w:rsidRPr="00CA5743" w:rsidRDefault="00A13EC9" w:rsidP="003E7D53">
            <w:pPr>
              <w:pStyle w:val="table"/>
              <w:jc w:val="center"/>
            </w:pPr>
            <w:r w:rsidRPr="0093217E">
              <w:t>0.94</w:t>
            </w:r>
          </w:p>
        </w:tc>
        <w:tc>
          <w:tcPr>
            <w:tcW w:w="362" w:type="dxa"/>
            <w:tcBorders>
              <w:top w:val="nil"/>
              <w:bottom w:val="single" w:sz="4" w:space="0" w:color="auto"/>
            </w:tcBorders>
            <w:shd w:val="clear" w:color="auto" w:fill="FFFFFF"/>
            <w:tcMar>
              <w:top w:w="0" w:type="dxa"/>
              <w:left w:w="75" w:type="dxa"/>
              <w:bottom w:w="0" w:type="dxa"/>
              <w:right w:w="75" w:type="dxa"/>
            </w:tcMar>
            <w:vAlign w:val="center"/>
          </w:tcPr>
          <w:p w14:paraId="371D9E2A" w14:textId="1E9BE83E" w:rsidR="00A13EC9" w:rsidRPr="00CA5743" w:rsidRDefault="00A13EC9" w:rsidP="003E7D53">
            <w:pPr>
              <w:pStyle w:val="table"/>
              <w:jc w:val="center"/>
            </w:pPr>
            <w:r w:rsidRPr="0093217E">
              <w:t>34</w:t>
            </w:r>
          </w:p>
        </w:tc>
        <w:tc>
          <w:tcPr>
            <w:tcW w:w="543" w:type="dxa"/>
            <w:tcBorders>
              <w:top w:val="nil"/>
              <w:bottom w:val="single" w:sz="4" w:space="0" w:color="auto"/>
            </w:tcBorders>
            <w:shd w:val="clear" w:color="auto" w:fill="FFFFFF"/>
            <w:tcMar>
              <w:top w:w="0" w:type="dxa"/>
              <w:left w:w="75" w:type="dxa"/>
              <w:bottom w:w="0" w:type="dxa"/>
              <w:right w:w="75" w:type="dxa"/>
            </w:tcMar>
            <w:vAlign w:val="center"/>
          </w:tcPr>
          <w:p w14:paraId="06497419" w14:textId="7C039D87" w:rsidR="00A13EC9" w:rsidRPr="00CA5743" w:rsidRDefault="00A13EC9" w:rsidP="003E7D53">
            <w:pPr>
              <w:pStyle w:val="table"/>
              <w:jc w:val="center"/>
            </w:pPr>
            <w:r w:rsidRPr="0093217E">
              <w:t>.352</w:t>
            </w:r>
          </w:p>
        </w:tc>
      </w:tr>
    </w:tbl>
    <w:p w14:paraId="589BC1AE" w14:textId="77777777" w:rsidR="00222C56" w:rsidRDefault="00222C56" w:rsidP="00222C56"/>
    <w:p w14:paraId="27911BFE" w14:textId="77777777" w:rsidR="0093217E" w:rsidRDefault="0093217E" w:rsidP="00553CAC"/>
    <w:p w14:paraId="52373029" w14:textId="77ACCDC9" w:rsidR="00F83A48" w:rsidRDefault="00F83A48" w:rsidP="00F83A48">
      <w:pPr>
        <w:pStyle w:val="Heading1"/>
      </w:pPr>
      <w:r>
        <w:t>Discussion</w:t>
      </w:r>
    </w:p>
    <w:p w14:paraId="679A1431" w14:textId="1D05896C" w:rsidR="00ED5BB1" w:rsidRDefault="00ED5BB1" w:rsidP="00F83A48"/>
    <w:p w14:paraId="7875C41B" w14:textId="58F131C6" w:rsidR="00ED5BB1" w:rsidRDefault="00ED5BB1" w:rsidP="00F83A48"/>
    <w:p w14:paraId="2BBDE98E" w14:textId="77777777" w:rsidR="002836CC" w:rsidRDefault="00ED5BB1" w:rsidP="006552D1">
      <w:pPr>
        <w:ind w:firstLine="720"/>
      </w:pPr>
      <w:r>
        <w:t>Reanalyses of Foody et al</w:t>
      </w:r>
      <w:r w:rsidR="00E61322">
        <w:t>.</w:t>
      </w:r>
      <w:r>
        <w:t xml:space="preserve">’s (2013) results suggest that their data do not represent credible evidence of differences between the intervention conditions. </w:t>
      </w:r>
    </w:p>
    <w:p w14:paraId="689EB6E4" w14:textId="77777777" w:rsidR="002836CC" w:rsidRDefault="002836CC" w:rsidP="006552D1">
      <w:pPr>
        <w:ind w:firstLine="720"/>
      </w:pPr>
    </w:p>
    <w:p w14:paraId="37EF5BC2" w14:textId="76E91D1F" w:rsidR="00ED5BB1" w:rsidRDefault="00ED5BB1" w:rsidP="006552D1">
      <w:pPr>
        <w:ind w:firstLine="720"/>
      </w:pPr>
      <w:r>
        <w:t>Statistically significant results of differences between the conditions is only found under a limited range of exceptionally liberal assumptions</w:t>
      </w:r>
      <w:r w:rsidR="006552D1">
        <w:t xml:space="preserve">, all of which would need to be met: First, </w:t>
      </w:r>
      <w:r>
        <w:t xml:space="preserve">the intervals they reported in the plots must would need to </w:t>
      </w:r>
      <w:r>
        <w:t>represent 95% CIs rather than SEMs</w:t>
      </w:r>
      <w:r w:rsidR="002836CC">
        <w:t>, given that results computed from the latter are all null</w:t>
      </w:r>
      <w:r w:rsidR="006552D1">
        <w:t xml:space="preserve">. Second, </w:t>
      </w:r>
      <w:r>
        <w:t xml:space="preserve">one would need to disagree that </w:t>
      </w:r>
      <w:r>
        <w:t xml:space="preserve">alpha corrections </w:t>
      </w:r>
      <w:r>
        <w:t xml:space="preserve">were </w:t>
      </w:r>
      <w:r>
        <w:t xml:space="preserve">appropriate </w:t>
      </w:r>
      <w:r>
        <w:t>despite the fact that the three outcome variables (anxiety, discomfort, and stress) were used to make a single conclusion (i.e., regarding “distress”)</w:t>
      </w:r>
      <w:r w:rsidR="002836CC">
        <w:t>, given that results computed with alpha corrections are all null</w:t>
      </w:r>
      <w:r w:rsidR="006552D1">
        <w:t>. Third,</w:t>
      </w:r>
      <w:r>
        <w:t xml:space="preserve"> one would need to additionally disagree that it is appropriate to pool the outcome measures to test differences in distress more directly</w:t>
      </w:r>
      <w:r w:rsidR="00676C3C">
        <w:t>, given that results computed for the pooled outcome variable are null</w:t>
      </w:r>
      <w:r w:rsidR="006552D1">
        <w:t>. Fourth,</w:t>
      </w:r>
      <w:r w:rsidR="00F84013">
        <w:t xml:space="preserve"> one would need to accept that extremely large effects sizes </w:t>
      </w:r>
      <w:r w:rsidR="004E6928">
        <w:t xml:space="preserve">(i.e., Hedges’ </w:t>
      </w:r>
      <w:r w:rsidR="004E6928" w:rsidRPr="00F84013">
        <w:rPr>
          <w:i/>
          <w:iCs/>
        </w:rPr>
        <w:t>g</w:t>
      </w:r>
      <w:r w:rsidR="004E6928">
        <w:t xml:space="preserve"> </w:t>
      </w:r>
      <w:r w:rsidR="004E6928" w:rsidRPr="00F84013">
        <w:t>≥</w:t>
      </w:r>
      <w:r w:rsidR="004E6928">
        <w:t xml:space="preserve"> .91)</w:t>
      </w:r>
      <w:r w:rsidR="004E6928">
        <w:t xml:space="preserve"> </w:t>
      </w:r>
      <w:r w:rsidR="00F84013">
        <w:t xml:space="preserve">between two active treatment groups were </w:t>
      </w:r>
      <w:r w:rsidR="00F84013" w:rsidRPr="004E6928">
        <w:t>plausible</w:t>
      </w:r>
      <w:r w:rsidR="004E6928" w:rsidRPr="004E6928">
        <w:t xml:space="preserve"> </w:t>
      </w:r>
      <w:r w:rsidR="004E6928" w:rsidRPr="004E6928">
        <w:fldChar w:fldCharType="begin"/>
      </w:r>
      <w:r w:rsidR="004E6928" w:rsidRPr="004E6928">
        <w:instrText xml:space="preserve"> ADDIN ZOTERO_ITEM CSL_CITATION {"citationID":"YamHOSRw","properties":{"formattedCitation":"(for discussion of the plausibility of very large effect sizes see Funder &amp; Ozer, 2019; Hilgard, 2021)","plainCitation":"(for discussion of the plausibility of very large effect sizes see Funder &amp; Ozer, 2019; Hilgard, 2021)","noteIndex":0},"citationItems":[{"id":16292,"uris":["http://zotero.org/users/1687755/items/295T2ATY"],"itemData":{"id":16292,"type":"article-journal","abstract":"Effect sizes are underappreciated and often misinterpreted?the most common mistakes being to describe them in ways that are uninformative (e.g., using arbitrary standards) or misleading (e.g., squaring effect-size rs). We propose that effect sizes can be usefully evaluated by comparing them with well-understood benchmarks or by considering them in terms of concrete consequences. In that light, we conclude that when reliably estimated (a critical consideration), an effect-size r of .05 indicates an effect that is very small for the explanation of single events but potentially consequential in the not-very-long run, an effect-size r of .10 indicates an effect that is still small at the level of single events but potentially more ultimately consequential, an effect-size r of .20 indicates a medium effect that is of some explanatory and practical use even in the short run and therefore even more important, and an effect-size r of .30 indicates a large effect that is potentially powerful in both the short and the long run. A very large effect size (r = .40 or greater) in the context of psychological research is likely to be a gross overestimate that will rarely be found in a large sample or in a replication. Our goal is to help advance the treatment of effect sizes so that rather than being numbers that are ignored, reported without interpretation, or interpreted superficially or incorrectly, they become aspects of research reports that can better inform the application and theoretical development of psychological research.","container-title":"Advances in Methods and Practices in Psychological Science","DOI":"10.1177/2515245919847202","ISSN":"2515-2459","issue":"2","language":"en","note":"publisher: SAGE Publications Inc","page":"156-168","source":"SAGE Journals","title":"Evaluating Effect Size in Psychological Research: Sense and Nonsense","title-short":"Evaluating Effect Size in Psychological Research","volume":"2","author":[{"family":"Funder","given":"David C."},{"family":"Ozer","given":"Daniel J."}],"issued":{"date-parts":[["2019",6,1]]}},"label":"page","prefix":"for discussion of the plausibility of very large effect sizes see"},{"id":16661,"uris":["http://zotero.org/users/1687755/items/FSEHF4TW"],"itemData":{"id":16661,"type":"article-journal","abstract":"Effect sizes in social psychology are generally not large and are limited by error variance in manipulation and measurement. Effect sizes exceeding these limits are implausible and should be viewed with skepticism. Maximal positive controls, experimental conditions that should show an obvious and predictable effect, can provide estimates of the upper limits of plausible effect sizes on a measure. In this work, maximal positive controls are conducted for three measures of aggressive cognition, and the effect sizes obtained are compared to studies found through systematic review. Questions are raised regarding the plausibility of certain reports with effect sizes comparable to, or in excess of, the effect sizes found in maximal positive controls. Maximal positive controls may provide a means to identify implausible study results at lower cost than direct replication.","container-title":"Journal of Experimental Social Psychology","DOI":"10.1016/j.jesp.2020.104082","ISSN":"0022-1031","journalAbbreviation":"Journal of Experimental Social Psychology","language":"en","page":"104082","source":"ScienceDirect","title":"Maximal positive controls: A method for estimating the largest plausible effect size","title-short":"Maximal positive controls","volume":"93","author":[{"family":"Hilgard","given":"Joseph"}],"issued":{"date-parts":[["2021",3,1]]}}}],"schema":"https://github.com/citation-style-language/schema/raw/master/csl-citation.json"} </w:instrText>
      </w:r>
      <w:r w:rsidR="004E6928" w:rsidRPr="004E6928">
        <w:fldChar w:fldCharType="separate"/>
      </w:r>
      <w:r w:rsidR="004E6928" w:rsidRPr="004E6928">
        <w:rPr>
          <w:noProof/>
        </w:rPr>
        <w:t>(for discussion of the plausibility of very large effect sizes see Funder &amp; Ozer, 2019; Hilgard, 2021)</w:t>
      </w:r>
      <w:r w:rsidR="004E6928" w:rsidRPr="004E6928">
        <w:fldChar w:fldCharType="end"/>
      </w:r>
      <w:r w:rsidR="004E6928" w:rsidRPr="004E6928">
        <w:t>.</w:t>
      </w:r>
      <w:r w:rsidR="006552D1">
        <w:t xml:space="preserve"> </w:t>
      </w:r>
      <w:r w:rsidR="0038250C">
        <w:t xml:space="preserve">Fifth and finally, </w:t>
      </w:r>
      <w:r w:rsidR="00F84013">
        <w:t xml:space="preserve">one would have to disregard the results of Foody et al.’s own unpublished </w:t>
      </w:r>
      <w:r w:rsidR="00EE358E">
        <w:t xml:space="preserve">direct </w:t>
      </w:r>
      <w:r w:rsidR="00F84013">
        <w:t>self-replication</w:t>
      </w:r>
      <w:r w:rsidR="00EE358E">
        <w:t xml:space="preserve">, </w:t>
      </w:r>
      <w:r w:rsidR="00C37C3A">
        <w:t xml:space="preserve">in two senses: (a) </w:t>
      </w:r>
      <w:r w:rsidR="00EE358E">
        <w:t xml:space="preserve">it </w:t>
      </w:r>
      <w:r w:rsidR="006552D1">
        <w:t>may</w:t>
      </w:r>
      <w:r w:rsidR="00EE358E">
        <w:t xml:space="preserve"> represent evidence of publication bias </w:t>
      </w:r>
      <w:r w:rsidR="006552D1">
        <w:t xml:space="preserve">given that </w:t>
      </w:r>
      <w:r w:rsidR="00EE358E">
        <w:t>no significant results were found following the original authors’ analytic strateg</w:t>
      </w:r>
      <w:r w:rsidR="00C37C3A">
        <w:t>y; and second,</w:t>
      </w:r>
      <w:r w:rsidR="006552D1">
        <w:t xml:space="preserve"> and also </w:t>
      </w:r>
      <w:r w:rsidR="00C37C3A">
        <w:t xml:space="preserve">(b) </w:t>
      </w:r>
      <w:r w:rsidR="006552D1">
        <w:t>that upon reanalysis statistically significant results were now found for only one of the three outcome variables (and even then, only under assumptions 1, 2, 3, and 4 above).</w:t>
      </w:r>
    </w:p>
    <w:p w14:paraId="27764150" w14:textId="712524C8" w:rsidR="00984EB9" w:rsidRDefault="00E61322" w:rsidP="00F65EEF">
      <w:pPr>
        <w:ind w:firstLine="720"/>
      </w:pPr>
      <w:r>
        <w:t xml:space="preserve">The alternative inference </w:t>
      </w:r>
      <w:r w:rsidR="007A6E11">
        <w:t xml:space="preserve">from Foody et al.’s (2013) results, should one not agree with one or more of the above, </w:t>
      </w:r>
      <w:r>
        <w:t>would be that</w:t>
      </w:r>
      <w:r w:rsidR="007A6E11">
        <w:t xml:space="preserve"> they do not represent credible evidence of differences between the distinction and hierarchy intervention conditions. </w:t>
      </w:r>
    </w:p>
    <w:p w14:paraId="3900EF7D" w14:textId="77B067B6" w:rsidR="00C37C3A" w:rsidRDefault="00C37C3A" w:rsidP="00F65EEF">
      <w:pPr>
        <w:ind w:firstLine="720"/>
      </w:pPr>
    </w:p>
    <w:p w14:paraId="6165BB2A" w14:textId="77777777" w:rsidR="00C37C3A" w:rsidRDefault="00C37C3A" w:rsidP="00C37C3A">
      <w:pPr>
        <w:ind w:firstLine="720"/>
      </w:pPr>
      <w:r>
        <w:t xml:space="preserve">If Foody et al.’s (2013) results are actually null, this also has implications for Luciano et al. (2011), which Foody et al. (2013) state they are conceptually replicating. </w:t>
      </w:r>
    </w:p>
    <w:p w14:paraId="16CA294E" w14:textId="77777777" w:rsidR="00C37C3A" w:rsidRDefault="00C37C3A" w:rsidP="00C37C3A">
      <w:r>
        <w:t xml:space="preserve">Other work attempting to tie RFT principles to ACT practices, such as the use of metaphor in therapy, have also been presented </w:t>
      </w:r>
      <w:r>
        <w:fldChar w:fldCharType="begin"/>
      </w:r>
      <w:r>
        <w:instrText xml:space="preserve"> ADDIN ZOTERO_ITEM CSL_CITATION {"citationID":"MNy4cqVj","properties":{"formattedCitation":"(Sierra et al., 2016)","plainCitation":"(Sierra et al., 2016)","noteIndex":0},"citationItems":[{"id":8002,"uris":["http://zotero.org/users/1687755/items/FQDNWK95"],"itemData":{"id":8002,"type":"article-journal","abstract":"Metaphor is a tool frequently used in psychotherapy such as Acceptance and Commitment Therapy (ACT), a contextual behavioral model of psychological intervention rooted in an approach to human language and cognition known as Relational Frame Theory (RFT). This experimental analogue study aimed to analyze the effect of two variables in the metaphor effect on promoting psychological flexibility according to RFT: (a) the presence of common physical properties between the individual’s experience and the metaphor, and (b) the specification of appetitive augmental functions in the metaphor content. A 2x2 factorial design was implemented where the presence/absence of the above-mentioned variables was manipulated. Eighty-three participants first responded to measures of experiential avoidance, cognitive fusion, and generalized pliance. Subsequently, they were exposed to a cold-pressor task at pretest. Afterwards, participants were randomly assigned to four experimental protocols consisting of a metaphor that included: (a) common physical properties and augmental functions, (b) only common physical properties, (c) only augmental functions, and (d) none of these variables. Then, participants were re-exposed to the cold-pressor task (posttest). The results showed that both variables had a statistically significant effect on the pain tolerance induced by the cold-pressor task.","container-title":"International Journal of Psychology","language":"en","page":"15","source":"Zotero","title":"The Role of Common Physical Properties and Augmental Functions in Metaphor Effect","author":[{"family":"Sierra","given":"Marco A"},{"family":"Ruiz","given":"Francisco J"},{"family":"Flórez","given":"Cindy L"},{"family":"Hernández","given":"Diana Riaño"},{"family":"Luciano","given":"Carmen"}],"issued":{"date-parts":[["2016"]]}}}],"schema":"https://github.com/citation-style-language/schema/raw/master/csl-citation.json"} </w:instrText>
      </w:r>
      <w:r>
        <w:fldChar w:fldCharType="separate"/>
      </w:r>
      <w:r>
        <w:rPr>
          <w:noProof/>
        </w:rPr>
        <w:t>(Sierra et al., 2016)</w:t>
      </w:r>
      <w:r>
        <w:fldChar w:fldCharType="end"/>
      </w:r>
      <w:r>
        <w:t xml:space="preserve"> but have also failed to replicate </w:t>
      </w:r>
      <w:r>
        <w:fldChar w:fldCharType="begin"/>
      </w:r>
      <w:r>
        <w:instrText xml:space="preserve"> ADDIN ZOTERO_ITEM CSL_CITATION {"citationID":"duqP8Hf4","properties":{"unsorted":true,"formattedCitation":"(Pendrous et al., 2020; for a series of replies, in order of publication, see: Hulbert-Williams et al., 2020; Ruiz et al., 2020; Hussey, 2020)","plainCitation":"(Pendrous et al., 2020; for a series of replies, in order of publication, see: Hulbert-Williams et al., 2020; Ruiz et al., 2020; Hussey, 2020)","noteIndex":0},"citationItems":[{"id":12381,"uris":["http://zotero.org/users/1687755/items/E5JLVVRD"],"itemData":{"id":12381,"type":"article-journal","abstract":"Relational frame theory claims that the tacit understanding of metaphorical language rests upon our ability to derive relations based on relevant contextual cues; with metaphor aptness being a function of learning history and the number and nature of contextual cues presented. Recent experimental research has explored whether metaphor aptness plays a role in changing behaviour. Sierra, Ruiz, Flórez, Riaño Hernández, and Luciano (2016) demonstrated that the presence of common physical properties (herein common properties; “cold”) within a perseverance metaphor increased pain tolerance to the cold pressor task. When the metaphor also specified appetitive augmental functions (herein augmentals; “something important to you”), pain tolerance also increased. We tested the replicability of these findings under more stringent conditions, using a stratified (by sex) double-blind randomised-controlled experimental design. Eighty-nine participants completed baseline measures of psychological flexibility, cognitive fusion, generalised pliance, and analogical reasoning ability. Participants were then allocated to a pre-recorded audio-delivered metaphor exercise containing either: (i) common properties; (ii) augmentals; (iii) both; or (iv) neither (control condition). Participants completed the cold pressor task before and after intervention. We found no change in pain tolerance following intervention in any condition. Given potential implications for apt metaphor use for changing behaviour, further work is required to establish why the original study's findings were not replicated, to identify boundary conditions for the putative effect, and test metaphor use in ecologically valid settings.","container-title":"Journal of Contextual Behavioral Science","DOI":"10.1016/j.jcbs.2020.02.003","ISSN":"2212-1447","journalAbbreviation":"Journal of Contextual Behavioral Science","language":"en","page":"17-24","source":"ScienceDirect","title":"Appetitive augmental functions and common physical properties in a pain-tolerance metaphor: An extended replication","title-short":"Appetitive augmental functions and common physical properties in a pain-tolerance metaphor","volume":"16","author":[{"family":"Pendrous","given":"Rosina"},{"family":"Hulbert-Williams","given":"Lee"},{"family":"Hochard","given":"Kevin D."},{"family":"Hulbert-Williams","given":"Nicholas J."}],"issued":{"date-parts":[["2020",4,1]]}}},{"id":12717,"uris":["http://zotero.org/users/1687755/items/YUWXE4HR"],"itemData":{"id":12717,"type":"article-journal","abstract":"Deliberate and explicit replication attempts are becoming more common across the behavioral sciences. Whilst replicability has been recognized as a core feature of science for decades (if not centuries), the directness of today’s replication work requires us to consider carefully how we communicate our research and how we conceptualize our theories in light of differing findings. This paper uses a concrete example to make a number of suggestions for how we, as a scientific community, ought to engage with replication attempts. Within Relational Frame Theory (RFT) there is a growing body of applied research on the effective use of metaphors to increase tolerance of aversive states. We conducted a replication of an earlier experimental analogue study (2020, this journal) and failed to find the specified effect. Ruiz et al. (2020, also this journal) have recently published a critical response in which they list a number of differences between our two studies which might account for the negative findings. We will use this series of three papers as our exemplum. We also take the opportunity to acknowledge some points of critique provided by Ruiz et al., and to set the record straight with respect to the differences between the original study and our replication attempt. We hope this discussion might help the CBS community to develop a coherent approach to the very current issue of replication.","container-title":"Journal of Contextual Behavioral Science","DOI":"10.1016/j.jcbs.2020.10.008","ISSN":"2212-1447","journalAbbreviation":"Journal of Contextual Behavioral Science","language":"en","source":"ScienceDirect","title":"In search of scope: A response to Ruiz et al. (2020)","title-short":"In search of scope","URL":"http://www.sciencedirect.com/science/article/pii/S2212144720302039","author":[{"family":"Hulbert-Williams","given":"L."},{"family":"Pendrous","given":"R."},{"family":"Hochard","given":"K. D."},{"family":"Hulbert-Williams","given":"N. J."}],"accessed":{"date-parts":[["2020",11,6]]},"issued":{"date-parts":[["2020",10,29]]}},"label":"page","prefix":"for a series of replies, in order of publication, see: "},{"id":12430,"uris":["http://zotero.org/users/1687755/items/SVCZDY7K"],"itemData":{"id":12430,"type":"article-journal","abstract":"Conducting direct replication studies is crucial for the progress of science because they increase our confidence in the effect of the independent variables under the same or mostly the same experimental conditions. Pendrous et al. (2020) recently published an “extended direct replication” with negative results concerning the study by Sierra et al. (2016) and suggested the disparity in results was due to the supposed more stringent conditions of their study. However, a detailed comparison of the studies reveals that (a) they differed in many relevant aspects (e.g., participants' characteristics, experimental task, procedure, and experimental protocols): that preclude considering Pendrous et al.‘s study as a “direct replication; ” (b) the replication study did not specify some methodological strengths of the original study; and (c) the replication study had unnoticed methodological problems. In the replication study: (a) there was an overrepresentation of females, (b) there were notable differences across experimental conditions in the naïve status of the participants in terms of previous ACT/RFT knowledge and experience with the cold pressor task, (c) 21.4% of the participants were not native English speakers, (d) compensation was not the same for all participants, and (e) there were differences in the pauses prompting for relational elaboration across the experimental conditions. These methodological problems might limit the conclusions reached in the replication study. We call for greater precision in reporting and discussing replication studies by highlighting the commonalities and differences between the original and replication studies.","container-title":"Journal of Contextual Behavioral Science","DOI":"10.1016/j.jcbs.2020.04.011","ISSN":"2212-1447","journalAbbreviation":"Journal of Contextual Behavioral Science","language":"en","source":"ScienceDirect","title":"A systematic and critical response to Pendrous et al. (2020) replication study","URL":"http://www.sciencedirect.com/science/article/pii/S2212144720300983","author":[{"family":"Ruiz","given":"Francisco J."},{"family":"Luciano","given":"Carmen"},{"family":"Sierra","given":"Marco A."}],"accessed":{"date-parts":[["2020",5,2]]},"issued":{"date-parts":[["2020",4,30]]}}},{"id":16274,"uris":["http://zotero.org/users/1687755/items/BEYEEZDB"],"itemData":{"id":16274,"type":"article","abstract":"Recent evidence suggests replications of psychology studies produce discrepant findings, and that original studies frequently report inflated estimates of effect size. Colloquially speaking, studies ‘fail to replicate’ at an alarming rate, at least in terms of congruence of finding significant p values. Replies are often then written by the authors of the original studies. This discourse often follows a predictable pattern: highly general claims are made in an original study, the replication produces null results, and the response by the original authors primarily focuses on reasons to disqualify the replication’s results from requiring consideration, rather than acknowledging that the original study’s finding may not, in fact, be replicable, or that the generality of the original claims may require revision or constraint. I illustrate these points using the example of a recently published trio of an original study, a failed replication, and a response by original authors. I argue that our scientific goals would be better served by efforts to avoid falling into these writing tropes and to instead move the discourse forward and reinforce the behaviours we want to see in our scientific community, such as the conduction of high-quality replication studies. All data and code at osf.io/du8xk.","DOI":"10.31234/osf.io/83z2y","language":"en-us","publisher":"PsyArXiv","source":"OSF Preprints","title":"General claims require generalized effects: A reply to Ruiz et al.’s (2020) ‘A systematic and critical response to Pendrous et al. (2020) replication study’","title-short":"General claims require generalized effects","URL":"https://psyarxiv.com/83z2y/","author":[{"family":"Hussey","given":"Ian"}],"accessed":{"date-parts":[["2023",2,24]]},"issued":{"date-parts":[["2020",5,7]]}}}],"schema":"https://github.com/citation-style-language/schema/raw/master/csl-citation.json"} </w:instrText>
      </w:r>
      <w:r>
        <w:fldChar w:fldCharType="separate"/>
      </w:r>
      <w:r>
        <w:rPr>
          <w:noProof/>
        </w:rPr>
        <w:t>(Pendrous et al., 2020; for a series of replies, in order of publication, see: Hulbert-Williams et al., 2020; Ruiz et al., 2020; Hussey, 2020)</w:t>
      </w:r>
      <w:r>
        <w:fldChar w:fldCharType="end"/>
      </w:r>
      <w:r>
        <w:t xml:space="preserve">. </w:t>
      </w:r>
    </w:p>
    <w:p w14:paraId="649F5027" w14:textId="77777777" w:rsidR="00C37C3A" w:rsidRDefault="00C37C3A" w:rsidP="00C37C3A"/>
    <w:p w14:paraId="4ED2D88F" w14:textId="77777777" w:rsidR="00C37C3A" w:rsidRDefault="00C37C3A" w:rsidP="00C37C3A">
      <w:r>
        <w:t>It is a shame that the disconnect between Foody et al.’s (2013) results and claims was not caught during the peer review process.</w:t>
      </w:r>
    </w:p>
    <w:p w14:paraId="4587AAE0" w14:textId="77777777" w:rsidR="00C37C3A" w:rsidRPr="00F65EEF" w:rsidRDefault="00C37C3A" w:rsidP="00F65EEF">
      <w:pPr>
        <w:ind w:firstLine="720"/>
        <w:rPr>
          <w:sz w:val="32"/>
          <w:szCs w:val="32"/>
        </w:rPr>
      </w:pPr>
    </w:p>
    <w:sectPr w:rsidR="00C37C3A" w:rsidRPr="00F65EEF" w:rsidSect="00ED4CE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E9126" w14:textId="77777777" w:rsidR="000F277D" w:rsidRDefault="000F277D" w:rsidP="00553CAC">
      <w:r>
        <w:separator/>
      </w:r>
    </w:p>
  </w:endnote>
  <w:endnote w:type="continuationSeparator" w:id="0">
    <w:p w14:paraId="2E131FEC" w14:textId="77777777" w:rsidR="000F277D" w:rsidRDefault="000F277D" w:rsidP="00553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C2FA1" w14:textId="77777777" w:rsidR="000F277D" w:rsidRDefault="000F277D" w:rsidP="00553CAC">
      <w:r>
        <w:separator/>
      </w:r>
    </w:p>
  </w:footnote>
  <w:footnote w:type="continuationSeparator" w:id="0">
    <w:p w14:paraId="0DEDA6C5" w14:textId="77777777" w:rsidR="000F277D" w:rsidRDefault="000F277D" w:rsidP="00553C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3B18"/>
    <w:multiLevelType w:val="multilevel"/>
    <w:tmpl w:val="AE38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D38AE"/>
    <w:multiLevelType w:val="multilevel"/>
    <w:tmpl w:val="6D5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DC45A6"/>
    <w:multiLevelType w:val="multilevel"/>
    <w:tmpl w:val="834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6769825">
    <w:abstractNumId w:val="1"/>
  </w:num>
  <w:num w:numId="2" w16cid:durableId="919749520">
    <w:abstractNumId w:val="2"/>
  </w:num>
  <w:num w:numId="3" w16cid:durableId="1076512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AC"/>
    <w:rsid w:val="000011B8"/>
    <w:rsid w:val="000072A6"/>
    <w:rsid w:val="00016688"/>
    <w:rsid w:val="00020BB7"/>
    <w:rsid w:val="00024D94"/>
    <w:rsid w:val="0002622D"/>
    <w:rsid w:val="00027EDC"/>
    <w:rsid w:val="000316AC"/>
    <w:rsid w:val="000322D0"/>
    <w:rsid w:val="00034469"/>
    <w:rsid w:val="00034F46"/>
    <w:rsid w:val="0003554D"/>
    <w:rsid w:val="00036BB8"/>
    <w:rsid w:val="00037072"/>
    <w:rsid w:val="00037EC6"/>
    <w:rsid w:val="0004118C"/>
    <w:rsid w:val="00042F0C"/>
    <w:rsid w:val="0004489D"/>
    <w:rsid w:val="00045803"/>
    <w:rsid w:val="00047227"/>
    <w:rsid w:val="00050DED"/>
    <w:rsid w:val="000531B0"/>
    <w:rsid w:val="000628E2"/>
    <w:rsid w:val="00067FB6"/>
    <w:rsid w:val="00070E62"/>
    <w:rsid w:val="00071179"/>
    <w:rsid w:val="00071E6F"/>
    <w:rsid w:val="000734E5"/>
    <w:rsid w:val="000820DB"/>
    <w:rsid w:val="00082277"/>
    <w:rsid w:val="0008331D"/>
    <w:rsid w:val="00084374"/>
    <w:rsid w:val="000845C5"/>
    <w:rsid w:val="000852C5"/>
    <w:rsid w:val="00087B7A"/>
    <w:rsid w:val="00091762"/>
    <w:rsid w:val="000939B2"/>
    <w:rsid w:val="000B1CF8"/>
    <w:rsid w:val="000B2449"/>
    <w:rsid w:val="000B467B"/>
    <w:rsid w:val="000B4BD9"/>
    <w:rsid w:val="000C1608"/>
    <w:rsid w:val="000C4713"/>
    <w:rsid w:val="000C4EC2"/>
    <w:rsid w:val="000D029A"/>
    <w:rsid w:val="000E2083"/>
    <w:rsid w:val="000E2CC5"/>
    <w:rsid w:val="000E4D23"/>
    <w:rsid w:val="000F065F"/>
    <w:rsid w:val="000F1A3D"/>
    <w:rsid w:val="000F277D"/>
    <w:rsid w:val="000F702E"/>
    <w:rsid w:val="0010013A"/>
    <w:rsid w:val="0010171F"/>
    <w:rsid w:val="00103656"/>
    <w:rsid w:val="00103A44"/>
    <w:rsid w:val="00103F95"/>
    <w:rsid w:val="0011019C"/>
    <w:rsid w:val="00110F1F"/>
    <w:rsid w:val="00113CCA"/>
    <w:rsid w:val="00113D1A"/>
    <w:rsid w:val="001145EC"/>
    <w:rsid w:val="0012006D"/>
    <w:rsid w:val="001218CA"/>
    <w:rsid w:val="0012470F"/>
    <w:rsid w:val="001275CE"/>
    <w:rsid w:val="00134519"/>
    <w:rsid w:val="001353F0"/>
    <w:rsid w:val="001364C3"/>
    <w:rsid w:val="001400C5"/>
    <w:rsid w:val="00142FA5"/>
    <w:rsid w:val="00147454"/>
    <w:rsid w:val="001509BD"/>
    <w:rsid w:val="00151E63"/>
    <w:rsid w:val="0015287C"/>
    <w:rsid w:val="00153E96"/>
    <w:rsid w:val="001609DB"/>
    <w:rsid w:val="00166DBE"/>
    <w:rsid w:val="00171365"/>
    <w:rsid w:val="0017212E"/>
    <w:rsid w:val="001723E0"/>
    <w:rsid w:val="00172C9D"/>
    <w:rsid w:val="001741E2"/>
    <w:rsid w:val="00187DA5"/>
    <w:rsid w:val="00191937"/>
    <w:rsid w:val="00196A9E"/>
    <w:rsid w:val="001A03A7"/>
    <w:rsid w:val="001A141D"/>
    <w:rsid w:val="001A2CBA"/>
    <w:rsid w:val="001A4299"/>
    <w:rsid w:val="001A5315"/>
    <w:rsid w:val="001B3DA5"/>
    <w:rsid w:val="001B6EE9"/>
    <w:rsid w:val="001C0B0C"/>
    <w:rsid w:val="001C1FE1"/>
    <w:rsid w:val="001C382A"/>
    <w:rsid w:val="001D25DC"/>
    <w:rsid w:val="001D2B7E"/>
    <w:rsid w:val="001D6693"/>
    <w:rsid w:val="001D793C"/>
    <w:rsid w:val="001E0902"/>
    <w:rsid w:val="001E5DFF"/>
    <w:rsid w:val="001F0DE2"/>
    <w:rsid w:val="001F64A0"/>
    <w:rsid w:val="001F6C8F"/>
    <w:rsid w:val="002046D9"/>
    <w:rsid w:val="00204E92"/>
    <w:rsid w:val="0020506D"/>
    <w:rsid w:val="00210732"/>
    <w:rsid w:val="00211D20"/>
    <w:rsid w:val="00217548"/>
    <w:rsid w:val="00217633"/>
    <w:rsid w:val="00217635"/>
    <w:rsid w:val="002213F4"/>
    <w:rsid w:val="00221538"/>
    <w:rsid w:val="00222767"/>
    <w:rsid w:val="00222C56"/>
    <w:rsid w:val="00224726"/>
    <w:rsid w:val="002301CC"/>
    <w:rsid w:val="00231489"/>
    <w:rsid w:val="00231883"/>
    <w:rsid w:val="00232C4A"/>
    <w:rsid w:val="00243C45"/>
    <w:rsid w:val="00244D0C"/>
    <w:rsid w:val="002638C2"/>
    <w:rsid w:val="0026399E"/>
    <w:rsid w:val="00263BBE"/>
    <w:rsid w:val="00264FE8"/>
    <w:rsid w:val="0026548E"/>
    <w:rsid w:val="002656AF"/>
    <w:rsid w:val="00271D3D"/>
    <w:rsid w:val="00274099"/>
    <w:rsid w:val="00274E30"/>
    <w:rsid w:val="00280E6C"/>
    <w:rsid w:val="002811AD"/>
    <w:rsid w:val="002815DC"/>
    <w:rsid w:val="00282581"/>
    <w:rsid w:val="002836CC"/>
    <w:rsid w:val="002843B0"/>
    <w:rsid w:val="0029356D"/>
    <w:rsid w:val="00294759"/>
    <w:rsid w:val="00294907"/>
    <w:rsid w:val="002979F3"/>
    <w:rsid w:val="002A6C5F"/>
    <w:rsid w:val="002A7137"/>
    <w:rsid w:val="002C02AC"/>
    <w:rsid w:val="002C3730"/>
    <w:rsid w:val="002D1CB4"/>
    <w:rsid w:val="002D28E7"/>
    <w:rsid w:val="002D5DB3"/>
    <w:rsid w:val="002E1601"/>
    <w:rsid w:val="002E708B"/>
    <w:rsid w:val="002F161B"/>
    <w:rsid w:val="002F2362"/>
    <w:rsid w:val="002F5EDC"/>
    <w:rsid w:val="00301982"/>
    <w:rsid w:val="00314177"/>
    <w:rsid w:val="0031785B"/>
    <w:rsid w:val="00325061"/>
    <w:rsid w:val="00326CD3"/>
    <w:rsid w:val="00327141"/>
    <w:rsid w:val="00330564"/>
    <w:rsid w:val="00331AF0"/>
    <w:rsid w:val="003344C0"/>
    <w:rsid w:val="00335460"/>
    <w:rsid w:val="0034221B"/>
    <w:rsid w:val="003439A7"/>
    <w:rsid w:val="00346753"/>
    <w:rsid w:val="00346EE3"/>
    <w:rsid w:val="0035298E"/>
    <w:rsid w:val="00356405"/>
    <w:rsid w:val="003569F6"/>
    <w:rsid w:val="00363599"/>
    <w:rsid w:val="003640EB"/>
    <w:rsid w:val="00364AE9"/>
    <w:rsid w:val="003656C9"/>
    <w:rsid w:val="00373C2A"/>
    <w:rsid w:val="00377DBF"/>
    <w:rsid w:val="0038104C"/>
    <w:rsid w:val="0038250C"/>
    <w:rsid w:val="0038660F"/>
    <w:rsid w:val="003906E8"/>
    <w:rsid w:val="00390B4E"/>
    <w:rsid w:val="00391C4F"/>
    <w:rsid w:val="00391E8F"/>
    <w:rsid w:val="003931A8"/>
    <w:rsid w:val="00393A44"/>
    <w:rsid w:val="00395CD4"/>
    <w:rsid w:val="003B631A"/>
    <w:rsid w:val="003B675C"/>
    <w:rsid w:val="003B72CF"/>
    <w:rsid w:val="003B7547"/>
    <w:rsid w:val="003B7E83"/>
    <w:rsid w:val="003C1F10"/>
    <w:rsid w:val="003C2FCE"/>
    <w:rsid w:val="003C43B5"/>
    <w:rsid w:val="003D1270"/>
    <w:rsid w:val="003D50A2"/>
    <w:rsid w:val="003D77B3"/>
    <w:rsid w:val="003D7BDF"/>
    <w:rsid w:val="003E12C8"/>
    <w:rsid w:val="003E14FD"/>
    <w:rsid w:val="003E3209"/>
    <w:rsid w:val="003E5936"/>
    <w:rsid w:val="003E672F"/>
    <w:rsid w:val="003E7D53"/>
    <w:rsid w:val="003F5AC7"/>
    <w:rsid w:val="00400E63"/>
    <w:rsid w:val="00401CA3"/>
    <w:rsid w:val="00404623"/>
    <w:rsid w:val="00404BE1"/>
    <w:rsid w:val="00407EE8"/>
    <w:rsid w:val="00407F3A"/>
    <w:rsid w:val="00413A43"/>
    <w:rsid w:val="00414CB9"/>
    <w:rsid w:val="004239FE"/>
    <w:rsid w:val="0042415A"/>
    <w:rsid w:val="00425562"/>
    <w:rsid w:val="00425E38"/>
    <w:rsid w:val="0043399C"/>
    <w:rsid w:val="0043699A"/>
    <w:rsid w:val="00445BCF"/>
    <w:rsid w:val="00446BA1"/>
    <w:rsid w:val="004472F4"/>
    <w:rsid w:val="004479EF"/>
    <w:rsid w:val="00450788"/>
    <w:rsid w:val="00450A53"/>
    <w:rsid w:val="0045643F"/>
    <w:rsid w:val="0045646B"/>
    <w:rsid w:val="004605F5"/>
    <w:rsid w:val="004618E0"/>
    <w:rsid w:val="004779C4"/>
    <w:rsid w:val="00492433"/>
    <w:rsid w:val="004930CA"/>
    <w:rsid w:val="004A2B93"/>
    <w:rsid w:val="004A3F98"/>
    <w:rsid w:val="004A47EE"/>
    <w:rsid w:val="004A6746"/>
    <w:rsid w:val="004B248E"/>
    <w:rsid w:val="004B48A4"/>
    <w:rsid w:val="004C12BC"/>
    <w:rsid w:val="004C1AF6"/>
    <w:rsid w:val="004C7C8A"/>
    <w:rsid w:val="004D1970"/>
    <w:rsid w:val="004D1CB5"/>
    <w:rsid w:val="004D1F86"/>
    <w:rsid w:val="004D2D40"/>
    <w:rsid w:val="004D5D9A"/>
    <w:rsid w:val="004D7555"/>
    <w:rsid w:val="004E123C"/>
    <w:rsid w:val="004E404E"/>
    <w:rsid w:val="004E6928"/>
    <w:rsid w:val="004E6D60"/>
    <w:rsid w:val="004F3154"/>
    <w:rsid w:val="004F36E7"/>
    <w:rsid w:val="004F3F4C"/>
    <w:rsid w:val="004F4CFA"/>
    <w:rsid w:val="004F72CC"/>
    <w:rsid w:val="004F7684"/>
    <w:rsid w:val="004F7C40"/>
    <w:rsid w:val="0050563E"/>
    <w:rsid w:val="0050592F"/>
    <w:rsid w:val="00514787"/>
    <w:rsid w:val="00515E4F"/>
    <w:rsid w:val="00521291"/>
    <w:rsid w:val="00521DC7"/>
    <w:rsid w:val="005231F8"/>
    <w:rsid w:val="005252F7"/>
    <w:rsid w:val="0053385F"/>
    <w:rsid w:val="005432B8"/>
    <w:rsid w:val="0054354F"/>
    <w:rsid w:val="005462CE"/>
    <w:rsid w:val="00551451"/>
    <w:rsid w:val="00553CAC"/>
    <w:rsid w:val="00553E2C"/>
    <w:rsid w:val="00554582"/>
    <w:rsid w:val="0055546B"/>
    <w:rsid w:val="00560A85"/>
    <w:rsid w:val="00561F22"/>
    <w:rsid w:val="0056495B"/>
    <w:rsid w:val="00564D44"/>
    <w:rsid w:val="005651CF"/>
    <w:rsid w:val="00565B70"/>
    <w:rsid w:val="0056734B"/>
    <w:rsid w:val="005700F9"/>
    <w:rsid w:val="00575EF6"/>
    <w:rsid w:val="00576F58"/>
    <w:rsid w:val="00577777"/>
    <w:rsid w:val="005813A5"/>
    <w:rsid w:val="005820BC"/>
    <w:rsid w:val="005823DE"/>
    <w:rsid w:val="00584A74"/>
    <w:rsid w:val="00590CAA"/>
    <w:rsid w:val="00591BE6"/>
    <w:rsid w:val="005927A3"/>
    <w:rsid w:val="00592818"/>
    <w:rsid w:val="00594A10"/>
    <w:rsid w:val="00595233"/>
    <w:rsid w:val="00595856"/>
    <w:rsid w:val="005A0EF9"/>
    <w:rsid w:val="005A4EDE"/>
    <w:rsid w:val="005A6D22"/>
    <w:rsid w:val="005B1F58"/>
    <w:rsid w:val="005B5C47"/>
    <w:rsid w:val="005B7799"/>
    <w:rsid w:val="005C0EBA"/>
    <w:rsid w:val="005C7986"/>
    <w:rsid w:val="005D298E"/>
    <w:rsid w:val="005D5D00"/>
    <w:rsid w:val="005E2077"/>
    <w:rsid w:val="005E3E38"/>
    <w:rsid w:val="005E3F9D"/>
    <w:rsid w:val="005E6FA8"/>
    <w:rsid w:val="005F14EA"/>
    <w:rsid w:val="005F3944"/>
    <w:rsid w:val="005F7B74"/>
    <w:rsid w:val="00601A8D"/>
    <w:rsid w:val="0060396A"/>
    <w:rsid w:val="00605C8F"/>
    <w:rsid w:val="00610DFC"/>
    <w:rsid w:val="0061412D"/>
    <w:rsid w:val="0061554A"/>
    <w:rsid w:val="006155C9"/>
    <w:rsid w:val="00615D71"/>
    <w:rsid w:val="00615F7E"/>
    <w:rsid w:val="006160CB"/>
    <w:rsid w:val="00616AD0"/>
    <w:rsid w:val="00616EFA"/>
    <w:rsid w:val="006238BF"/>
    <w:rsid w:val="00624439"/>
    <w:rsid w:val="0063077C"/>
    <w:rsid w:val="00632382"/>
    <w:rsid w:val="00633E5D"/>
    <w:rsid w:val="00634025"/>
    <w:rsid w:val="00640553"/>
    <w:rsid w:val="00645B80"/>
    <w:rsid w:val="00645EC1"/>
    <w:rsid w:val="00646F58"/>
    <w:rsid w:val="00650CE4"/>
    <w:rsid w:val="00654950"/>
    <w:rsid w:val="006552D1"/>
    <w:rsid w:val="00657373"/>
    <w:rsid w:val="00666097"/>
    <w:rsid w:val="006705B3"/>
    <w:rsid w:val="00674A25"/>
    <w:rsid w:val="00675468"/>
    <w:rsid w:val="006768BE"/>
    <w:rsid w:val="00676C3C"/>
    <w:rsid w:val="00686452"/>
    <w:rsid w:val="0069218C"/>
    <w:rsid w:val="006A0C02"/>
    <w:rsid w:val="006A353F"/>
    <w:rsid w:val="006A39AD"/>
    <w:rsid w:val="006A6236"/>
    <w:rsid w:val="006A6CE3"/>
    <w:rsid w:val="006A7460"/>
    <w:rsid w:val="006B2182"/>
    <w:rsid w:val="006B2402"/>
    <w:rsid w:val="006B27AC"/>
    <w:rsid w:val="006B5009"/>
    <w:rsid w:val="006B518B"/>
    <w:rsid w:val="006B5E62"/>
    <w:rsid w:val="006B5F72"/>
    <w:rsid w:val="006C5FF9"/>
    <w:rsid w:val="006D2895"/>
    <w:rsid w:val="006E0043"/>
    <w:rsid w:val="006E0802"/>
    <w:rsid w:val="006E1DF7"/>
    <w:rsid w:val="006F10BE"/>
    <w:rsid w:val="006F3043"/>
    <w:rsid w:val="006F3134"/>
    <w:rsid w:val="006F7EFA"/>
    <w:rsid w:val="00704908"/>
    <w:rsid w:val="00711D21"/>
    <w:rsid w:val="007131A8"/>
    <w:rsid w:val="007132CD"/>
    <w:rsid w:val="00720FEE"/>
    <w:rsid w:val="00721002"/>
    <w:rsid w:val="00722320"/>
    <w:rsid w:val="00730189"/>
    <w:rsid w:val="00732AFB"/>
    <w:rsid w:val="0073490F"/>
    <w:rsid w:val="00737FE4"/>
    <w:rsid w:val="007408C4"/>
    <w:rsid w:val="00741D0D"/>
    <w:rsid w:val="007420FC"/>
    <w:rsid w:val="00742B1C"/>
    <w:rsid w:val="00744350"/>
    <w:rsid w:val="00747122"/>
    <w:rsid w:val="00752940"/>
    <w:rsid w:val="00754C94"/>
    <w:rsid w:val="00765A39"/>
    <w:rsid w:val="00765FD3"/>
    <w:rsid w:val="00771383"/>
    <w:rsid w:val="00773E40"/>
    <w:rsid w:val="00774319"/>
    <w:rsid w:val="007746DE"/>
    <w:rsid w:val="00780464"/>
    <w:rsid w:val="00780883"/>
    <w:rsid w:val="00781B54"/>
    <w:rsid w:val="00781CFE"/>
    <w:rsid w:val="00783499"/>
    <w:rsid w:val="0078581A"/>
    <w:rsid w:val="00787E1A"/>
    <w:rsid w:val="00792E6B"/>
    <w:rsid w:val="00793D13"/>
    <w:rsid w:val="007A1B38"/>
    <w:rsid w:val="007A4BCA"/>
    <w:rsid w:val="007A6E11"/>
    <w:rsid w:val="007A70F6"/>
    <w:rsid w:val="007A7E24"/>
    <w:rsid w:val="007B0F59"/>
    <w:rsid w:val="007B2F05"/>
    <w:rsid w:val="007B7B21"/>
    <w:rsid w:val="007D3F5A"/>
    <w:rsid w:val="007D6E21"/>
    <w:rsid w:val="007E0CB2"/>
    <w:rsid w:val="007E36A2"/>
    <w:rsid w:val="007E60C6"/>
    <w:rsid w:val="007E646A"/>
    <w:rsid w:val="007E681D"/>
    <w:rsid w:val="007F1365"/>
    <w:rsid w:val="007F29AF"/>
    <w:rsid w:val="007F3079"/>
    <w:rsid w:val="007F3624"/>
    <w:rsid w:val="007F51C0"/>
    <w:rsid w:val="007F54C1"/>
    <w:rsid w:val="007F61E4"/>
    <w:rsid w:val="007F6C9E"/>
    <w:rsid w:val="007F71CD"/>
    <w:rsid w:val="0080163C"/>
    <w:rsid w:val="008063C6"/>
    <w:rsid w:val="008070A9"/>
    <w:rsid w:val="008144B8"/>
    <w:rsid w:val="0081466A"/>
    <w:rsid w:val="00816752"/>
    <w:rsid w:val="00817F02"/>
    <w:rsid w:val="008205E9"/>
    <w:rsid w:val="00822887"/>
    <w:rsid w:val="00825D39"/>
    <w:rsid w:val="00827CFC"/>
    <w:rsid w:val="008323C4"/>
    <w:rsid w:val="00832EB7"/>
    <w:rsid w:val="00842452"/>
    <w:rsid w:val="0084511C"/>
    <w:rsid w:val="008504A9"/>
    <w:rsid w:val="00856DD9"/>
    <w:rsid w:val="00857884"/>
    <w:rsid w:val="00865A0E"/>
    <w:rsid w:val="00876A5A"/>
    <w:rsid w:val="00877A4C"/>
    <w:rsid w:val="008817DC"/>
    <w:rsid w:val="00883D1A"/>
    <w:rsid w:val="00887AB3"/>
    <w:rsid w:val="00891988"/>
    <w:rsid w:val="00891A57"/>
    <w:rsid w:val="00897D2F"/>
    <w:rsid w:val="008A08AA"/>
    <w:rsid w:val="008A39AF"/>
    <w:rsid w:val="008A431C"/>
    <w:rsid w:val="008A4D36"/>
    <w:rsid w:val="008A5898"/>
    <w:rsid w:val="008A6E79"/>
    <w:rsid w:val="008B0D1A"/>
    <w:rsid w:val="008B4C2A"/>
    <w:rsid w:val="008B5E03"/>
    <w:rsid w:val="008C00A2"/>
    <w:rsid w:val="008C2F39"/>
    <w:rsid w:val="008C5BC8"/>
    <w:rsid w:val="008C6E1E"/>
    <w:rsid w:val="008C7A5B"/>
    <w:rsid w:val="008D379C"/>
    <w:rsid w:val="008D5FEC"/>
    <w:rsid w:val="008D76C7"/>
    <w:rsid w:val="008D778B"/>
    <w:rsid w:val="008D77F9"/>
    <w:rsid w:val="008E0B95"/>
    <w:rsid w:val="008E41FE"/>
    <w:rsid w:val="008E5CE0"/>
    <w:rsid w:val="008E6690"/>
    <w:rsid w:val="008E6ABD"/>
    <w:rsid w:val="008F18F4"/>
    <w:rsid w:val="008F1E97"/>
    <w:rsid w:val="008F4C8B"/>
    <w:rsid w:val="008F4E1E"/>
    <w:rsid w:val="009005AC"/>
    <w:rsid w:val="00902666"/>
    <w:rsid w:val="0090380D"/>
    <w:rsid w:val="009067A2"/>
    <w:rsid w:val="009112E3"/>
    <w:rsid w:val="00913A2E"/>
    <w:rsid w:val="00916A47"/>
    <w:rsid w:val="0093217E"/>
    <w:rsid w:val="0093752E"/>
    <w:rsid w:val="00941330"/>
    <w:rsid w:val="009416C2"/>
    <w:rsid w:val="0094173B"/>
    <w:rsid w:val="00941EF6"/>
    <w:rsid w:val="00943221"/>
    <w:rsid w:val="0094405D"/>
    <w:rsid w:val="00944399"/>
    <w:rsid w:val="00944E6B"/>
    <w:rsid w:val="00945AD9"/>
    <w:rsid w:val="009507A4"/>
    <w:rsid w:val="009536B4"/>
    <w:rsid w:val="00957550"/>
    <w:rsid w:val="00961118"/>
    <w:rsid w:val="0096369F"/>
    <w:rsid w:val="009676C9"/>
    <w:rsid w:val="00974399"/>
    <w:rsid w:val="00976A9F"/>
    <w:rsid w:val="00984EB9"/>
    <w:rsid w:val="0099017C"/>
    <w:rsid w:val="009906B0"/>
    <w:rsid w:val="00991169"/>
    <w:rsid w:val="00992CFB"/>
    <w:rsid w:val="0099343F"/>
    <w:rsid w:val="00996969"/>
    <w:rsid w:val="009A1602"/>
    <w:rsid w:val="009A38DE"/>
    <w:rsid w:val="009B1239"/>
    <w:rsid w:val="009B4772"/>
    <w:rsid w:val="009C0055"/>
    <w:rsid w:val="009C1ED8"/>
    <w:rsid w:val="009C2BD8"/>
    <w:rsid w:val="009C4B98"/>
    <w:rsid w:val="009C7599"/>
    <w:rsid w:val="009D31E6"/>
    <w:rsid w:val="009D437D"/>
    <w:rsid w:val="009D6FB7"/>
    <w:rsid w:val="009E2840"/>
    <w:rsid w:val="009E4469"/>
    <w:rsid w:val="009F2B11"/>
    <w:rsid w:val="009F6B62"/>
    <w:rsid w:val="009F7278"/>
    <w:rsid w:val="00A034C2"/>
    <w:rsid w:val="00A0378A"/>
    <w:rsid w:val="00A057AD"/>
    <w:rsid w:val="00A05932"/>
    <w:rsid w:val="00A11590"/>
    <w:rsid w:val="00A12D3B"/>
    <w:rsid w:val="00A13EC9"/>
    <w:rsid w:val="00A1689E"/>
    <w:rsid w:val="00A21020"/>
    <w:rsid w:val="00A25B61"/>
    <w:rsid w:val="00A261BF"/>
    <w:rsid w:val="00A3130A"/>
    <w:rsid w:val="00A34B06"/>
    <w:rsid w:val="00A369F2"/>
    <w:rsid w:val="00A402C9"/>
    <w:rsid w:val="00A41135"/>
    <w:rsid w:val="00A46FF1"/>
    <w:rsid w:val="00A53C08"/>
    <w:rsid w:val="00A70B32"/>
    <w:rsid w:val="00A81268"/>
    <w:rsid w:val="00A82BA0"/>
    <w:rsid w:val="00A838FB"/>
    <w:rsid w:val="00A8490A"/>
    <w:rsid w:val="00A87D4B"/>
    <w:rsid w:val="00A95530"/>
    <w:rsid w:val="00A96F16"/>
    <w:rsid w:val="00A96F55"/>
    <w:rsid w:val="00AA0317"/>
    <w:rsid w:val="00AA322D"/>
    <w:rsid w:val="00AA647B"/>
    <w:rsid w:val="00AB0CFD"/>
    <w:rsid w:val="00AB4C88"/>
    <w:rsid w:val="00AB5AF3"/>
    <w:rsid w:val="00AC1E43"/>
    <w:rsid w:val="00AC7A7C"/>
    <w:rsid w:val="00AD315C"/>
    <w:rsid w:val="00AE22C8"/>
    <w:rsid w:val="00AF3B43"/>
    <w:rsid w:val="00AF68E7"/>
    <w:rsid w:val="00B110F1"/>
    <w:rsid w:val="00B1470A"/>
    <w:rsid w:val="00B167BE"/>
    <w:rsid w:val="00B21AF5"/>
    <w:rsid w:val="00B2276A"/>
    <w:rsid w:val="00B26578"/>
    <w:rsid w:val="00B31079"/>
    <w:rsid w:val="00B321A4"/>
    <w:rsid w:val="00B40A87"/>
    <w:rsid w:val="00B41C0C"/>
    <w:rsid w:val="00B431B2"/>
    <w:rsid w:val="00B45362"/>
    <w:rsid w:val="00B500D2"/>
    <w:rsid w:val="00B51886"/>
    <w:rsid w:val="00B51BC0"/>
    <w:rsid w:val="00B5669C"/>
    <w:rsid w:val="00B65573"/>
    <w:rsid w:val="00B73787"/>
    <w:rsid w:val="00B7442B"/>
    <w:rsid w:val="00B841C8"/>
    <w:rsid w:val="00B857A0"/>
    <w:rsid w:val="00B87640"/>
    <w:rsid w:val="00B921E0"/>
    <w:rsid w:val="00BB568D"/>
    <w:rsid w:val="00BB743D"/>
    <w:rsid w:val="00BC177C"/>
    <w:rsid w:val="00BC195C"/>
    <w:rsid w:val="00BC3106"/>
    <w:rsid w:val="00BC4F15"/>
    <w:rsid w:val="00BC7C21"/>
    <w:rsid w:val="00BD0CFE"/>
    <w:rsid w:val="00BD1B7A"/>
    <w:rsid w:val="00BD370C"/>
    <w:rsid w:val="00BD4764"/>
    <w:rsid w:val="00BD4DF5"/>
    <w:rsid w:val="00BD6742"/>
    <w:rsid w:val="00BD6D8F"/>
    <w:rsid w:val="00BE47C2"/>
    <w:rsid w:val="00BE4E43"/>
    <w:rsid w:val="00BF05CD"/>
    <w:rsid w:val="00BF0C69"/>
    <w:rsid w:val="00BF4181"/>
    <w:rsid w:val="00BF43D6"/>
    <w:rsid w:val="00BF61C6"/>
    <w:rsid w:val="00C029D3"/>
    <w:rsid w:val="00C05495"/>
    <w:rsid w:val="00C05838"/>
    <w:rsid w:val="00C058A8"/>
    <w:rsid w:val="00C06687"/>
    <w:rsid w:val="00C07452"/>
    <w:rsid w:val="00C07954"/>
    <w:rsid w:val="00C11A5F"/>
    <w:rsid w:val="00C11C44"/>
    <w:rsid w:val="00C12487"/>
    <w:rsid w:val="00C1400F"/>
    <w:rsid w:val="00C1438C"/>
    <w:rsid w:val="00C240E0"/>
    <w:rsid w:val="00C24732"/>
    <w:rsid w:val="00C272ED"/>
    <w:rsid w:val="00C37C3A"/>
    <w:rsid w:val="00C40305"/>
    <w:rsid w:val="00C43929"/>
    <w:rsid w:val="00C43954"/>
    <w:rsid w:val="00C4510B"/>
    <w:rsid w:val="00C45ABE"/>
    <w:rsid w:val="00C54B15"/>
    <w:rsid w:val="00C55AFC"/>
    <w:rsid w:val="00C60C14"/>
    <w:rsid w:val="00C60CE3"/>
    <w:rsid w:val="00C62D58"/>
    <w:rsid w:val="00C644F3"/>
    <w:rsid w:val="00C6496E"/>
    <w:rsid w:val="00C64E50"/>
    <w:rsid w:val="00C718FD"/>
    <w:rsid w:val="00C75EA9"/>
    <w:rsid w:val="00C77D87"/>
    <w:rsid w:val="00C879B1"/>
    <w:rsid w:val="00C87FC2"/>
    <w:rsid w:val="00C911C2"/>
    <w:rsid w:val="00C91BC2"/>
    <w:rsid w:val="00C934AC"/>
    <w:rsid w:val="00C94ACE"/>
    <w:rsid w:val="00C955BE"/>
    <w:rsid w:val="00C972B6"/>
    <w:rsid w:val="00CA005D"/>
    <w:rsid w:val="00CA5743"/>
    <w:rsid w:val="00CA5953"/>
    <w:rsid w:val="00CA5F2F"/>
    <w:rsid w:val="00CB764F"/>
    <w:rsid w:val="00CC0BDB"/>
    <w:rsid w:val="00CC2C60"/>
    <w:rsid w:val="00CC551D"/>
    <w:rsid w:val="00CD1367"/>
    <w:rsid w:val="00CD41D8"/>
    <w:rsid w:val="00CE5D73"/>
    <w:rsid w:val="00CF02C1"/>
    <w:rsid w:val="00CF33F8"/>
    <w:rsid w:val="00D0103C"/>
    <w:rsid w:val="00D01BBB"/>
    <w:rsid w:val="00D15FF3"/>
    <w:rsid w:val="00D2051F"/>
    <w:rsid w:val="00D235AD"/>
    <w:rsid w:val="00D24BA0"/>
    <w:rsid w:val="00D2515B"/>
    <w:rsid w:val="00D25B7F"/>
    <w:rsid w:val="00D30868"/>
    <w:rsid w:val="00D33DC2"/>
    <w:rsid w:val="00D35CD7"/>
    <w:rsid w:val="00D365A9"/>
    <w:rsid w:val="00D37BB6"/>
    <w:rsid w:val="00D4062D"/>
    <w:rsid w:val="00D43A2B"/>
    <w:rsid w:val="00D527C8"/>
    <w:rsid w:val="00D65AC9"/>
    <w:rsid w:val="00D748EB"/>
    <w:rsid w:val="00D77357"/>
    <w:rsid w:val="00D77554"/>
    <w:rsid w:val="00D84FC6"/>
    <w:rsid w:val="00D90863"/>
    <w:rsid w:val="00D934EB"/>
    <w:rsid w:val="00D97AD0"/>
    <w:rsid w:val="00DA14AA"/>
    <w:rsid w:val="00DA29ED"/>
    <w:rsid w:val="00DA3CAE"/>
    <w:rsid w:val="00DA5CB8"/>
    <w:rsid w:val="00DB0001"/>
    <w:rsid w:val="00DB245B"/>
    <w:rsid w:val="00DB3957"/>
    <w:rsid w:val="00DC1754"/>
    <w:rsid w:val="00DC41E1"/>
    <w:rsid w:val="00DC64D6"/>
    <w:rsid w:val="00DD3463"/>
    <w:rsid w:val="00DD46A7"/>
    <w:rsid w:val="00DD48F1"/>
    <w:rsid w:val="00DD579A"/>
    <w:rsid w:val="00DE1119"/>
    <w:rsid w:val="00DE1434"/>
    <w:rsid w:val="00DE338D"/>
    <w:rsid w:val="00E009E3"/>
    <w:rsid w:val="00E01595"/>
    <w:rsid w:val="00E0195B"/>
    <w:rsid w:val="00E03835"/>
    <w:rsid w:val="00E07546"/>
    <w:rsid w:val="00E12B1A"/>
    <w:rsid w:val="00E163A3"/>
    <w:rsid w:val="00E174F3"/>
    <w:rsid w:val="00E23285"/>
    <w:rsid w:val="00E241F3"/>
    <w:rsid w:val="00E41314"/>
    <w:rsid w:val="00E50B36"/>
    <w:rsid w:val="00E51EF6"/>
    <w:rsid w:val="00E527D5"/>
    <w:rsid w:val="00E61322"/>
    <w:rsid w:val="00E63A98"/>
    <w:rsid w:val="00E63D98"/>
    <w:rsid w:val="00E70E38"/>
    <w:rsid w:val="00E7107B"/>
    <w:rsid w:val="00E732FE"/>
    <w:rsid w:val="00E742C9"/>
    <w:rsid w:val="00E76AE7"/>
    <w:rsid w:val="00E81BBF"/>
    <w:rsid w:val="00E839B8"/>
    <w:rsid w:val="00E851C7"/>
    <w:rsid w:val="00E85C0D"/>
    <w:rsid w:val="00E86232"/>
    <w:rsid w:val="00E92D0A"/>
    <w:rsid w:val="00EA4591"/>
    <w:rsid w:val="00EA559D"/>
    <w:rsid w:val="00EA7F75"/>
    <w:rsid w:val="00EB1D20"/>
    <w:rsid w:val="00EB49C3"/>
    <w:rsid w:val="00EB63EE"/>
    <w:rsid w:val="00EB6F56"/>
    <w:rsid w:val="00EC44E4"/>
    <w:rsid w:val="00EC5A72"/>
    <w:rsid w:val="00ED2A8E"/>
    <w:rsid w:val="00ED2BD6"/>
    <w:rsid w:val="00ED3F26"/>
    <w:rsid w:val="00ED4AE2"/>
    <w:rsid w:val="00ED4CEC"/>
    <w:rsid w:val="00ED5BB1"/>
    <w:rsid w:val="00ED6317"/>
    <w:rsid w:val="00ED652D"/>
    <w:rsid w:val="00EE02CD"/>
    <w:rsid w:val="00EE2030"/>
    <w:rsid w:val="00EE358E"/>
    <w:rsid w:val="00EE5FBC"/>
    <w:rsid w:val="00EE78FA"/>
    <w:rsid w:val="00EF2438"/>
    <w:rsid w:val="00EF59F1"/>
    <w:rsid w:val="00F0174D"/>
    <w:rsid w:val="00F01DD4"/>
    <w:rsid w:val="00F03BA0"/>
    <w:rsid w:val="00F05734"/>
    <w:rsid w:val="00F07CBA"/>
    <w:rsid w:val="00F1451D"/>
    <w:rsid w:val="00F21074"/>
    <w:rsid w:val="00F228D3"/>
    <w:rsid w:val="00F3010F"/>
    <w:rsid w:val="00F31C2E"/>
    <w:rsid w:val="00F36DDD"/>
    <w:rsid w:val="00F53B25"/>
    <w:rsid w:val="00F65EEF"/>
    <w:rsid w:val="00F73E62"/>
    <w:rsid w:val="00F754D4"/>
    <w:rsid w:val="00F7635D"/>
    <w:rsid w:val="00F83A48"/>
    <w:rsid w:val="00F83BBE"/>
    <w:rsid w:val="00F84013"/>
    <w:rsid w:val="00F85EEF"/>
    <w:rsid w:val="00F90D48"/>
    <w:rsid w:val="00FA08B4"/>
    <w:rsid w:val="00FA0962"/>
    <w:rsid w:val="00FA2434"/>
    <w:rsid w:val="00FA2B87"/>
    <w:rsid w:val="00FB0752"/>
    <w:rsid w:val="00FB3AA0"/>
    <w:rsid w:val="00FB642E"/>
    <w:rsid w:val="00FC1D94"/>
    <w:rsid w:val="00FC4B54"/>
    <w:rsid w:val="00FC4FB9"/>
    <w:rsid w:val="00FC5F12"/>
    <w:rsid w:val="00FD3435"/>
    <w:rsid w:val="00FD4406"/>
    <w:rsid w:val="00FD5356"/>
    <w:rsid w:val="00FD610D"/>
    <w:rsid w:val="00FE3FA5"/>
    <w:rsid w:val="00FE4999"/>
    <w:rsid w:val="00FE6087"/>
    <w:rsid w:val="00FF0297"/>
    <w:rsid w:val="00FF1117"/>
    <w:rsid w:val="00FF4354"/>
    <w:rsid w:val="00FF533C"/>
    <w:rsid w:val="00FF63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AF755"/>
  <w15:chartTrackingRefBased/>
  <w15:docId w15:val="{9C5051D7-8CFD-2747-84A5-1C7A1834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A3D"/>
    <w:rPr>
      <w:rFonts w:ascii="Times New Roman" w:eastAsia="Times New Roman" w:hAnsi="Times New Roman" w:cs="Times New Roman"/>
      <w:lang w:eastAsia="en-GB"/>
    </w:rPr>
  </w:style>
  <w:style w:type="paragraph" w:styleId="Heading1">
    <w:name w:val="heading 1"/>
    <w:basedOn w:val="Normal"/>
    <w:link w:val="Heading1Char"/>
    <w:uiPriority w:val="9"/>
    <w:qFormat/>
    <w:rsid w:val="00553CAC"/>
    <w:pPr>
      <w:jc w:val="center"/>
      <w:outlineLvl w:val="0"/>
    </w:pPr>
    <w:rPr>
      <w:b/>
      <w:bCs/>
      <w:kern w:val="36"/>
    </w:rPr>
  </w:style>
  <w:style w:type="paragraph" w:styleId="Heading2">
    <w:name w:val="heading 2"/>
    <w:basedOn w:val="Heading1"/>
    <w:link w:val="Heading2Char"/>
    <w:uiPriority w:val="9"/>
    <w:qFormat/>
    <w:rsid w:val="00553CAC"/>
    <w:pPr>
      <w:jc w:val="left"/>
      <w:outlineLvl w:val="1"/>
    </w:pPr>
  </w:style>
  <w:style w:type="paragraph" w:styleId="Heading3">
    <w:name w:val="heading 3"/>
    <w:basedOn w:val="Heading2"/>
    <w:link w:val="Heading3Char"/>
    <w:uiPriority w:val="9"/>
    <w:qFormat/>
    <w:rsid w:val="00553CAC"/>
    <w:pPr>
      <w:ind w:firstLine="72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AC"/>
    <w:rPr>
      <w:rFonts w:ascii="Times New Roman" w:eastAsia="Times New Roman" w:hAnsi="Times New Roman" w:cs="Times New Roman"/>
      <w:b/>
      <w:bCs/>
      <w:kern w:val="36"/>
      <w:lang w:eastAsia="en-GB"/>
    </w:rPr>
  </w:style>
  <w:style w:type="character" w:customStyle="1" w:styleId="Heading2Char">
    <w:name w:val="Heading 2 Char"/>
    <w:basedOn w:val="DefaultParagraphFont"/>
    <w:link w:val="Heading2"/>
    <w:uiPriority w:val="9"/>
    <w:rsid w:val="00553CAC"/>
    <w:rPr>
      <w:rFonts w:ascii="Times New Roman" w:eastAsia="Times New Roman" w:hAnsi="Times New Roman" w:cs="Times New Roman"/>
      <w:b/>
      <w:bCs/>
      <w:kern w:val="36"/>
      <w:lang w:eastAsia="en-GB"/>
    </w:rPr>
  </w:style>
  <w:style w:type="character" w:customStyle="1" w:styleId="Heading3Char">
    <w:name w:val="Heading 3 Char"/>
    <w:basedOn w:val="DefaultParagraphFont"/>
    <w:link w:val="Heading3"/>
    <w:uiPriority w:val="9"/>
    <w:rsid w:val="00553CAC"/>
    <w:rPr>
      <w:rFonts w:ascii="Times New Roman" w:eastAsia="Times New Roman" w:hAnsi="Times New Roman" w:cs="Times New Roman"/>
      <w:b/>
      <w:bCs/>
      <w:kern w:val="36"/>
      <w:lang w:eastAsia="en-GB"/>
    </w:rPr>
  </w:style>
  <w:style w:type="paragraph" w:styleId="NormalWeb">
    <w:name w:val="Normal (Web)"/>
    <w:basedOn w:val="Normal"/>
    <w:uiPriority w:val="99"/>
    <w:unhideWhenUsed/>
    <w:rsid w:val="00553CAC"/>
    <w:pPr>
      <w:spacing w:before="100" w:beforeAutospacing="1" w:after="100" w:afterAutospacing="1"/>
    </w:pPr>
  </w:style>
  <w:style w:type="character" w:customStyle="1" w:styleId="highlight">
    <w:name w:val="highlight"/>
    <w:basedOn w:val="DefaultParagraphFont"/>
    <w:rsid w:val="00553CAC"/>
  </w:style>
  <w:style w:type="character" w:customStyle="1" w:styleId="citation">
    <w:name w:val="citation"/>
    <w:basedOn w:val="DefaultParagraphFont"/>
    <w:rsid w:val="00553CAC"/>
  </w:style>
  <w:style w:type="character" w:customStyle="1" w:styleId="citation-item">
    <w:name w:val="citation-item"/>
    <w:basedOn w:val="DefaultParagraphFont"/>
    <w:rsid w:val="00553CAC"/>
  </w:style>
  <w:style w:type="character" w:styleId="Strong">
    <w:name w:val="Strong"/>
    <w:basedOn w:val="DefaultParagraphFont"/>
    <w:uiPriority w:val="22"/>
    <w:qFormat/>
    <w:rsid w:val="00553CAC"/>
    <w:rPr>
      <w:b/>
      <w:bCs/>
    </w:rPr>
  </w:style>
  <w:style w:type="character" w:styleId="HTMLCode">
    <w:name w:val="HTML Code"/>
    <w:basedOn w:val="DefaultParagraphFont"/>
    <w:uiPriority w:val="99"/>
    <w:semiHidden/>
    <w:unhideWhenUsed/>
    <w:rsid w:val="00553CAC"/>
    <w:rPr>
      <w:rFonts w:ascii="Courier New" w:eastAsia="Times New Roman" w:hAnsi="Courier New" w:cs="Courier New"/>
      <w:sz w:val="20"/>
      <w:szCs w:val="20"/>
    </w:rPr>
  </w:style>
  <w:style w:type="character" w:styleId="Emphasis">
    <w:name w:val="Emphasis"/>
    <w:basedOn w:val="DefaultParagraphFont"/>
    <w:uiPriority w:val="20"/>
    <w:qFormat/>
    <w:rsid w:val="00553CAC"/>
    <w:rPr>
      <w:i/>
      <w:iCs/>
    </w:rPr>
  </w:style>
  <w:style w:type="paragraph" w:styleId="Title">
    <w:name w:val="Title"/>
    <w:basedOn w:val="Normal"/>
    <w:next w:val="Normal"/>
    <w:link w:val="TitleChar"/>
    <w:uiPriority w:val="10"/>
    <w:qFormat/>
    <w:rsid w:val="00553CAC"/>
    <w:pPr>
      <w:jc w:val="center"/>
      <w:outlineLvl w:val="0"/>
    </w:pPr>
    <w:rPr>
      <w:b/>
      <w:bCs/>
      <w:kern w:val="36"/>
    </w:rPr>
  </w:style>
  <w:style w:type="character" w:customStyle="1" w:styleId="TitleChar">
    <w:name w:val="Title Char"/>
    <w:basedOn w:val="DefaultParagraphFont"/>
    <w:link w:val="Title"/>
    <w:uiPriority w:val="10"/>
    <w:rsid w:val="00553CAC"/>
    <w:rPr>
      <w:rFonts w:ascii="Times New Roman" w:eastAsia="Times New Roman" w:hAnsi="Times New Roman" w:cs="Times New Roman"/>
      <w:b/>
      <w:bCs/>
      <w:kern w:val="36"/>
      <w:lang w:eastAsia="en-GB"/>
    </w:rPr>
  </w:style>
  <w:style w:type="paragraph" w:styleId="ListParagraph">
    <w:name w:val="List Paragraph"/>
    <w:basedOn w:val="Normal"/>
    <w:uiPriority w:val="34"/>
    <w:qFormat/>
    <w:rsid w:val="00553CAC"/>
    <w:pPr>
      <w:ind w:left="720"/>
      <w:contextualSpacing/>
    </w:pPr>
  </w:style>
  <w:style w:type="paragraph" w:styleId="Header">
    <w:name w:val="header"/>
    <w:basedOn w:val="Normal"/>
    <w:link w:val="HeaderChar"/>
    <w:uiPriority w:val="99"/>
    <w:unhideWhenUsed/>
    <w:rsid w:val="00553CAC"/>
    <w:pPr>
      <w:tabs>
        <w:tab w:val="center" w:pos="4513"/>
        <w:tab w:val="right" w:pos="9026"/>
      </w:tabs>
    </w:pPr>
  </w:style>
  <w:style w:type="character" w:customStyle="1" w:styleId="HeaderChar">
    <w:name w:val="Header Char"/>
    <w:basedOn w:val="DefaultParagraphFont"/>
    <w:link w:val="Header"/>
    <w:uiPriority w:val="99"/>
    <w:rsid w:val="00553CAC"/>
    <w:rPr>
      <w:rFonts w:ascii="Times New Roman" w:eastAsia="Times New Roman" w:hAnsi="Times New Roman" w:cs="Times New Roman"/>
      <w:lang w:eastAsia="en-GB"/>
    </w:rPr>
  </w:style>
  <w:style w:type="paragraph" w:styleId="Footer">
    <w:name w:val="footer"/>
    <w:basedOn w:val="Normal"/>
    <w:link w:val="FooterChar"/>
    <w:uiPriority w:val="99"/>
    <w:unhideWhenUsed/>
    <w:rsid w:val="00553CAC"/>
    <w:pPr>
      <w:tabs>
        <w:tab w:val="center" w:pos="4513"/>
        <w:tab w:val="right" w:pos="9026"/>
      </w:tabs>
    </w:pPr>
  </w:style>
  <w:style w:type="character" w:customStyle="1" w:styleId="FooterChar">
    <w:name w:val="Footer Char"/>
    <w:basedOn w:val="DefaultParagraphFont"/>
    <w:link w:val="Footer"/>
    <w:uiPriority w:val="99"/>
    <w:rsid w:val="00553CAC"/>
    <w:rPr>
      <w:rFonts w:ascii="Times New Roman" w:eastAsia="Times New Roman" w:hAnsi="Times New Roman" w:cs="Times New Roman"/>
      <w:lang w:eastAsia="en-GB"/>
    </w:rPr>
  </w:style>
  <w:style w:type="paragraph" w:styleId="FootnoteText">
    <w:name w:val="footnote text"/>
    <w:basedOn w:val="Normal"/>
    <w:link w:val="FootnoteTextChar"/>
    <w:uiPriority w:val="99"/>
    <w:semiHidden/>
    <w:unhideWhenUsed/>
    <w:rsid w:val="008C2F39"/>
    <w:rPr>
      <w:sz w:val="20"/>
      <w:szCs w:val="20"/>
    </w:rPr>
  </w:style>
  <w:style w:type="character" w:customStyle="1" w:styleId="FootnoteTextChar">
    <w:name w:val="Footnote Text Char"/>
    <w:basedOn w:val="DefaultParagraphFont"/>
    <w:link w:val="FootnoteText"/>
    <w:uiPriority w:val="99"/>
    <w:semiHidden/>
    <w:rsid w:val="008C2F39"/>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C2F39"/>
    <w:rPr>
      <w:vertAlign w:val="superscript"/>
    </w:rPr>
  </w:style>
  <w:style w:type="paragraph" w:customStyle="1" w:styleId="table">
    <w:name w:val="table"/>
    <w:basedOn w:val="Normal"/>
    <w:qFormat/>
    <w:rsid w:val="00754C94"/>
    <w:rPr>
      <w:sz w:val="20"/>
      <w:szCs w:val="20"/>
    </w:rPr>
  </w:style>
  <w:style w:type="character" w:styleId="CommentReference">
    <w:name w:val="annotation reference"/>
    <w:basedOn w:val="DefaultParagraphFont"/>
    <w:uiPriority w:val="99"/>
    <w:semiHidden/>
    <w:unhideWhenUsed/>
    <w:rsid w:val="00034469"/>
    <w:rPr>
      <w:sz w:val="16"/>
      <w:szCs w:val="16"/>
    </w:rPr>
  </w:style>
  <w:style w:type="paragraph" w:styleId="CommentText">
    <w:name w:val="annotation text"/>
    <w:basedOn w:val="Normal"/>
    <w:link w:val="CommentTextChar"/>
    <w:uiPriority w:val="99"/>
    <w:semiHidden/>
    <w:unhideWhenUsed/>
    <w:rsid w:val="00034469"/>
    <w:rPr>
      <w:sz w:val="20"/>
      <w:szCs w:val="20"/>
    </w:rPr>
  </w:style>
  <w:style w:type="character" w:customStyle="1" w:styleId="CommentTextChar">
    <w:name w:val="Comment Text Char"/>
    <w:basedOn w:val="DefaultParagraphFont"/>
    <w:link w:val="CommentText"/>
    <w:uiPriority w:val="99"/>
    <w:semiHidden/>
    <w:rsid w:val="00034469"/>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034469"/>
    <w:rPr>
      <w:b/>
      <w:bCs/>
    </w:rPr>
  </w:style>
  <w:style w:type="character" w:customStyle="1" w:styleId="CommentSubjectChar">
    <w:name w:val="Comment Subject Char"/>
    <w:basedOn w:val="CommentTextChar"/>
    <w:link w:val="CommentSubject"/>
    <w:uiPriority w:val="99"/>
    <w:semiHidden/>
    <w:rsid w:val="00034469"/>
    <w:rPr>
      <w:rFonts w:ascii="Times New Roman" w:eastAsia="Times New Roman" w:hAnsi="Times New Roman" w:cs="Times New Roman"/>
      <w:b/>
      <w:bCs/>
      <w:sz w:val="20"/>
      <w:szCs w:val="20"/>
      <w:lang w:eastAsia="en-GB"/>
    </w:rPr>
  </w:style>
  <w:style w:type="character" w:styleId="PlaceholderText">
    <w:name w:val="Placeholder Text"/>
    <w:basedOn w:val="DefaultParagraphFont"/>
    <w:uiPriority w:val="99"/>
    <w:semiHidden/>
    <w:rsid w:val="00AD315C"/>
    <w:rPr>
      <w:color w:val="808080"/>
    </w:rPr>
  </w:style>
  <w:style w:type="table" w:styleId="TableGrid">
    <w:name w:val="Table Grid"/>
    <w:basedOn w:val="TableNormal"/>
    <w:uiPriority w:val="39"/>
    <w:rsid w:val="00B22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56C9"/>
    <w:rPr>
      <w:color w:val="0563C1" w:themeColor="hyperlink"/>
      <w:u w:val="single"/>
    </w:rPr>
  </w:style>
  <w:style w:type="character" w:styleId="UnresolvedMention">
    <w:name w:val="Unresolved Mention"/>
    <w:basedOn w:val="DefaultParagraphFont"/>
    <w:uiPriority w:val="99"/>
    <w:semiHidden/>
    <w:unhideWhenUsed/>
    <w:rsid w:val="00365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325">
      <w:bodyDiv w:val="1"/>
      <w:marLeft w:val="0"/>
      <w:marRight w:val="0"/>
      <w:marTop w:val="0"/>
      <w:marBottom w:val="0"/>
      <w:divBdr>
        <w:top w:val="none" w:sz="0" w:space="0" w:color="auto"/>
        <w:left w:val="none" w:sz="0" w:space="0" w:color="auto"/>
        <w:bottom w:val="none" w:sz="0" w:space="0" w:color="auto"/>
        <w:right w:val="none" w:sz="0" w:space="0" w:color="auto"/>
      </w:divBdr>
      <w:divsChild>
        <w:div w:id="283075417">
          <w:marLeft w:val="0"/>
          <w:marRight w:val="0"/>
          <w:marTop w:val="240"/>
          <w:marBottom w:val="240"/>
          <w:divBdr>
            <w:top w:val="none" w:sz="0" w:space="0" w:color="auto"/>
            <w:left w:val="none" w:sz="0" w:space="0" w:color="auto"/>
            <w:bottom w:val="none" w:sz="0" w:space="0" w:color="auto"/>
            <w:right w:val="none" w:sz="0" w:space="0" w:color="auto"/>
          </w:divBdr>
          <w:divsChild>
            <w:div w:id="1377004312">
              <w:marLeft w:val="-225"/>
              <w:marRight w:val="-225"/>
              <w:marTop w:val="0"/>
              <w:marBottom w:val="0"/>
              <w:divBdr>
                <w:top w:val="none" w:sz="0" w:space="0" w:color="auto"/>
                <w:left w:val="none" w:sz="0" w:space="0" w:color="auto"/>
                <w:bottom w:val="none" w:sz="0" w:space="0" w:color="auto"/>
                <w:right w:val="none" w:sz="0" w:space="0" w:color="auto"/>
              </w:divBdr>
              <w:divsChild>
                <w:div w:id="90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360">
      <w:bodyDiv w:val="1"/>
      <w:marLeft w:val="0"/>
      <w:marRight w:val="0"/>
      <w:marTop w:val="0"/>
      <w:marBottom w:val="0"/>
      <w:divBdr>
        <w:top w:val="none" w:sz="0" w:space="0" w:color="auto"/>
        <w:left w:val="none" w:sz="0" w:space="0" w:color="auto"/>
        <w:bottom w:val="none" w:sz="0" w:space="0" w:color="auto"/>
        <w:right w:val="none" w:sz="0" w:space="0" w:color="auto"/>
      </w:divBdr>
      <w:divsChild>
        <w:div w:id="483813947">
          <w:marLeft w:val="0"/>
          <w:marRight w:val="0"/>
          <w:marTop w:val="240"/>
          <w:marBottom w:val="240"/>
          <w:divBdr>
            <w:top w:val="none" w:sz="0" w:space="0" w:color="auto"/>
            <w:left w:val="none" w:sz="0" w:space="0" w:color="auto"/>
            <w:bottom w:val="none" w:sz="0" w:space="0" w:color="auto"/>
            <w:right w:val="none" w:sz="0" w:space="0" w:color="auto"/>
          </w:divBdr>
          <w:divsChild>
            <w:div w:id="234441784">
              <w:marLeft w:val="-225"/>
              <w:marRight w:val="-225"/>
              <w:marTop w:val="0"/>
              <w:marBottom w:val="0"/>
              <w:divBdr>
                <w:top w:val="none" w:sz="0" w:space="0" w:color="auto"/>
                <w:left w:val="none" w:sz="0" w:space="0" w:color="auto"/>
                <w:bottom w:val="none" w:sz="0" w:space="0" w:color="auto"/>
                <w:right w:val="none" w:sz="0" w:space="0" w:color="auto"/>
              </w:divBdr>
              <w:divsChild>
                <w:div w:id="16376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46716">
      <w:bodyDiv w:val="1"/>
      <w:marLeft w:val="0"/>
      <w:marRight w:val="0"/>
      <w:marTop w:val="0"/>
      <w:marBottom w:val="0"/>
      <w:divBdr>
        <w:top w:val="none" w:sz="0" w:space="0" w:color="auto"/>
        <w:left w:val="none" w:sz="0" w:space="0" w:color="auto"/>
        <w:bottom w:val="none" w:sz="0" w:space="0" w:color="auto"/>
        <w:right w:val="none" w:sz="0" w:space="0" w:color="auto"/>
      </w:divBdr>
      <w:divsChild>
        <w:div w:id="944312478">
          <w:marLeft w:val="0"/>
          <w:marRight w:val="0"/>
          <w:marTop w:val="0"/>
          <w:marBottom w:val="0"/>
          <w:divBdr>
            <w:top w:val="none" w:sz="0" w:space="0" w:color="auto"/>
            <w:left w:val="none" w:sz="0" w:space="0" w:color="auto"/>
            <w:bottom w:val="none" w:sz="0" w:space="0" w:color="auto"/>
            <w:right w:val="none" w:sz="0" w:space="0" w:color="auto"/>
          </w:divBdr>
          <w:divsChild>
            <w:div w:id="171811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972">
      <w:bodyDiv w:val="1"/>
      <w:marLeft w:val="0"/>
      <w:marRight w:val="0"/>
      <w:marTop w:val="0"/>
      <w:marBottom w:val="0"/>
      <w:divBdr>
        <w:top w:val="none" w:sz="0" w:space="0" w:color="auto"/>
        <w:left w:val="none" w:sz="0" w:space="0" w:color="auto"/>
        <w:bottom w:val="none" w:sz="0" w:space="0" w:color="auto"/>
        <w:right w:val="none" w:sz="0" w:space="0" w:color="auto"/>
      </w:divBdr>
      <w:divsChild>
        <w:div w:id="1615746514">
          <w:marLeft w:val="0"/>
          <w:marRight w:val="0"/>
          <w:marTop w:val="240"/>
          <w:marBottom w:val="240"/>
          <w:divBdr>
            <w:top w:val="none" w:sz="0" w:space="0" w:color="auto"/>
            <w:left w:val="none" w:sz="0" w:space="0" w:color="auto"/>
            <w:bottom w:val="none" w:sz="0" w:space="0" w:color="auto"/>
            <w:right w:val="none" w:sz="0" w:space="0" w:color="auto"/>
          </w:divBdr>
          <w:divsChild>
            <w:div w:id="1802186541">
              <w:marLeft w:val="-225"/>
              <w:marRight w:val="-225"/>
              <w:marTop w:val="0"/>
              <w:marBottom w:val="0"/>
              <w:divBdr>
                <w:top w:val="none" w:sz="0" w:space="0" w:color="auto"/>
                <w:left w:val="none" w:sz="0" w:space="0" w:color="auto"/>
                <w:bottom w:val="none" w:sz="0" w:space="0" w:color="auto"/>
                <w:right w:val="none" w:sz="0" w:space="0" w:color="auto"/>
              </w:divBdr>
              <w:divsChild>
                <w:div w:id="17069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483036">
      <w:bodyDiv w:val="1"/>
      <w:marLeft w:val="0"/>
      <w:marRight w:val="0"/>
      <w:marTop w:val="0"/>
      <w:marBottom w:val="0"/>
      <w:divBdr>
        <w:top w:val="none" w:sz="0" w:space="0" w:color="auto"/>
        <w:left w:val="none" w:sz="0" w:space="0" w:color="auto"/>
        <w:bottom w:val="none" w:sz="0" w:space="0" w:color="auto"/>
        <w:right w:val="none" w:sz="0" w:space="0" w:color="auto"/>
      </w:divBdr>
      <w:divsChild>
        <w:div w:id="807816948">
          <w:marLeft w:val="0"/>
          <w:marRight w:val="0"/>
          <w:marTop w:val="0"/>
          <w:marBottom w:val="0"/>
          <w:divBdr>
            <w:top w:val="none" w:sz="0" w:space="0" w:color="auto"/>
            <w:left w:val="none" w:sz="0" w:space="0" w:color="auto"/>
            <w:bottom w:val="none" w:sz="0" w:space="0" w:color="auto"/>
            <w:right w:val="none" w:sz="0" w:space="0" w:color="auto"/>
          </w:divBdr>
        </w:div>
      </w:divsChild>
    </w:div>
    <w:div w:id="285819097">
      <w:bodyDiv w:val="1"/>
      <w:marLeft w:val="0"/>
      <w:marRight w:val="0"/>
      <w:marTop w:val="0"/>
      <w:marBottom w:val="0"/>
      <w:divBdr>
        <w:top w:val="none" w:sz="0" w:space="0" w:color="auto"/>
        <w:left w:val="none" w:sz="0" w:space="0" w:color="auto"/>
        <w:bottom w:val="none" w:sz="0" w:space="0" w:color="auto"/>
        <w:right w:val="none" w:sz="0" w:space="0" w:color="auto"/>
      </w:divBdr>
      <w:divsChild>
        <w:div w:id="1797219512">
          <w:marLeft w:val="0"/>
          <w:marRight w:val="0"/>
          <w:marTop w:val="240"/>
          <w:marBottom w:val="240"/>
          <w:divBdr>
            <w:top w:val="none" w:sz="0" w:space="0" w:color="auto"/>
            <w:left w:val="none" w:sz="0" w:space="0" w:color="auto"/>
            <w:bottom w:val="none" w:sz="0" w:space="0" w:color="auto"/>
            <w:right w:val="none" w:sz="0" w:space="0" w:color="auto"/>
          </w:divBdr>
          <w:divsChild>
            <w:div w:id="1597513993">
              <w:marLeft w:val="-225"/>
              <w:marRight w:val="-225"/>
              <w:marTop w:val="0"/>
              <w:marBottom w:val="0"/>
              <w:divBdr>
                <w:top w:val="none" w:sz="0" w:space="0" w:color="auto"/>
                <w:left w:val="none" w:sz="0" w:space="0" w:color="auto"/>
                <w:bottom w:val="none" w:sz="0" w:space="0" w:color="auto"/>
                <w:right w:val="none" w:sz="0" w:space="0" w:color="auto"/>
              </w:divBdr>
              <w:divsChild>
                <w:div w:id="19387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985009">
      <w:bodyDiv w:val="1"/>
      <w:marLeft w:val="0"/>
      <w:marRight w:val="0"/>
      <w:marTop w:val="0"/>
      <w:marBottom w:val="0"/>
      <w:divBdr>
        <w:top w:val="none" w:sz="0" w:space="0" w:color="auto"/>
        <w:left w:val="none" w:sz="0" w:space="0" w:color="auto"/>
        <w:bottom w:val="none" w:sz="0" w:space="0" w:color="auto"/>
        <w:right w:val="none" w:sz="0" w:space="0" w:color="auto"/>
      </w:divBdr>
      <w:divsChild>
        <w:div w:id="2054846129">
          <w:marLeft w:val="0"/>
          <w:marRight w:val="0"/>
          <w:marTop w:val="0"/>
          <w:marBottom w:val="0"/>
          <w:divBdr>
            <w:top w:val="none" w:sz="0" w:space="0" w:color="auto"/>
            <w:left w:val="none" w:sz="0" w:space="0" w:color="auto"/>
            <w:bottom w:val="none" w:sz="0" w:space="0" w:color="auto"/>
            <w:right w:val="none" w:sz="0" w:space="0" w:color="auto"/>
          </w:divBdr>
        </w:div>
      </w:divsChild>
    </w:div>
    <w:div w:id="334843172">
      <w:bodyDiv w:val="1"/>
      <w:marLeft w:val="0"/>
      <w:marRight w:val="0"/>
      <w:marTop w:val="0"/>
      <w:marBottom w:val="0"/>
      <w:divBdr>
        <w:top w:val="none" w:sz="0" w:space="0" w:color="auto"/>
        <w:left w:val="none" w:sz="0" w:space="0" w:color="auto"/>
        <w:bottom w:val="none" w:sz="0" w:space="0" w:color="auto"/>
        <w:right w:val="none" w:sz="0" w:space="0" w:color="auto"/>
      </w:divBdr>
      <w:divsChild>
        <w:div w:id="945694008">
          <w:marLeft w:val="0"/>
          <w:marRight w:val="0"/>
          <w:marTop w:val="0"/>
          <w:marBottom w:val="0"/>
          <w:divBdr>
            <w:top w:val="none" w:sz="0" w:space="0" w:color="auto"/>
            <w:left w:val="none" w:sz="0" w:space="0" w:color="auto"/>
            <w:bottom w:val="single" w:sz="6" w:space="0" w:color="111111"/>
            <w:right w:val="none" w:sz="0" w:space="0" w:color="auto"/>
          </w:divBdr>
        </w:div>
        <w:div w:id="1842700095">
          <w:marLeft w:val="0"/>
          <w:marRight w:val="0"/>
          <w:marTop w:val="0"/>
          <w:marBottom w:val="0"/>
          <w:divBdr>
            <w:top w:val="none" w:sz="0" w:space="0" w:color="auto"/>
            <w:left w:val="none" w:sz="0" w:space="0" w:color="auto"/>
            <w:bottom w:val="single" w:sz="6" w:space="0" w:color="111111"/>
            <w:right w:val="none" w:sz="0" w:space="0" w:color="auto"/>
          </w:divBdr>
        </w:div>
        <w:div w:id="327565267">
          <w:marLeft w:val="0"/>
          <w:marRight w:val="0"/>
          <w:marTop w:val="0"/>
          <w:marBottom w:val="0"/>
          <w:divBdr>
            <w:top w:val="none" w:sz="0" w:space="0" w:color="auto"/>
            <w:left w:val="none" w:sz="0" w:space="0" w:color="auto"/>
            <w:bottom w:val="single" w:sz="6" w:space="0" w:color="111111"/>
            <w:right w:val="none" w:sz="0" w:space="0" w:color="auto"/>
          </w:divBdr>
        </w:div>
        <w:div w:id="1201014331">
          <w:marLeft w:val="0"/>
          <w:marRight w:val="0"/>
          <w:marTop w:val="240"/>
          <w:marBottom w:val="240"/>
          <w:divBdr>
            <w:top w:val="none" w:sz="0" w:space="0" w:color="auto"/>
            <w:left w:val="none" w:sz="0" w:space="0" w:color="auto"/>
            <w:bottom w:val="none" w:sz="0" w:space="0" w:color="auto"/>
            <w:right w:val="none" w:sz="0" w:space="0" w:color="auto"/>
          </w:divBdr>
          <w:divsChild>
            <w:div w:id="1114443495">
              <w:marLeft w:val="-225"/>
              <w:marRight w:val="-225"/>
              <w:marTop w:val="0"/>
              <w:marBottom w:val="0"/>
              <w:divBdr>
                <w:top w:val="none" w:sz="0" w:space="0" w:color="auto"/>
                <w:left w:val="none" w:sz="0" w:space="0" w:color="auto"/>
                <w:bottom w:val="none" w:sz="0" w:space="0" w:color="auto"/>
                <w:right w:val="none" w:sz="0" w:space="0" w:color="auto"/>
              </w:divBdr>
              <w:divsChild>
                <w:div w:id="19737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49635">
      <w:bodyDiv w:val="1"/>
      <w:marLeft w:val="0"/>
      <w:marRight w:val="0"/>
      <w:marTop w:val="0"/>
      <w:marBottom w:val="0"/>
      <w:divBdr>
        <w:top w:val="none" w:sz="0" w:space="0" w:color="auto"/>
        <w:left w:val="none" w:sz="0" w:space="0" w:color="auto"/>
        <w:bottom w:val="none" w:sz="0" w:space="0" w:color="auto"/>
        <w:right w:val="none" w:sz="0" w:space="0" w:color="auto"/>
      </w:divBdr>
      <w:divsChild>
        <w:div w:id="1378510228">
          <w:marLeft w:val="0"/>
          <w:marRight w:val="0"/>
          <w:marTop w:val="240"/>
          <w:marBottom w:val="240"/>
          <w:divBdr>
            <w:top w:val="none" w:sz="0" w:space="0" w:color="auto"/>
            <w:left w:val="none" w:sz="0" w:space="0" w:color="auto"/>
            <w:bottom w:val="none" w:sz="0" w:space="0" w:color="auto"/>
            <w:right w:val="none" w:sz="0" w:space="0" w:color="auto"/>
          </w:divBdr>
          <w:divsChild>
            <w:div w:id="1304771660">
              <w:marLeft w:val="-225"/>
              <w:marRight w:val="-225"/>
              <w:marTop w:val="0"/>
              <w:marBottom w:val="0"/>
              <w:divBdr>
                <w:top w:val="none" w:sz="0" w:space="0" w:color="auto"/>
                <w:left w:val="none" w:sz="0" w:space="0" w:color="auto"/>
                <w:bottom w:val="none" w:sz="0" w:space="0" w:color="auto"/>
                <w:right w:val="none" w:sz="0" w:space="0" w:color="auto"/>
              </w:divBdr>
              <w:divsChild>
                <w:div w:id="7424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8349">
      <w:bodyDiv w:val="1"/>
      <w:marLeft w:val="0"/>
      <w:marRight w:val="0"/>
      <w:marTop w:val="0"/>
      <w:marBottom w:val="0"/>
      <w:divBdr>
        <w:top w:val="none" w:sz="0" w:space="0" w:color="auto"/>
        <w:left w:val="none" w:sz="0" w:space="0" w:color="auto"/>
        <w:bottom w:val="none" w:sz="0" w:space="0" w:color="auto"/>
        <w:right w:val="none" w:sz="0" w:space="0" w:color="auto"/>
      </w:divBdr>
      <w:divsChild>
        <w:div w:id="534731033">
          <w:marLeft w:val="0"/>
          <w:marRight w:val="0"/>
          <w:marTop w:val="0"/>
          <w:marBottom w:val="0"/>
          <w:divBdr>
            <w:top w:val="none" w:sz="0" w:space="0" w:color="auto"/>
            <w:left w:val="none" w:sz="0" w:space="0" w:color="auto"/>
            <w:bottom w:val="none" w:sz="0" w:space="0" w:color="auto"/>
            <w:right w:val="none" w:sz="0" w:space="0" w:color="auto"/>
          </w:divBdr>
          <w:divsChild>
            <w:div w:id="1952126518">
              <w:marLeft w:val="0"/>
              <w:marRight w:val="0"/>
              <w:marTop w:val="0"/>
              <w:marBottom w:val="0"/>
              <w:divBdr>
                <w:top w:val="none" w:sz="0" w:space="0" w:color="auto"/>
                <w:left w:val="none" w:sz="0" w:space="0" w:color="auto"/>
                <w:bottom w:val="none" w:sz="0" w:space="0" w:color="auto"/>
                <w:right w:val="none" w:sz="0" w:space="0" w:color="auto"/>
              </w:divBdr>
              <w:divsChild>
                <w:div w:id="249705111">
                  <w:marLeft w:val="0"/>
                  <w:marRight w:val="0"/>
                  <w:marTop w:val="240"/>
                  <w:marBottom w:val="240"/>
                  <w:divBdr>
                    <w:top w:val="none" w:sz="0" w:space="0" w:color="auto"/>
                    <w:left w:val="none" w:sz="0" w:space="0" w:color="auto"/>
                    <w:bottom w:val="none" w:sz="0" w:space="0" w:color="auto"/>
                    <w:right w:val="none" w:sz="0" w:space="0" w:color="auto"/>
                  </w:divBdr>
                  <w:divsChild>
                    <w:div w:id="337197821">
                      <w:marLeft w:val="-225"/>
                      <w:marRight w:val="-225"/>
                      <w:marTop w:val="0"/>
                      <w:marBottom w:val="0"/>
                      <w:divBdr>
                        <w:top w:val="none" w:sz="0" w:space="0" w:color="auto"/>
                        <w:left w:val="none" w:sz="0" w:space="0" w:color="auto"/>
                        <w:bottom w:val="none" w:sz="0" w:space="0" w:color="auto"/>
                        <w:right w:val="none" w:sz="0" w:space="0" w:color="auto"/>
                      </w:divBdr>
                      <w:divsChild>
                        <w:div w:id="15997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 w:id="418603327">
      <w:bodyDiv w:val="1"/>
      <w:marLeft w:val="0"/>
      <w:marRight w:val="0"/>
      <w:marTop w:val="0"/>
      <w:marBottom w:val="0"/>
      <w:divBdr>
        <w:top w:val="none" w:sz="0" w:space="0" w:color="auto"/>
        <w:left w:val="none" w:sz="0" w:space="0" w:color="auto"/>
        <w:bottom w:val="none" w:sz="0" w:space="0" w:color="auto"/>
        <w:right w:val="none" w:sz="0" w:space="0" w:color="auto"/>
      </w:divBdr>
    </w:div>
    <w:div w:id="446121394">
      <w:bodyDiv w:val="1"/>
      <w:marLeft w:val="0"/>
      <w:marRight w:val="0"/>
      <w:marTop w:val="0"/>
      <w:marBottom w:val="0"/>
      <w:divBdr>
        <w:top w:val="none" w:sz="0" w:space="0" w:color="auto"/>
        <w:left w:val="none" w:sz="0" w:space="0" w:color="auto"/>
        <w:bottom w:val="none" w:sz="0" w:space="0" w:color="auto"/>
        <w:right w:val="none" w:sz="0" w:space="0" w:color="auto"/>
      </w:divBdr>
      <w:divsChild>
        <w:div w:id="1829664293">
          <w:marLeft w:val="0"/>
          <w:marRight w:val="0"/>
          <w:marTop w:val="0"/>
          <w:marBottom w:val="0"/>
          <w:divBdr>
            <w:top w:val="none" w:sz="0" w:space="0" w:color="auto"/>
            <w:left w:val="none" w:sz="0" w:space="0" w:color="auto"/>
            <w:bottom w:val="none" w:sz="0" w:space="0" w:color="auto"/>
            <w:right w:val="none" w:sz="0" w:space="0" w:color="auto"/>
          </w:divBdr>
          <w:divsChild>
            <w:div w:id="90364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149">
      <w:bodyDiv w:val="1"/>
      <w:marLeft w:val="0"/>
      <w:marRight w:val="0"/>
      <w:marTop w:val="0"/>
      <w:marBottom w:val="0"/>
      <w:divBdr>
        <w:top w:val="none" w:sz="0" w:space="0" w:color="auto"/>
        <w:left w:val="none" w:sz="0" w:space="0" w:color="auto"/>
        <w:bottom w:val="none" w:sz="0" w:space="0" w:color="auto"/>
        <w:right w:val="none" w:sz="0" w:space="0" w:color="auto"/>
      </w:divBdr>
    </w:div>
    <w:div w:id="481846480">
      <w:bodyDiv w:val="1"/>
      <w:marLeft w:val="0"/>
      <w:marRight w:val="0"/>
      <w:marTop w:val="0"/>
      <w:marBottom w:val="0"/>
      <w:divBdr>
        <w:top w:val="none" w:sz="0" w:space="0" w:color="auto"/>
        <w:left w:val="none" w:sz="0" w:space="0" w:color="auto"/>
        <w:bottom w:val="none" w:sz="0" w:space="0" w:color="auto"/>
        <w:right w:val="none" w:sz="0" w:space="0" w:color="auto"/>
      </w:divBdr>
      <w:divsChild>
        <w:div w:id="1011494469">
          <w:marLeft w:val="0"/>
          <w:marRight w:val="0"/>
          <w:marTop w:val="0"/>
          <w:marBottom w:val="0"/>
          <w:divBdr>
            <w:top w:val="none" w:sz="0" w:space="0" w:color="auto"/>
            <w:left w:val="none" w:sz="0" w:space="0" w:color="auto"/>
            <w:bottom w:val="none" w:sz="0" w:space="0" w:color="auto"/>
            <w:right w:val="none" w:sz="0" w:space="0" w:color="auto"/>
          </w:divBdr>
        </w:div>
      </w:divsChild>
    </w:div>
    <w:div w:id="504397774">
      <w:bodyDiv w:val="1"/>
      <w:marLeft w:val="0"/>
      <w:marRight w:val="0"/>
      <w:marTop w:val="0"/>
      <w:marBottom w:val="0"/>
      <w:divBdr>
        <w:top w:val="none" w:sz="0" w:space="0" w:color="auto"/>
        <w:left w:val="none" w:sz="0" w:space="0" w:color="auto"/>
        <w:bottom w:val="none" w:sz="0" w:space="0" w:color="auto"/>
        <w:right w:val="none" w:sz="0" w:space="0" w:color="auto"/>
      </w:divBdr>
      <w:divsChild>
        <w:div w:id="166679400">
          <w:marLeft w:val="0"/>
          <w:marRight w:val="0"/>
          <w:marTop w:val="0"/>
          <w:marBottom w:val="0"/>
          <w:divBdr>
            <w:top w:val="none" w:sz="0" w:space="0" w:color="auto"/>
            <w:left w:val="none" w:sz="0" w:space="0" w:color="auto"/>
            <w:bottom w:val="single" w:sz="6" w:space="0" w:color="111111"/>
            <w:right w:val="none" w:sz="0" w:space="0" w:color="auto"/>
          </w:divBdr>
        </w:div>
        <w:div w:id="1524637380">
          <w:marLeft w:val="0"/>
          <w:marRight w:val="0"/>
          <w:marTop w:val="0"/>
          <w:marBottom w:val="0"/>
          <w:divBdr>
            <w:top w:val="none" w:sz="0" w:space="0" w:color="auto"/>
            <w:left w:val="none" w:sz="0" w:space="0" w:color="auto"/>
            <w:bottom w:val="single" w:sz="6" w:space="0" w:color="111111"/>
            <w:right w:val="none" w:sz="0" w:space="0" w:color="auto"/>
          </w:divBdr>
        </w:div>
        <w:div w:id="1481532430">
          <w:marLeft w:val="0"/>
          <w:marRight w:val="0"/>
          <w:marTop w:val="0"/>
          <w:marBottom w:val="0"/>
          <w:divBdr>
            <w:top w:val="none" w:sz="0" w:space="0" w:color="auto"/>
            <w:left w:val="none" w:sz="0" w:space="0" w:color="auto"/>
            <w:bottom w:val="single" w:sz="6" w:space="0" w:color="111111"/>
            <w:right w:val="none" w:sz="0" w:space="0" w:color="auto"/>
          </w:divBdr>
        </w:div>
        <w:div w:id="1486044545">
          <w:marLeft w:val="0"/>
          <w:marRight w:val="0"/>
          <w:marTop w:val="240"/>
          <w:marBottom w:val="240"/>
          <w:divBdr>
            <w:top w:val="none" w:sz="0" w:space="0" w:color="auto"/>
            <w:left w:val="none" w:sz="0" w:space="0" w:color="auto"/>
            <w:bottom w:val="none" w:sz="0" w:space="0" w:color="auto"/>
            <w:right w:val="none" w:sz="0" w:space="0" w:color="auto"/>
          </w:divBdr>
          <w:divsChild>
            <w:div w:id="56364886">
              <w:marLeft w:val="-225"/>
              <w:marRight w:val="-225"/>
              <w:marTop w:val="0"/>
              <w:marBottom w:val="0"/>
              <w:divBdr>
                <w:top w:val="none" w:sz="0" w:space="0" w:color="auto"/>
                <w:left w:val="none" w:sz="0" w:space="0" w:color="auto"/>
                <w:bottom w:val="none" w:sz="0" w:space="0" w:color="auto"/>
                <w:right w:val="none" w:sz="0" w:space="0" w:color="auto"/>
              </w:divBdr>
              <w:divsChild>
                <w:div w:id="20339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84638">
      <w:bodyDiv w:val="1"/>
      <w:marLeft w:val="0"/>
      <w:marRight w:val="0"/>
      <w:marTop w:val="0"/>
      <w:marBottom w:val="0"/>
      <w:divBdr>
        <w:top w:val="none" w:sz="0" w:space="0" w:color="auto"/>
        <w:left w:val="none" w:sz="0" w:space="0" w:color="auto"/>
        <w:bottom w:val="none" w:sz="0" w:space="0" w:color="auto"/>
        <w:right w:val="none" w:sz="0" w:space="0" w:color="auto"/>
      </w:divBdr>
      <w:divsChild>
        <w:div w:id="878973287">
          <w:marLeft w:val="0"/>
          <w:marRight w:val="0"/>
          <w:marTop w:val="0"/>
          <w:marBottom w:val="0"/>
          <w:divBdr>
            <w:top w:val="none" w:sz="0" w:space="0" w:color="auto"/>
            <w:left w:val="none" w:sz="0" w:space="0" w:color="auto"/>
            <w:bottom w:val="none" w:sz="0" w:space="0" w:color="auto"/>
            <w:right w:val="none" w:sz="0" w:space="0" w:color="auto"/>
          </w:divBdr>
          <w:divsChild>
            <w:div w:id="106124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0844">
      <w:bodyDiv w:val="1"/>
      <w:marLeft w:val="0"/>
      <w:marRight w:val="0"/>
      <w:marTop w:val="0"/>
      <w:marBottom w:val="0"/>
      <w:divBdr>
        <w:top w:val="none" w:sz="0" w:space="0" w:color="auto"/>
        <w:left w:val="none" w:sz="0" w:space="0" w:color="auto"/>
        <w:bottom w:val="none" w:sz="0" w:space="0" w:color="auto"/>
        <w:right w:val="none" w:sz="0" w:space="0" w:color="auto"/>
      </w:divBdr>
      <w:divsChild>
        <w:div w:id="782845701">
          <w:marLeft w:val="0"/>
          <w:marRight w:val="0"/>
          <w:marTop w:val="240"/>
          <w:marBottom w:val="240"/>
          <w:divBdr>
            <w:top w:val="none" w:sz="0" w:space="0" w:color="auto"/>
            <w:left w:val="none" w:sz="0" w:space="0" w:color="auto"/>
            <w:bottom w:val="none" w:sz="0" w:space="0" w:color="auto"/>
            <w:right w:val="none" w:sz="0" w:space="0" w:color="auto"/>
          </w:divBdr>
          <w:divsChild>
            <w:div w:id="520749467">
              <w:marLeft w:val="-225"/>
              <w:marRight w:val="-225"/>
              <w:marTop w:val="0"/>
              <w:marBottom w:val="0"/>
              <w:divBdr>
                <w:top w:val="none" w:sz="0" w:space="0" w:color="auto"/>
                <w:left w:val="none" w:sz="0" w:space="0" w:color="auto"/>
                <w:bottom w:val="none" w:sz="0" w:space="0" w:color="auto"/>
                <w:right w:val="none" w:sz="0" w:space="0" w:color="auto"/>
              </w:divBdr>
              <w:divsChild>
                <w:div w:id="562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642">
      <w:bodyDiv w:val="1"/>
      <w:marLeft w:val="0"/>
      <w:marRight w:val="0"/>
      <w:marTop w:val="0"/>
      <w:marBottom w:val="0"/>
      <w:divBdr>
        <w:top w:val="none" w:sz="0" w:space="0" w:color="auto"/>
        <w:left w:val="none" w:sz="0" w:space="0" w:color="auto"/>
        <w:bottom w:val="none" w:sz="0" w:space="0" w:color="auto"/>
        <w:right w:val="none" w:sz="0" w:space="0" w:color="auto"/>
      </w:divBdr>
      <w:divsChild>
        <w:div w:id="1674184031">
          <w:marLeft w:val="0"/>
          <w:marRight w:val="0"/>
          <w:marTop w:val="0"/>
          <w:marBottom w:val="0"/>
          <w:divBdr>
            <w:top w:val="none" w:sz="0" w:space="0" w:color="auto"/>
            <w:left w:val="none" w:sz="0" w:space="0" w:color="auto"/>
            <w:bottom w:val="none" w:sz="0" w:space="0" w:color="auto"/>
            <w:right w:val="none" w:sz="0" w:space="0" w:color="auto"/>
          </w:divBdr>
        </w:div>
      </w:divsChild>
    </w:div>
    <w:div w:id="739838331">
      <w:bodyDiv w:val="1"/>
      <w:marLeft w:val="0"/>
      <w:marRight w:val="0"/>
      <w:marTop w:val="0"/>
      <w:marBottom w:val="0"/>
      <w:divBdr>
        <w:top w:val="none" w:sz="0" w:space="0" w:color="auto"/>
        <w:left w:val="none" w:sz="0" w:space="0" w:color="auto"/>
        <w:bottom w:val="none" w:sz="0" w:space="0" w:color="auto"/>
        <w:right w:val="none" w:sz="0" w:space="0" w:color="auto"/>
      </w:divBdr>
      <w:divsChild>
        <w:div w:id="647711654">
          <w:marLeft w:val="0"/>
          <w:marRight w:val="0"/>
          <w:marTop w:val="0"/>
          <w:marBottom w:val="0"/>
          <w:divBdr>
            <w:top w:val="none" w:sz="0" w:space="0" w:color="auto"/>
            <w:left w:val="none" w:sz="0" w:space="0" w:color="auto"/>
            <w:bottom w:val="none" w:sz="0" w:space="0" w:color="auto"/>
            <w:right w:val="none" w:sz="0" w:space="0" w:color="auto"/>
          </w:divBdr>
          <w:divsChild>
            <w:div w:id="6217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16370">
      <w:bodyDiv w:val="1"/>
      <w:marLeft w:val="0"/>
      <w:marRight w:val="0"/>
      <w:marTop w:val="0"/>
      <w:marBottom w:val="0"/>
      <w:divBdr>
        <w:top w:val="none" w:sz="0" w:space="0" w:color="auto"/>
        <w:left w:val="none" w:sz="0" w:space="0" w:color="auto"/>
        <w:bottom w:val="none" w:sz="0" w:space="0" w:color="auto"/>
        <w:right w:val="none" w:sz="0" w:space="0" w:color="auto"/>
      </w:divBdr>
      <w:divsChild>
        <w:div w:id="803230674">
          <w:marLeft w:val="0"/>
          <w:marRight w:val="0"/>
          <w:marTop w:val="240"/>
          <w:marBottom w:val="240"/>
          <w:divBdr>
            <w:top w:val="none" w:sz="0" w:space="0" w:color="auto"/>
            <w:left w:val="none" w:sz="0" w:space="0" w:color="auto"/>
            <w:bottom w:val="none" w:sz="0" w:space="0" w:color="auto"/>
            <w:right w:val="none" w:sz="0" w:space="0" w:color="auto"/>
          </w:divBdr>
          <w:divsChild>
            <w:div w:id="2066177215">
              <w:marLeft w:val="-225"/>
              <w:marRight w:val="-225"/>
              <w:marTop w:val="0"/>
              <w:marBottom w:val="0"/>
              <w:divBdr>
                <w:top w:val="none" w:sz="0" w:space="0" w:color="auto"/>
                <w:left w:val="none" w:sz="0" w:space="0" w:color="auto"/>
                <w:bottom w:val="none" w:sz="0" w:space="0" w:color="auto"/>
                <w:right w:val="none" w:sz="0" w:space="0" w:color="auto"/>
              </w:divBdr>
              <w:divsChild>
                <w:div w:id="12725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8492">
      <w:bodyDiv w:val="1"/>
      <w:marLeft w:val="0"/>
      <w:marRight w:val="0"/>
      <w:marTop w:val="0"/>
      <w:marBottom w:val="0"/>
      <w:divBdr>
        <w:top w:val="none" w:sz="0" w:space="0" w:color="auto"/>
        <w:left w:val="none" w:sz="0" w:space="0" w:color="auto"/>
        <w:bottom w:val="none" w:sz="0" w:space="0" w:color="auto"/>
        <w:right w:val="none" w:sz="0" w:space="0" w:color="auto"/>
      </w:divBdr>
      <w:divsChild>
        <w:div w:id="373896637">
          <w:marLeft w:val="0"/>
          <w:marRight w:val="0"/>
          <w:marTop w:val="240"/>
          <w:marBottom w:val="240"/>
          <w:divBdr>
            <w:top w:val="none" w:sz="0" w:space="0" w:color="auto"/>
            <w:left w:val="none" w:sz="0" w:space="0" w:color="auto"/>
            <w:bottom w:val="none" w:sz="0" w:space="0" w:color="auto"/>
            <w:right w:val="none" w:sz="0" w:space="0" w:color="auto"/>
          </w:divBdr>
          <w:divsChild>
            <w:div w:id="730349186">
              <w:marLeft w:val="-225"/>
              <w:marRight w:val="-225"/>
              <w:marTop w:val="0"/>
              <w:marBottom w:val="0"/>
              <w:divBdr>
                <w:top w:val="none" w:sz="0" w:space="0" w:color="auto"/>
                <w:left w:val="none" w:sz="0" w:space="0" w:color="auto"/>
                <w:bottom w:val="none" w:sz="0" w:space="0" w:color="auto"/>
                <w:right w:val="none" w:sz="0" w:space="0" w:color="auto"/>
              </w:divBdr>
              <w:divsChild>
                <w:div w:id="3253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1735">
      <w:bodyDiv w:val="1"/>
      <w:marLeft w:val="0"/>
      <w:marRight w:val="0"/>
      <w:marTop w:val="0"/>
      <w:marBottom w:val="0"/>
      <w:divBdr>
        <w:top w:val="none" w:sz="0" w:space="0" w:color="auto"/>
        <w:left w:val="none" w:sz="0" w:space="0" w:color="auto"/>
        <w:bottom w:val="none" w:sz="0" w:space="0" w:color="auto"/>
        <w:right w:val="none" w:sz="0" w:space="0" w:color="auto"/>
      </w:divBdr>
    </w:div>
    <w:div w:id="978268183">
      <w:bodyDiv w:val="1"/>
      <w:marLeft w:val="0"/>
      <w:marRight w:val="0"/>
      <w:marTop w:val="0"/>
      <w:marBottom w:val="0"/>
      <w:divBdr>
        <w:top w:val="none" w:sz="0" w:space="0" w:color="auto"/>
        <w:left w:val="none" w:sz="0" w:space="0" w:color="auto"/>
        <w:bottom w:val="none" w:sz="0" w:space="0" w:color="auto"/>
        <w:right w:val="none" w:sz="0" w:space="0" w:color="auto"/>
      </w:divBdr>
      <w:divsChild>
        <w:div w:id="1775124826">
          <w:marLeft w:val="0"/>
          <w:marRight w:val="0"/>
          <w:marTop w:val="0"/>
          <w:marBottom w:val="0"/>
          <w:divBdr>
            <w:top w:val="none" w:sz="0" w:space="0" w:color="auto"/>
            <w:left w:val="none" w:sz="0" w:space="0" w:color="auto"/>
            <w:bottom w:val="none" w:sz="0" w:space="0" w:color="auto"/>
            <w:right w:val="none" w:sz="0" w:space="0" w:color="auto"/>
          </w:divBdr>
        </w:div>
      </w:divsChild>
    </w:div>
    <w:div w:id="1047491477">
      <w:bodyDiv w:val="1"/>
      <w:marLeft w:val="0"/>
      <w:marRight w:val="0"/>
      <w:marTop w:val="0"/>
      <w:marBottom w:val="0"/>
      <w:divBdr>
        <w:top w:val="none" w:sz="0" w:space="0" w:color="auto"/>
        <w:left w:val="none" w:sz="0" w:space="0" w:color="auto"/>
        <w:bottom w:val="none" w:sz="0" w:space="0" w:color="auto"/>
        <w:right w:val="none" w:sz="0" w:space="0" w:color="auto"/>
      </w:divBdr>
      <w:divsChild>
        <w:div w:id="859470272">
          <w:marLeft w:val="0"/>
          <w:marRight w:val="0"/>
          <w:marTop w:val="0"/>
          <w:marBottom w:val="0"/>
          <w:divBdr>
            <w:top w:val="none" w:sz="0" w:space="0" w:color="auto"/>
            <w:left w:val="none" w:sz="0" w:space="0" w:color="auto"/>
            <w:bottom w:val="single" w:sz="6" w:space="0" w:color="111111"/>
            <w:right w:val="none" w:sz="0" w:space="0" w:color="auto"/>
          </w:divBdr>
        </w:div>
        <w:div w:id="1991328529">
          <w:marLeft w:val="0"/>
          <w:marRight w:val="0"/>
          <w:marTop w:val="0"/>
          <w:marBottom w:val="0"/>
          <w:divBdr>
            <w:top w:val="none" w:sz="0" w:space="0" w:color="auto"/>
            <w:left w:val="none" w:sz="0" w:space="0" w:color="auto"/>
            <w:bottom w:val="single" w:sz="6" w:space="0" w:color="111111"/>
            <w:right w:val="none" w:sz="0" w:space="0" w:color="auto"/>
          </w:divBdr>
        </w:div>
        <w:div w:id="170606546">
          <w:marLeft w:val="0"/>
          <w:marRight w:val="0"/>
          <w:marTop w:val="0"/>
          <w:marBottom w:val="0"/>
          <w:divBdr>
            <w:top w:val="none" w:sz="0" w:space="0" w:color="auto"/>
            <w:left w:val="none" w:sz="0" w:space="0" w:color="auto"/>
            <w:bottom w:val="single" w:sz="6" w:space="0" w:color="111111"/>
            <w:right w:val="none" w:sz="0" w:space="0" w:color="auto"/>
          </w:divBdr>
        </w:div>
        <w:div w:id="215943857">
          <w:marLeft w:val="0"/>
          <w:marRight w:val="0"/>
          <w:marTop w:val="240"/>
          <w:marBottom w:val="240"/>
          <w:divBdr>
            <w:top w:val="none" w:sz="0" w:space="0" w:color="auto"/>
            <w:left w:val="none" w:sz="0" w:space="0" w:color="auto"/>
            <w:bottom w:val="none" w:sz="0" w:space="0" w:color="auto"/>
            <w:right w:val="none" w:sz="0" w:space="0" w:color="auto"/>
          </w:divBdr>
          <w:divsChild>
            <w:div w:id="372198395">
              <w:marLeft w:val="-225"/>
              <w:marRight w:val="-225"/>
              <w:marTop w:val="0"/>
              <w:marBottom w:val="0"/>
              <w:divBdr>
                <w:top w:val="none" w:sz="0" w:space="0" w:color="auto"/>
                <w:left w:val="none" w:sz="0" w:space="0" w:color="auto"/>
                <w:bottom w:val="none" w:sz="0" w:space="0" w:color="auto"/>
                <w:right w:val="none" w:sz="0" w:space="0" w:color="auto"/>
              </w:divBdr>
              <w:divsChild>
                <w:div w:id="11788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213">
      <w:bodyDiv w:val="1"/>
      <w:marLeft w:val="0"/>
      <w:marRight w:val="0"/>
      <w:marTop w:val="0"/>
      <w:marBottom w:val="0"/>
      <w:divBdr>
        <w:top w:val="none" w:sz="0" w:space="0" w:color="auto"/>
        <w:left w:val="none" w:sz="0" w:space="0" w:color="auto"/>
        <w:bottom w:val="none" w:sz="0" w:space="0" w:color="auto"/>
        <w:right w:val="none" w:sz="0" w:space="0" w:color="auto"/>
      </w:divBdr>
      <w:divsChild>
        <w:div w:id="1980501595">
          <w:marLeft w:val="0"/>
          <w:marRight w:val="0"/>
          <w:marTop w:val="0"/>
          <w:marBottom w:val="0"/>
          <w:divBdr>
            <w:top w:val="none" w:sz="0" w:space="0" w:color="auto"/>
            <w:left w:val="none" w:sz="0" w:space="0" w:color="auto"/>
            <w:bottom w:val="none" w:sz="0" w:space="0" w:color="auto"/>
            <w:right w:val="none" w:sz="0" w:space="0" w:color="auto"/>
          </w:divBdr>
        </w:div>
      </w:divsChild>
    </w:div>
    <w:div w:id="1107039118">
      <w:bodyDiv w:val="1"/>
      <w:marLeft w:val="0"/>
      <w:marRight w:val="0"/>
      <w:marTop w:val="0"/>
      <w:marBottom w:val="0"/>
      <w:divBdr>
        <w:top w:val="none" w:sz="0" w:space="0" w:color="auto"/>
        <w:left w:val="none" w:sz="0" w:space="0" w:color="auto"/>
        <w:bottom w:val="none" w:sz="0" w:space="0" w:color="auto"/>
        <w:right w:val="none" w:sz="0" w:space="0" w:color="auto"/>
      </w:divBdr>
      <w:divsChild>
        <w:div w:id="254827445">
          <w:marLeft w:val="0"/>
          <w:marRight w:val="0"/>
          <w:marTop w:val="0"/>
          <w:marBottom w:val="0"/>
          <w:divBdr>
            <w:top w:val="none" w:sz="0" w:space="0" w:color="auto"/>
            <w:left w:val="none" w:sz="0" w:space="0" w:color="auto"/>
            <w:bottom w:val="none" w:sz="0" w:space="0" w:color="auto"/>
            <w:right w:val="none" w:sz="0" w:space="0" w:color="auto"/>
          </w:divBdr>
          <w:divsChild>
            <w:div w:id="1691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09">
      <w:bodyDiv w:val="1"/>
      <w:marLeft w:val="0"/>
      <w:marRight w:val="0"/>
      <w:marTop w:val="0"/>
      <w:marBottom w:val="0"/>
      <w:divBdr>
        <w:top w:val="none" w:sz="0" w:space="0" w:color="auto"/>
        <w:left w:val="none" w:sz="0" w:space="0" w:color="auto"/>
        <w:bottom w:val="none" w:sz="0" w:space="0" w:color="auto"/>
        <w:right w:val="none" w:sz="0" w:space="0" w:color="auto"/>
      </w:divBdr>
    </w:div>
    <w:div w:id="1213007941">
      <w:bodyDiv w:val="1"/>
      <w:marLeft w:val="0"/>
      <w:marRight w:val="0"/>
      <w:marTop w:val="0"/>
      <w:marBottom w:val="0"/>
      <w:divBdr>
        <w:top w:val="none" w:sz="0" w:space="0" w:color="auto"/>
        <w:left w:val="none" w:sz="0" w:space="0" w:color="auto"/>
        <w:bottom w:val="none" w:sz="0" w:space="0" w:color="auto"/>
        <w:right w:val="none" w:sz="0" w:space="0" w:color="auto"/>
      </w:divBdr>
    </w:div>
    <w:div w:id="1249538221">
      <w:bodyDiv w:val="1"/>
      <w:marLeft w:val="0"/>
      <w:marRight w:val="0"/>
      <w:marTop w:val="0"/>
      <w:marBottom w:val="0"/>
      <w:divBdr>
        <w:top w:val="none" w:sz="0" w:space="0" w:color="auto"/>
        <w:left w:val="none" w:sz="0" w:space="0" w:color="auto"/>
        <w:bottom w:val="none" w:sz="0" w:space="0" w:color="auto"/>
        <w:right w:val="none" w:sz="0" w:space="0" w:color="auto"/>
      </w:divBdr>
      <w:divsChild>
        <w:div w:id="751778959">
          <w:marLeft w:val="0"/>
          <w:marRight w:val="0"/>
          <w:marTop w:val="0"/>
          <w:marBottom w:val="0"/>
          <w:divBdr>
            <w:top w:val="none" w:sz="0" w:space="0" w:color="auto"/>
            <w:left w:val="none" w:sz="0" w:space="0" w:color="auto"/>
            <w:bottom w:val="none" w:sz="0" w:space="0" w:color="auto"/>
            <w:right w:val="none" w:sz="0" w:space="0" w:color="auto"/>
          </w:divBdr>
          <w:divsChild>
            <w:div w:id="12910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7300">
      <w:bodyDiv w:val="1"/>
      <w:marLeft w:val="0"/>
      <w:marRight w:val="0"/>
      <w:marTop w:val="0"/>
      <w:marBottom w:val="0"/>
      <w:divBdr>
        <w:top w:val="none" w:sz="0" w:space="0" w:color="auto"/>
        <w:left w:val="none" w:sz="0" w:space="0" w:color="auto"/>
        <w:bottom w:val="none" w:sz="0" w:space="0" w:color="auto"/>
        <w:right w:val="none" w:sz="0" w:space="0" w:color="auto"/>
      </w:divBdr>
      <w:divsChild>
        <w:div w:id="1130980511">
          <w:marLeft w:val="0"/>
          <w:marRight w:val="0"/>
          <w:marTop w:val="240"/>
          <w:marBottom w:val="240"/>
          <w:divBdr>
            <w:top w:val="none" w:sz="0" w:space="0" w:color="auto"/>
            <w:left w:val="none" w:sz="0" w:space="0" w:color="auto"/>
            <w:bottom w:val="none" w:sz="0" w:space="0" w:color="auto"/>
            <w:right w:val="none" w:sz="0" w:space="0" w:color="auto"/>
          </w:divBdr>
          <w:divsChild>
            <w:div w:id="1723366630">
              <w:marLeft w:val="-225"/>
              <w:marRight w:val="-225"/>
              <w:marTop w:val="0"/>
              <w:marBottom w:val="0"/>
              <w:divBdr>
                <w:top w:val="none" w:sz="0" w:space="0" w:color="auto"/>
                <w:left w:val="none" w:sz="0" w:space="0" w:color="auto"/>
                <w:bottom w:val="none" w:sz="0" w:space="0" w:color="auto"/>
                <w:right w:val="none" w:sz="0" w:space="0" w:color="auto"/>
              </w:divBdr>
              <w:divsChild>
                <w:div w:id="11608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174083">
      <w:bodyDiv w:val="1"/>
      <w:marLeft w:val="0"/>
      <w:marRight w:val="0"/>
      <w:marTop w:val="0"/>
      <w:marBottom w:val="0"/>
      <w:divBdr>
        <w:top w:val="none" w:sz="0" w:space="0" w:color="auto"/>
        <w:left w:val="none" w:sz="0" w:space="0" w:color="auto"/>
        <w:bottom w:val="none" w:sz="0" w:space="0" w:color="auto"/>
        <w:right w:val="none" w:sz="0" w:space="0" w:color="auto"/>
      </w:divBdr>
      <w:divsChild>
        <w:div w:id="1843818766">
          <w:marLeft w:val="0"/>
          <w:marRight w:val="0"/>
          <w:marTop w:val="0"/>
          <w:marBottom w:val="0"/>
          <w:divBdr>
            <w:top w:val="none" w:sz="0" w:space="0" w:color="auto"/>
            <w:left w:val="none" w:sz="0" w:space="0" w:color="auto"/>
            <w:bottom w:val="none" w:sz="0" w:space="0" w:color="auto"/>
            <w:right w:val="none" w:sz="0" w:space="0" w:color="auto"/>
          </w:divBdr>
        </w:div>
      </w:divsChild>
    </w:div>
    <w:div w:id="1293750146">
      <w:bodyDiv w:val="1"/>
      <w:marLeft w:val="0"/>
      <w:marRight w:val="0"/>
      <w:marTop w:val="0"/>
      <w:marBottom w:val="0"/>
      <w:divBdr>
        <w:top w:val="none" w:sz="0" w:space="0" w:color="auto"/>
        <w:left w:val="none" w:sz="0" w:space="0" w:color="auto"/>
        <w:bottom w:val="none" w:sz="0" w:space="0" w:color="auto"/>
        <w:right w:val="none" w:sz="0" w:space="0" w:color="auto"/>
      </w:divBdr>
      <w:divsChild>
        <w:div w:id="142502422">
          <w:marLeft w:val="0"/>
          <w:marRight w:val="0"/>
          <w:marTop w:val="0"/>
          <w:marBottom w:val="0"/>
          <w:divBdr>
            <w:top w:val="none" w:sz="0" w:space="0" w:color="auto"/>
            <w:left w:val="none" w:sz="0" w:space="0" w:color="auto"/>
            <w:bottom w:val="none" w:sz="0" w:space="0" w:color="auto"/>
            <w:right w:val="none" w:sz="0" w:space="0" w:color="auto"/>
          </w:divBdr>
          <w:divsChild>
            <w:div w:id="1936596901">
              <w:marLeft w:val="0"/>
              <w:marRight w:val="0"/>
              <w:marTop w:val="0"/>
              <w:marBottom w:val="0"/>
              <w:divBdr>
                <w:top w:val="none" w:sz="0" w:space="0" w:color="auto"/>
                <w:left w:val="none" w:sz="0" w:space="0" w:color="auto"/>
                <w:bottom w:val="none" w:sz="0" w:space="0" w:color="auto"/>
                <w:right w:val="none" w:sz="0" w:space="0" w:color="auto"/>
              </w:divBdr>
              <w:divsChild>
                <w:div w:id="166755376">
                  <w:marLeft w:val="0"/>
                  <w:marRight w:val="0"/>
                  <w:marTop w:val="240"/>
                  <w:marBottom w:val="240"/>
                  <w:divBdr>
                    <w:top w:val="none" w:sz="0" w:space="0" w:color="auto"/>
                    <w:left w:val="none" w:sz="0" w:space="0" w:color="auto"/>
                    <w:bottom w:val="none" w:sz="0" w:space="0" w:color="auto"/>
                    <w:right w:val="none" w:sz="0" w:space="0" w:color="auto"/>
                  </w:divBdr>
                  <w:divsChild>
                    <w:div w:id="896235041">
                      <w:marLeft w:val="-225"/>
                      <w:marRight w:val="-225"/>
                      <w:marTop w:val="0"/>
                      <w:marBottom w:val="0"/>
                      <w:divBdr>
                        <w:top w:val="none" w:sz="0" w:space="0" w:color="auto"/>
                        <w:left w:val="none" w:sz="0" w:space="0" w:color="auto"/>
                        <w:bottom w:val="none" w:sz="0" w:space="0" w:color="auto"/>
                        <w:right w:val="none" w:sz="0" w:space="0" w:color="auto"/>
                      </w:divBdr>
                      <w:divsChild>
                        <w:div w:id="95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151">
          <w:marLeft w:val="0"/>
          <w:marRight w:val="0"/>
          <w:marTop w:val="0"/>
          <w:marBottom w:val="0"/>
          <w:divBdr>
            <w:top w:val="none" w:sz="0" w:space="0" w:color="auto"/>
            <w:left w:val="none" w:sz="0" w:space="0" w:color="auto"/>
            <w:bottom w:val="none" w:sz="0" w:space="0" w:color="auto"/>
            <w:right w:val="none" w:sz="0" w:space="0" w:color="auto"/>
          </w:divBdr>
        </w:div>
      </w:divsChild>
    </w:div>
    <w:div w:id="1297758787">
      <w:bodyDiv w:val="1"/>
      <w:marLeft w:val="0"/>
      <w:marRight w:val="0"/>
      <w:marTop w:val="0"/>
      <w:marBottom w:val="0"/>
      <w:divBdr>
        <w:top w:val="none" w:sz="0" w:space="0" w:color="auto"/>
        <w:left w:val="none" w:sz="0" w:space="0" w:color="auto"/>
        <w:bottom w:val="none" w:sz="0" w:space="0" w:color="auto"/>
        <w:right w:val="none" w:sz="0" w:space="0" w:color="auto"/>
      </w:divBdr>
      <w:divsChild>
        <w:div w:id="1062405849">
          <w:marLeft w:val="0"/>
          <w:marRight w:val="0"/>
          <w:marTop w:val="0"/>
          <w:marBottom w:val="0"/>
          <w:divBdr>
            <w:top w:val="none" w:sz="0" w:space="0" w:color="auto"/>
            <w:left w:val="none" w:sz="0" w:space="0" w:color="auto"/>
            <w:bottom w:val="none" w:sz="0" w:space="0" w:color="auto"/>
            <w:right w:val="none" w:sz="0" w:space="0" w:color="auto"/>
          </w:divBdr>
          <w:divsChild>
            <w:div w:id="13942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79461">
      <w:bodyDiv w:val="1"/>
      <w:marLeft w:val="0"/>
      <w:marRight w:val="0"/>
      <w:marTop w:val="0"/>
      <w:marBottom w:val="0"/>
      <w:divBdr>
        <w:top w:val="none" w:sz="0" w:space="0" w:color="auto"/>
        <w:left w:val="none" w:sz="0" w:space="0" w:color="auto"/>
        <w:bottom w:val="none" w:sz="0" w:space="0" w:color="auto"/>
        <w:right w:val="none" w:sz="0" w:space="0" w:color="auto"/>
      </w:divBdr>
      <w:divsChild>
        <w:div w:id="2041971868">
          <w:marLeft w:val="0"/>
          <w:marRight w:val="0"/>
          <w:marTop w:val="0"/>
          <w:marBottom w:val="0"/>
          <w:divBdr>
            <w:top w:val="none" w:sz="0" w:space="0" w:color="auto"/>
            <w:left w:val="none" w:sz="0" w:space="0" w:color="auto"/>
            <w:bottom w:val="none" w:sz="0" w:space="0" w:color="auto"/>
            <w:right w:val="none" w:sz="0" w:space="0" w:color="auto"/>
          </w:divBdr>
        </w:div>
      </w:divsChild>
    </w:div>
    <w:div w:id="1457330732">
      <w:bodyDiv w:val="1"/>
      <w:marLeft w:val="0"/>
      <w:marRight w:val="0"/>
      <w:marTop w:val="0"/>
      <w:marBottom w:val="0"/>
      <w:divBdr>
        <w:top w:val="none" w:sz="0" w:space="0" w:color="auto"/>
        <w:left w:val="none" w:sz="0" w:space="0" w:color="auto"/>
        <w:bottom w:val="none" w:sz="0" w:space="0" w:color="auto"/>
        <w:right w:val="none" w:sz="0" w:space="0" w:color="auto"/>
      </w:divBdr>
      <w:divsChild>
        <w:div w:id="826163634">
          <w:marLeft w:val="0"/>
          <w:marRight w:val="0"/>
          <w:marTop w:val="0"/>
          <w:marBottom w:val="0"/>
          <w:divBdr>
            <w:top w:val="none" w:sz="0" w:space="0" w:color="auto"/>
            <w:left w:val="none" w:sz="0" w:space="0" w:color="auto"/>
            <w:bottom w:val="none" w:sz="0" w:space="0" w:color="auto"/>
            <w:right w:val="none" w:sz="0" w:space="0" w:color="auto"/>
          </w:divBdr>
        </w:div>
      </w:divsChild>
    </w:div>
    <w:div w:id="1468476425">
      <w:bodyDiv w:val="1"/>
      <w:marLeft w:val="0"/>
      <w:marRight w:val="0"/>
      <w:marTop w:val="0"/>
      <w:marBottom w:val="0"/>
      <w:divBdr>
        <w:top w:val="none" w:sz="0" w:space="0" w:color="auto"/>
        <w:left w:val="none" w:sz="0" w:space="0" w:color="auto"/>
        <w:bottom w:val="none" w:sz="0" w:space="0" w:color="auto"/>
        <w:right w:val="none" w:sz="0" w:space="0" w:color="auto"/>
      </w:divBdr>
      <w:divsChild>
        <w:div w:id="427124050">
          <w:marLeft w:val="0"/>
          <w:marRight w:val="0"/>
          <w:marTop w:val="0"/>
          <w:marBottom w:val="0"/>
          <w:divBdr>
            <w:top w:val="none" w:sz="0" w:space="0" w:color="auto"/>
            <w:left w:val="none" w:sz="0" w:space="0" w:color="auto"/>
            <w:bottom w:val="single" w:sz="6" w:space="0" w:color="111111"/>
            <w:right w:val="none" w:sz="0" w:space="0" w:color="auto"/>
          </w:divBdr>
        </w:div>
        <w:div w:id="605577791">
          <w:marLeft w:val="0"/>
          <w:marRight w:val="0"/>
          <w:marTop w:val="0"/>
          <w:marBottom w:val="0"/>
          <w:divBdr>
            <w:top w:val="none" w:sz="0" w:space="0" w:color="auto"/>
            <w:left w:val="none" w:sz="0" w:space="0" w:color="auto"/>
            <w:bottom w:val="single" w:sz="6" w:space="0" w:color="111111"/>
            <w:right w:val="none" w:sz="0" w:space="0" w:color="auto"/>
          </w:divBdr>
        </w:div>
        <w:div w:id="645940298">
          <w:marLeft w:val="0"/>
          <w:marRight w:val="0"/>
          <w:marTop w:val="0"/>
          <w:marBottom w:val="0"/>
          <w:divBdr>
            <w:top w:val="none" w:sz="0" w:space="0" w:color="auto"/>
            <w:left w:val="none" w:sz="0" w:space="0" w:color="auto"/>
            <w:bottom w:val="single" w:sz="6" w:space="0" w:color="111111"/>
            <w:right w:val="none" w:sz="0" w:space="0" w:color="auto"/>
          </w:divBdr>
        </w:div>
        <w:div w:id="1316761322">
          <w:marLeft w:val="0"/>
          <w:marRight w:val="0"/>
          <w:marTop w:val="240"/>
          <w:marBottom w:val="240"/>
          <w:divBdr>
            <w:top w:val="none" w:sz="0" w:space="0" w:color="auto"/>
            <w:left w:val="none" w:sz="0" w:space="0" w:color="auto"/>
            <w:bottom w:val="none" w:sz="0" w:space="0" w:color="auto"/>
            <w:right w:val="none" w:sz="0" w:space="0" w:color="auto"/>
          </w:divBdr>
          <w:divsChild>
            <w:div w:id="162159968">
              <w:marLeft w:val="-225"/>
              <w:marRight w:val="-225"/>
              <w:marTop w:val="0"/>
              <w:marBottom w:val="0"/>
              <w:divBdr>
                <w:top w:val="none" w:sz="0" w:space="0" w:color="auto"/>
                <w:left w:val="none" w:sz="0" w:space="0" w:color="auto"/>
                <w:bottom w:val="none" w:sz="0" w:space="0" w:color="auto"/>
                <w:right w:val="none" w:sz="0" w:space="0" w:color="auto"/>
              </w:divBdr>
              <w:divsChild>
                <w:div w:id="16477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16">
      <w:bodyDiv w:val="1"/>
      <w:marLeft w:val="0"/>
      <w:marRight w:val="0"/>
      <w:marTop w:val="0"/>
      <w:marBottom w:val="0"/>
      <w:divBdr>
        <w:top w:val="none" w:sz="0" w:space="0" w:color="auto"/>
        <w:left w:val="none" w:sz="0" w:space="0" w:color="auto"/>
        <w:bottom w:val="none" w:sz="0" w:space="0" w:color="auto"/>
        <w:right w:val="none" w:sz="0" w:space="0" w:color="auto"/>
      </w:divBdr>
      <w:divsChild>
        <w:div w:id="826748510">
          <w:marLeft w:val="0"/>
          <w:marRight w:val="0"/>
          <w:marTop w:val="0"/>
          <w:marBottom w:val="0"/>
          <w:divBdr>
            <w:top w:val="none" w:sz="0" w:space="0" w:color="auto"/>
            <w:left w:val="none" w:sz="0" w:space="0" w:color="auto"/>
            <w:bottom w:val="none" w:sz="0" w:space="0" w:color="auto"/>
            <w:right w:val="none" w:sz="0" w:space="0" w:color="auto"/>
          </w:divBdr>
          <w:divsChild>
            <w:div w:id="173874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422">
      <w:bodyDiv w:val="1"/>
      <w:marLeft w:val="0"/>
      <w:marRight w:val="0"/>
      <w:marTop w:val="0"/>
      <w:marBottom w:val="0"/>
      <w:divBdr>
        <w:top w:val="none" w:sz="0" w:space="0" w:color="auto"/>
        <w:left w:val="none" w:sz="0" w:space="0" w:color="auto"/>
        <w:bottom w:val="none" w:sz="0" w:space="0" w:color="auto"/>
        <w:right w:val="none" w:sz="0" w:space="0" w:color="auto"/>
      </w:divBdr>
    </w:div>
    <w:div w:id="1643461477">
      <w:bodyDiv w:val="1"/>
      <w:marLeft w:val="0"/>
      <w:marRight w:val="0"/>
      <w:marTop w:val="0"/>
      <w:marBottom w:val="0"/>
      <w:divBdr>
        <w:top w:val="none" w:sz="0" w:space="0" w:color="auto"/>
        <w:left w:val="none" w:sz="0" w:space="0" w:color="auto"/>
        <w:bottom w:val="none" w:sz="0" w:space="0" w:color="auto"/>
        <w:right w:val="none" w:sz="0" w:space="0" w:color="auto"/>
      </w:divBdr>
      <w:divsChild>
        <w:div w:id="422920249">
          <w:marLeft w:val="0"/>
          <w:marRight w:val="0"/>
          <w:marTop w:val="0"/>
          <w:marBottom w:val="0"/>
          <w:divBdr>
            <w:top w:val="none" w:sz="0" w:space="0" w:color="auto"/>
            <w:left w:val="none" w:sz="0" w:space="0" w:color="auto"/>
            <w:bottom w:val="none" w:sz="0" w:space="0" w:color="auto"/>
            <w:right w:val="none" w:sz="0" w:space="0" w:color="auto"/>
          </w:divBdr>
        </w:div>
      </w:divsChild>
    </w:div>
    <w:div w:id="1828667292">
      <w:bodyDiv w:val="1"/>
      <w:marLeft w:val="0"/>
      <w:marRight w:val="0"/>
      <w:marTop w:val="0"/>
      <w:marBottom w:val="0"/>
      <w:divBdr>
        <w:top w:val="none" w:sz="0" w:space="0" w:color="auto"/>
        <w:left w:val="none" w:sz="0" w:space="0" w:color="auto"/>
        <w:bottom w:val="none" w:sz="0" w:space="0" w:color="auto"/>
        <w:right w:val="none" w:sz="0" w:space="0" w:color="auto"/>
      </w:divBdr>
      <w:divsChild>
        <w:div w:id="649863510">
          <w:marLeft w:val="0"/>
          <w:marRight w:val="0"/>
          <w:marTop w:val="0"/>
          <w:marBottom w:val="0"/>
          <w:divBdr>
            <w:top w:val="none" w:sz="0" w:space="0" w:color="auto"/>
            <w:left w:val="none" w:sz="0" w:space="0" w:color="auto"/>
            <w:bottom w:val="none" w:sz="0" w:space="0" w:color="auto"/>
            <w:right w:val="none" w:sz="0" w:space="0" w:color="auto"/>
          </w:divBdr>
        </w:div>
      </w:divsChild>
    </w:div>
    <w:div w:id="1864904276">
      <w:bodyDiv w:val="1"/>
      <w:marLeft w:val="0"/>
      <w:marRight w:val="0"/>
      <w:marTop w:val="0"/>
      <w:marBottom w:val="0"/>
      <w:divBdr>
        <w:top w:val="none" w:sz="0" w:space="0" w:color="auto"/>
        <w:left w:val="none" w:sz="0" w:space="0" w:color="auto"/>
        <w:bottom w:val="none" w:sz="0" w:space="0" w:color="auto"/>
        <w:right w:val="none" w:sz="0" w:space="0" w:color="auto"/>
      </w:divBdr>
      <w:divsChild>
        <w:div w:id="506791082">
          <w:marLeft w:val="0"/>
          <w:marRight w:val="0"/>
          <w:marTop w:val="0"/>
          <w:marBottom w:val="0"/>
          <w:divBdr>
            <w:top w:val="none" w:sz="0" w:space="0" w:color="auto"/>
            <w:left w:val="none" w:sz="0" w:space="0" w:color="auto"/>
            <w:bottom w:val="none" w:sz="0" w:space="0" w:color="auto"/>
            <w:right w:val="none" w:sz="0" w:space="0" w:color="auto"/>
          </w:divBdr>
          <w:divsChild>
            <w:div w:id="16610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0008">
      <w:bodyDiv w:val="1"/>
      <w:marLeft w:val="0"/>
      <w:marRight w:val="0"/>
      <w:marTop w:val="0"/>
      <w:marBottom w:val="0"/>
      <w:divBdr>
        <w:top w:val="none" w:sz="0" w:space="0" w:color="auto"/>
        <w:left w:val="none" w:sz="0" w:space="0" w:color="auto"/>
        <w:bottom w:val="none" w:sz="0" w:space="0" w:color="auto"/>
        <w:right w:val="none" w:sz="0" w:space="0" w:color="auto"/>
      </w:divBdr>
      <w:divsChild>
        <w:div w:id="325014350">
          <w:marLeft w:val="0"/>
          <w:marRight w:val="0"/>
          <w:marTop w:val="0"/>
          <w:marBottom w:val="0"/>
          <w:divBdr>
            <w:top w:val="none" w:sz="0" w:space="0" w:color="auto"/>
            <w:left w:val="none" w:sz="0" w:space="0" w:color="auto"/>
            <w:bottom w:val="none" w:sz="0" w:space="0" w:color="auto"/>
            <w:right w:val="none" w:sz="0" w:space="0" w:color="auto"/>
          </w:divBdr>
          <w:divsChild>
            <w:div w:id="939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199">
      <w:bodyDiv w:val="1"/>
      <w:marLeft w:val="0"/>
      <w:marRight w:val="0"/>
      <w:marTop w:val="0"/>
      <w:marBottom w:val="0"/>
      <w:divBdr>
        <w:top w:val="none" w:sz="0" w:space="0" w:color="auto"/>
        <w:left w:val="none" w:sz="0" w:space="0" w:color="auto"/>
        <w:bottom w:val="none" w:sz="0" w:space="0" w:color="auto"/>
        <w:right w:val="none" w:sz="0" w:space="0" w:color="auto"/>
      </w:divBdr>
    </w:div>
    <w:div w:id="2020740705">
      <w:bodyDiv w:val="1"/>
      <w:marLeft w:val="0"/>
      <w:marRight w:val="0"/>
      <w:marTop w:val="0"/>
      <w:marBottom w:val="0"/>
      <w:divBdr>
        <w:top w:val="none" w:sz="0" w:space="0" w:color="auto"/>
        <w:left w:val="none" w:sz="0" w:space="0" w:color="auto"/>
        <w:bottom w:val="none" w:sz="0" w:space="0" w:color="auto"/>
        <w:right w:val="none" w:sz="0" w:space="0" w:color="auto"/>
      </w:divBdr>
      <w:divsChild>
        <w:div w:id="264536033">
          <w:marLeft w:val="0"/>
          <w:marRight w:val="0"/>
          <w:marTop w:val="0"/>
          <w:marBottom w:val="0"/>
          <w:divBdr>
            <w:top w:val="none" w:sz="0" w:space="0" w:color="auto"/>
            <w:left w:val="none" w:sz="0" w:space="0" w:color="auto"/>
            <w:bottom w:val="none" w:sz="0" w:space="0" w:color="auto"/>
            <w:right w:val="none" w:sz="0" w:space="0" w:color="auto"/>
          </w:divBdr>
        </w:div>
      </w:divsChild>
    </w:div>
    <w:div w:id="2022008273">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sChild>
        <w:div w:id="1763405027">
          <w:marLeft w:val="0"/>
          <w:marRight w:val="0"/>
          <w:marTop w:val="0"/>
          <w:marBottom w:val="0"/>
          <w:divBdr>
            <w:top w:val="none" w:sz="0" w:space="0" w:color="auto"/>
            <w:left w:val="none" w:sz="0" w:space="0" w:color="auto"/>
            <w:bottom w:val="none" w:sz="0" w:space="0" w:color="auto"/>
            <w:right w:val="none" w:sz="0" w:space="0" w:color="auto"/>
          </w:divBdr>
          <w:divsChild>
            <w:div w:id="421028904">
              <w:marLeft w:val="0"/>
              <w:marRight w:val="0"/>
              <w:marTop w:val="0"/>
              <w:marBottom w:val="0"/>
              <w:divBdr>
                <w:top w:val="none" w:sz="0" w:space="0" w:color="auto"/>
                <w:left w:val="none" w:sz="0" w:space="0" w:color="auto"/>
                <w:bottom w:val="none" w:sz="0" w:space="0" w:color="auto"/>
                <w:right w:val="none" w:sz="0" w:space="0" w:color="auto"/>
              </w:divBdr>
              <w:divsChild>
                <w:div w:id="742027389">
                  <w:marLeft w:val="0"/>
                  <w:marRight w:val="0"/>
                  <w:marTop w:val="240"/>
                  <w:marBottom w:val="240"/>
                  <w:divBdr>
                    <w:top w:val="none" w:sz="0" w:space="0" w:color="auto"/>
                    <w:left w:val="none" w:sz="0" w:space="0" w:color="auto"/>
                    <w:bottom w:val="none" w:sz="0" w:space="0" w:color="auto"/>
                    <w:right w:val="none" w:sz="0" w:space="0" w:color="auto"/>
                  </w:divBdr>
                  <w:divsChild>
                    <w:div w:id="1493063777">
                      <w:marLeft w:val="-225"/>
                      <w:marRight w:val="-225"/>
                      <w:marTop w:val="0"/>
                      <w:marBottom w:val="0"/>
                      <w:divBdr>
                        <w:top w:val="none" w:sz="0" w:space="0" w:color="auto"/>
                        <w:left w:val="none" w:sz="0" w:space="0" w:color="auto"/>
                        <w:bottom w:val="none" w:sz="0" w:space="0" w:color="auto"/>
                        <w:right w:val="none" w:sz="0" w:space="0" w:color="auto"/>
                      </w:divBdr>
                      <w:divsChild>
                        <w:div w:id="1998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5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10</Pages>
  <Words>11877</Words>
  <Characters>67699</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1353</cp:revision>
  <dcterms:created xsi:type="dcterms:W3CDTF">2023-02-24T11:09:00Z</dcterms:created>
  <dcterms:modified xsi:type="dcterms:W3CDTF">2023-03-06T18:22:00Z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id="keHr792V"/&gt;&lt;style id="http://www.zotero.org/styles/apa" locale="en-US" hasBibliography="1" bibliographyStyleHasBeenSet="0"/&gt;&lt;prefs&gt;&lt;pref name="fieldType" value="Field"/&gt;&lt;/prefs&gt;&lt;/data&gt;</vt:lpwstr>
  </property>
</Properties>
</file>