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31C4" w14:textId="77777777" w:rsidR="00F9405B" w:rsidRDefault="00F9405B" w:rsidP="00416178">
      <w:pPr>
        <w:pStyle w:val="Heading1"/>
        <w:rPr>
          <w:b w:val="0"/>
          <w:bCs w:val="0"/>
          <w:sz w:val="28"/>
        </w:rPr>
      </w:pPr>
    </w:p>
    <w:p w14:paraId="14E333C0" w14:textId="77777777" w:rsidR="00F9405B" w:rsidRDefault="00F9405B" w:rsidP="00416178">
      <w:pPr>
        <w:pStyle w:val="Heading1"/>
        <w:rPr>
          <w:b w:val="0"/>
          <w:bCs w:val="0"/>
          <w:sz w:val="28"/>
        </w:rPr>
      </w:pPr>
    </w:p>
    <w:p w14:paraId="5428E015" w14:textId="77777777" w:rsidR="00F9405B" w:rsidRDefault="00F9405B" w:rsidP="00416178">
      <w:pPr>
        <w:pStyle w:val="Heading1"/>
        <w:rPr>
          <w:b w:val="0"/>
          <w:bCs w:val="0"/>
          <w:sz w:val="28"/>
        </w:rPr>
      </w:pPr>
    </w:p>
    <w:p w14:paraId="32658313" w14:textId="77777777" w:rsidR="00F9405B" w:rsidRDefault="00F9405B" w:rsidP="00416178">
      <w:pPr>
        <w:pStyle w:val="Heading1"/>
        <w:rPr>
          <w:b w:val="0"/>
          <w:bCs w:val="0"/>
          <w:sz w:val="28"/>
        </w:rPr>
      </w:pPr>
    </w:p>
    <w:p w14:paraId="4B52AE6D" w14:textId="77777777" w:rsidR="008A6210" w:rsidRDefault="008A6210" w:rsidP="00416178">
      <w:pPr>
        <w:pStyle w:val="Heading1"/>
        <w:rPr>
          <w:b w:val="0"/>
          <w:bCs w:val="0"/>
          <w:sz w:val="28"/>
        </w:rPr>
      </w:pPr>
      <w:r>
        <w:rPr>
          <w:b w:val="0"/>
          <w:bCs w:val="0"/>
          <w:sz w:val="28"/>
        </w:rPr>
        <w:t xml:space="preserve">Robustly null: </w:t>
      </w:r>
    </w:p>
    <w:p w14:paraId="0BBBBEB5" w14:textId="0FC31D96" w:rsidR="00F13E8A" w:rsidRPr="00D606F3" w:rsidRDefault="00416178" w:rsidP="00416178">
      <w:pPr>
        <w:pStyle w:val="Heading1"/>
        <w:rPr>
          <w:b w:val="0"/>
          <w:bCs w:val="0"/>
          <w:sz w:val="28"/>
        </w:rPr>
      </w:pPr>
      <w:r>
        <w:rPr>
          <w:b w:val="0"/>
          <w:bCs w:val="0"/>
          <w:sz w:val="28"/>
        </w:rPr>
        <w:t xml:space="preserve">A </w:t>
      </w:r>
      <w:r w:rsidR="001E0C2B">
        <w:rPr>
          <w:b w:val="0"/>
          <w:bCs w:val="0"/>
          <w:sz w:val="28"/>
        </w:rPr>
        <w:t>critical reanalysis</w:t>
      </w:r>
      <w:r>
        <w:rPr>
          <w:b w:val="0"/>
          <w:bCs w:val="0"/>
          <w:sz w:val="28"/>
        </w:rPr>
        <w:t xml:space="preserve">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2481190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w:t>
      </w:r>
      <w:r w:rsidR="00C27D9B">
        <w:t xml:space="preserve">for ACT’s concept of Self-as-Context and as evidence for the ties between </w:t>
      </w:r>
      <w:r w:rsidR="00C07FC5" w:rsidRPr="00127167">
        <w:t>ACT</w:t>
      </w:r>
      <w:r w:rsidR="00C27D9B">
        <w:t xml:space="preserve">’s middle level clinical terms and the more basic account of language and cognition provided by </w:t>
      </w:r>
      <w:r w:rsidR="00C27D9B" w:rsidRPr="00127167">
        <w:t>RFT</w:t>
      </w:r>
      <w:r w:rsidR="00C07FC5" w:rsidRPr="00127167">
        <w:t xml:space="preserve">.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w:t>
      </w:r>
      <w:r w:rsidR="00821385">
        <w:t>several</w:t>
      </w:r>
      <w:r w:rsidR="00C07FC5" w:rsidRPr="00127167">
        <w:t xml:space="preserve"> issues</w:t>
      </w:r>
      <w:r w:rsidR="00821385">
        <w:t>, the most important of which was that</w:t>
      </w:r>
      <w:r w:rsidR="00C07FC5" w:rsidRPr="00127167">
        <w:t xml:space="preserve"> </w:t>
      </w:r>
      <w:r w:rsidR="00821385">
        <w:t>the</w:t>
      </w:r>
      <w:r w:rsidR="00FD17A1">
        <w:t xml:space="preserve"> central</w:t>
      </w:r>
      <w:r w:rsidR="00FD17A1" w:rsidRPr="00127167">
        <w:t xml:space="preserve"> claim do</w:t>
      </w:r>
      <w:r w:rsidR="00FD17A1">
        <w:t>es</w:t>
      </w:r>
      <w:r w:rsidR="00FD17A1" w:rsidRPr="00127167">
        <w:t xml:space="preserve"> not correspond with the</w:t>
      </w:r>
      <w:r w:rsidR="00821385">
        <w:t xml:space="preserve"> reported</w:t>
      </w:r>
      <w:r w:rsidR="00FD17A1" w:rsidRPr="00127167">
        <w:t xml:space="preserve"> analyses</w:t>
      </w:r>
      <w:r w:rsidR="007E506E">
        <w:t xml:space="preserve">. </w:t>
      </w:r>
      <w:r w:rsidR="00FD17A1">
        <w:t xml:space="preserve">When I </w:t>
      </w:r>
      <w:r w:rsidR="004632B7">
        <w:t xml:space="preserve">extracted summary statistics </w:t>
      </w:r>
      <w:r w:rsidR="0076307D">
        <w:t xml:space="preserve">from both studies </w:t>
      </w:r>
      <w:r w:rsidR="004632B7">
        <w:t xml:space="preserve">and used them to </w:t>
      </w:r>
      <w:r w:rsidR="00FD17A1">
        <w:t xml:space="preserve">conducted </w:t>
      </w:r>
      <w:r w:rsidR="004632B7">
        <w:t xml:space="preserve">a multiverse analysis, </w:t>
      </w:r>
      <w:r w:rsidR="00FD17A1">
        <w:t xml:space="preserve">that mapped </w:t>
      </w:r>
      <w:r w:rsidR="004632B7">
        <w:t xml:space="preserve">directly </w:t>
      </w:r>
      <w:r w:rsidR="00FD17A1">
        <w:t xml:space="preserve">onto the original </w:t>
      </w:r>
      <w:r w:rsidR="004632B7">
        <w:t>claim</w:t>
      </w:r>
      <w:r w:rsidR="00FD17A1">
        <w:t xml:space="preserve"> (i.e., that the hierarchy condition reduced distress more than the distinction condition)</w:t>
      </w:r>
      <w:r w:rsidR="007E506E">
        <w:t>, null</w:t>
      </w:r>
      <w:r w:rsidR="004632B7">
        <w:t xml:space="preserve"> results were found </w:t>
      </w:r>
      <w:r w:rsidR="00B151BA">
        <w:t>under every set of conditions</w:t>
      </w:r>
      <w:r w:rsidR="007E506E">
        <w:t xml:space="preserve">. </w:t>
      </w:r>
      <w:r w:rsidR="00A363C6" w:rsidRPr="00127167">
        <w:t xml:space="preserve">Taken together, results illustrate how </w:t>
      </w:r>
      <w:r w:rsidR="0001413F">
        <w:t xml:space="preserve">weak or </w:t>
      </w:r>
      <w:r w:rsidR="00A363C6" w:rsidRPr="00127167">
        <w:t xml:space="preserve">flawed research practices </w:t>
      </w:r>
      <w:r w:rsidR="00245D3F">
        <w:t xml:space="preserve">and uncritical citation of results can </w:t>
      </w:r>
      <w:r w:rsidR="00941AF7">
        <w:t xml:space="preserve">hinder cumulative science and evidence based </w:t>
      </w:r>
      <w:r w:rsidR="00A363C6" w:rsidRPr="00127167">
        <w:t xml:space="preserve">clinical </w:t>
      </w:r>
      <w:r w:rsidR="00245D3F">
        <w:t>practice.</w:t>
      </w:r>
      <w:r w:rsidR="0084479F">
        <w:t xml:space="preserve"> </w:t>
      </w:r>
    </w:p>
    <w:p w14:paraId="39F0DFC2" w14:textId="77777777" w:rsidR="00A932E5" w:rsidRDefault="00A932E5" w:rsidP="00444195">
      <w:pPr>
        <w:ind w:firstLine="0"/>
        <w:rPr>
          <w:highlight w:val="yellow"/>
        </w:rPr>
      </w:pPr>
    </w:p>
    <w:p w14:paraId="6A955EF5" w14:textId="77777777" w:rsidR="005F5196" w:rsidRDefault="005F5196" w:rsidP="00444195">
      <w:pPr>
        <w:ind w:firstLine="0"/>
        <w:sectPr w:rsidR="005F5196" w:rsidSect="00ED4CEC">
          <w:headerReference w:type="default" r:id="rId7"/>
          <w:footerReference w:type="default" r:id="rId8"/>
          <w:pgSz w:w="11900" w:h="16840"/>
          <w:pgMar w:top="1440" w:right="1440" w:bottom="1440" w:left="1440" w:header="708" w:footer="708" w:gutter="0"/>
          <w:cols w:space="708"/>
          <w:docGrid w:linePitch="360"/>
        </w:sectPr>
      </w:pPr>
    </w:p>
    <w:p w14:paraId="5A24B964" w14:textId="508C0EA0" w:rsidR="000A43A1" w:rsidRPr="00444195" w:rsidRDefault="00357F46" w:rsidP="00444195">
      <w:pPr>
        <w:ind w:firstLine="0"/>
      </w:pPr>
      <w:r w:rsidRPr="00444195">
        <w:t xml:space="preserve">A long-standing debate within the literature on Acceptance and Commitment Therapy (REF) is whether or not ACT’s model of therapeutic change is or is not linked to the more basic science of learning and </w:t>
      </w:r>
      <w:proofErr w:type="spellStart"/>
      <w:r w:rsidRPr="00444195">
        <w:t>behavioral</w:t>
      </w:r>
      <w:proofErr w:type="spellEnd"/>
      <w:r w:rsidRPr="00444195">
        <w:t xml:space="preserve"> processes, specifically relational responding, described by Relational Frame Theory (REF</w:t>
      </w:r>
      <w:r w:rsidR="000A43A1" w:rsidRPr="00444195">
        <w:t xml:space="preserve">). </w:t>
      </w:r>
      <w:r w:rsidR="00A7114C" w:rsidRPr="00444195">
        <w:t xml:space="preserve">Foody et al. (2013) </w:t>
      </w:r>
      <w:r w:rsidR="00EB6D24" w:rsidRPr="00444195">
        <w:t>argued</w:t>
      </w:r>
      <w:r w:rsidR="00A7114C" w:rsidRPr="00444195">
        <w:t xml:space="preserve"> that they were among the first to successfully attempt to bridge the gap between ACT’s model of therapeutic change and RFT, specifically by recasting what ACT calls the therapeutic processes of “defusion” and “the three selves” into the more precise language of what RFT refers to as deictic relational responding (see Foody et al., 2013). Specifically, Foody et al. </w:t>
      </w:r>
      <w:r w:rsidR="00A7114C" w:rsidRPr="00444195">
        <w:fldChar w:fldCharType="begin"/>
      </w:r>
      <w:r w:rsidR="00A7114C" w:rsidRPr="00444195">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A7114C" w:rsidRPr="00444195">
        <w:fldChar w:fldCharType="separate"/>
      </w:r>
      <w:r w:rsidR="00A7114C" w:rsidRPr="00444195">
        <w:rPr>
          <w:noProof/>
        </w:rPr>
        <w:t>(2013)</w:t>
      </w:r>
      <w:r w:rsidR="00A7114C" w:rsidRPr="00444195">
        <w:fldChar w:fldCharType="end"/>
      </w:r>
      <w:r w:rsidR="00A7114C" w:rsidRPr="00444195">
        <w:t xml:space="preserve"> adapted two different ultra-brief therapeutic interventions designed to decrease distress from Luciano et al. (2011). Briefly, these defined the distinction condition, in which participants were instructed to attempt to see their thoughts and feelings as distinct from their sense of self (i.e., you are not your thoughts), versus the hierarchy condition, in which participants were instructed to attempt to see their thoughts and feelings as contained by an overarching self of self (i.e., you contain your thoughts). </w:t>
      </w:r>
    </w:p>
    <w:p w14:paraId="7FCBA8E3" w14:textId="6EE5F165" w:rsidR="000A43A1" w:rsidRPr="00444195" w:rsidRDefault="000A43A1" w:rsidP="0040271C">
      <w:r w:rsidRPr="00444195">
        <w:t xml:space="preserve">Elsewhere, over the past decade, the Replication Crisis in psychology has raised questions about the replicability, robustness, and credibility of claims in the psychology literature </w:t>
      </w:r>
      <w:r w:rsidRPr="00444195">
        <w:fldChar w:fldCharType="begin"/>
      </w:r>
      <w:r w:rsidRPr="00444195">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444195">
        <w:fldChar w:fldCharType="separate"/>
      </w:r>
      <w:r w:rsidRPr="00444195">
        <w:rPr>
          <w:noProof/>
        </w:rPr>
        <w:t>(Gelman, 2016; Spellman, 2015)</w:t>
      </w:r>
      <w:r w:rsidRPr="00444195">
        <w:fldChar w:fldCharType="end"/>
      </w:r>
      <w:r w:rsidRPr="00444195">
        <w:t xml:space="preserve">. Although the replication crisis began in social psychology, recognition of the same systemic </w:t>
      </w:r>
      <w:r w:rsidRPr="00444195">
        <w:t xml:space="preserve">weaknesses, flaws and biases in our research processes have more recently also been acknowledged in clinical psychology </w:t>
      </w:r>
      <w:r w:rsidRPr="00444195">
        <w:fldChar w:fldCharType="begin"/>
      </w:r>
      <w:r w:rsidRPr="00444195">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444195">
        <w:fldChar w:fldCharType="separate"/>
      </w:r>
      <w:r w:rsidRPr="00444195">
        <w:rPr>
          <w:noProof/>
        </w:rPr>
        <w:t>(Leichsenring et al., 2017; Tackett et al., 2019)</w:t>
      </w:r>
      <w:r w:rsidRPr="00444195">
        <w:fldChar w:fldCharType="end"/>
      </w:r>
      <w:r w:rsidRPr="00444195">
        <w:t xml:space="preserve">. More recently, awareness of this issue has also spread to the </w:t>
      </w:r>
      <w:proofErr w:type="spellStart"/>
      <w:r w:rsidRPr="00444195">
        <w:t>behavioral</w:t>
      </w:r>
      <w:proofErr w:type="spellEnd"/>
      <w:r w:rsidRPr="00444195">
        <w:t xml:space="preserve"> research communities. In an editorial for Perspectives on </w:t>
      </w:r>
      <w:proofErr w:type="spellStart"/>
      <w:r w:rsidRPr="00444195">
        <w:t>Behavior</w:t>
      </w:r>
      <w:proofErr w:type="spellEnd"/>
      <w:r w:rsidRPr="00444195">
        <w:t xml:space="preserve"> Science, </w:t>
      </w:r>
      <w:proofErr w:type="spellStart"/>
      <w:r w:rsidRPr="00444195">
        <w:t>Hantula</w:t>
      </w:r>
      <w:proofErr w:type="spellEnd"/>
      <w:r w:rsidRPr="00444195">
        <w:t xml:space="preserve"> stated that “the ‘replication crisis’ in psychology could well be repeated in </w:t>
      </w:r>
      <w:proofErr w:type="spellStart"/>
      <w:r w:rsidRPr="00444195">
        <w:t>behavior</w:t>
      </w:r>
      <w:proofErr w:type="spellEnd"/>
      <w:r w:rsidRPr="00444195">
        <w:t xml:space="preserve"> science and </w:t>
      </w:r>
      <w:proofErr w:type="spellStart"/>
      <w:r w:rsidRPr="00444195">
        <w:t>behavior</w:t>
      </w:r>
      <w:proofErr w:type="spellEnd"/>
      <w:r w:rsidRPr="00444195">
        <w:t xml:space="preserve"> analysis. Even if it is not, it may hold some important lessons for both scientists and practitioners.”</w:t>
      </w:r>
      <w:r w:rsidRPr="00444195">
        <w:rPr>
          <w:i/>
          <w:iCs/>
        </w:rPr>
        <w:t xml:space="preserve"> </w:t>
      </w:r>
      <w:r w:rsidRPr="00444195">
        <w:fldChar w:fldCharType="begin"/>
      </w:r>
      <w:r w:rsidRPr="00444195">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444195">
        <w:fldChar w:fldCharType="separate"/>
      </w:r>
      <w:r w:rsidRPr="00444195">
        <w:rPr>
          <w:noProof/>
        </w:rPr>
        <w:t>(Hantula, 2019, pp. 4-5)</w:t>
      </w:r>
      <w:r w:rsidRPr="00444195">
        <w:fldChar w:fldCharType="end"/>
      </w:r>
      <w:r w:rsidRPr="00444195">
        <w:t xml:space="preserve">. Encouragingly, however, the Association for Contextual </w:t>
      </w:r>
      <w:proofErr w:type="spellStart"/>
      <w:r w:rsidRPr="00444195">
        <w:t>Behavioral</w:t>
      </w:r>
      <w:proofErr w:type="spellEnd"/>
      <w:r w:rsidRPr="00444195">
        <w:t xml:space="preserve"> Science’s Task force on the Strategies and Tactics of Contextual </w:t>
      </w:r>
      <w:proofErr w:type="spellStart"/>
      <w:r w:rsidRPr="00444195">
        <w:t>Behavioral</w:t>
      </w:r>
      <w:proofErr w:type="spellEnd"/>
      <w:r w:rsidRPr="00444195">
        <w:t xml:space="preserve"> Science Research </w:t>
      </w:r>
      <w:r w:rsidRPr="00444195">
        <w:fldChar w:fldCharType="begin"/>
      </w:r>
      <w:r w:rsidRPr="00444195">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444195">
        <w:fldChar w:fldCharType="separate"/>
      </w:r>
      <w:r w:rsidRPr="00444195">
        <w:rPr>
          <w:noProof/>
        </w:rPr>
        <w:t>(2021)</w:t>
      </w:r>
      <w:r w:rsidRPr="00444195">
        <w:fldChar w:fldCharType="end"/>
      </w:r>
      <w:r w:rsidRPr="00444195">
        <w:t xml:space="preserve"> recently announced its explicit support for Open Science principles. As such, there appears to be growing support for the idea that </w:t>
      </w:r>
      <w:proofErr w:type="spellStart"/>
      <w:r w:rsidRPr="00444195">
        <w:t>behavioral</w:t>
      </w:r>
      <w:proofErr w:type="spellEnd"/>
      <w:r w:rsidRPr="00444195">
        <w:t xml:space="preserve"> research would be enhanced by examining and enhancing the reproducibility and credibility of its claims. As such, it seems important to reexamine the results and claims presented in Foody et al. (2013).</w:t>
      </w:r>
    </w:p>
    <w:p w14:paraId="4373C27F" w14:textId="1E6ECC4E" w:rsidR="00335729" w:rsidRDefault="0040271C" w:rsidP="00E56253">
      <w:pPr>
        <w:pStyle w:val="Heading1"/>
        <w:rPr>
          <w:rStyle w:val="citation"/>
        </w:rPr>
      </w:pPr>
      <w:r>
        <w:rPr>
          <w:rStyle w:val="citation"/>
        </w:rPr>
        <w:t>The i</w:t>
      </w:r>
      <w:r w:rsidR="002C4695">
        <w:rPr>
          <w:rStyle w:val="citation"/>
        </w:rPr>
        <w:t>mpact of Foody et al. (2013</w:t>
      </w:r>
      <w:r w:rsidR="002E1FE6">
        <w:rPr>
          <w:rStyle w:val="citation"/>
        </w:rPr>
        <w:t>, 2015</w:t>
      </w:r>
      <w:r w:rsidR="002C4695">
        <w:rPr>
          <w:rStyle w:val="citation"/>
        </w:rPr>
        <w:t>)</w:t>
      </w:r>
    </w:p>
    <w:p w14:paraId="2F2623CF" w14:textId="77777777" w:rsidR="00F66D7C" w:rsidRDefault="00BA4500" w:rsidP="00F66D7C">
      <w:r>
        <w:t>Foody et al. (2013)</w:t>
      </w:r>
      <w:r w:rsidR="00AC4B61" w:rsidRPr="00F676B9">
        <w:t xml:space="preserve"> </w:t>
      </w:r>
      <w:r>
        <w:t xml:space="preserve">represents a </w:t>
      </w:r>
      <w:r w:rsidR="00AC4B61" w:rsidRPr="00F676B9">
        <w:t xml:space="preserve">key </w:t>
      </w:r>
      <w:r>
        <w:t xml:space="preserve">article </w:t>
      </w:r>
      <w:r w:rsidR="00AC4B61" w:rsidRPr="00F676B9">
        <w:t xml:space="preserve">in the on-going debate about the strength of the evidence for ACT’s core processes and their ties to basic science via RFT </w:t>
      </w:r>
      <w:r w:rsidR="00AC4B61" w:rsidRPr="00F676B9">
        <w:fldChar w:fldCharType="begin"/>
      </w:r>
      <w:r w:rsidR="00AC4B61">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F676B9">
        <w:fldChar w:fldCharType="separate"/>
      </w:r>
      <w:r w:rsidR="00AC4B61" w:rsidRPr="00F676B9">
        <w:rPr>
          <w:noProof/>
        </w:rPr>
        <w:t>(see Barnes-Holmes et al., 2015; McLoughlin &amp; Roche, 2022)</w:t>
      </w:r>
      <w:r w:rsidR="00AC4B61" w:rsidRPr="00F676B9">
        <w:fldChar w:fldCharType="end"/>
      </w:r>
      <w:r w:rsidR="00AC4B61" w:rsidRPr="00F676B9">
        <w:t xml:space="preserve">. </w:t>
      </w:r>
      <w:r>
        <w:t>At the time of writing it has</w:t>
      </w:r>
      <w:r w:rsidR="00AC4B61" w:rsidRPr="00F676B9">
        <w:t xml:space="preserve"> </w:t>
      </w:r>
      <w:r>
        <w:rPr>
          <w:highlight w:val="cyan"/>
        </w:rPr>
        <w:t>122</w:t>
      </w:r>
      <w:r w:rsidR="00AC4B61" w:rsidRPr="00AC4B61">
        <w:rPr>
          <w:highlight w:val="cyan"/>
        </w:rPr>
        <w:t xml:space="preserve"> </w:t>
      </w:r>
      <w:r w:rsidR="00AC4B61" w:rsidRPr="00F676B9">
        <w:t>citations</w:t>
      </w:r>
      <w:r>
        <w:t xml:space="preserve"> on </w:t>
      </w:r>
      <w:r w:rsidR="00AC4B61" w:rsidRPr="00F676B9">
        <w:t>Google Scholar</w:t>
      </w:r>
      <w:r>
        <w:t xml:space="preserve">. </w:t>
      </w:r>
    </w:p>
    <w:p w14:paraId="4843AF1C" w14:textId="0BA362FB" w:rsidR="00AB1AC9" w:rsidRDefault="00335729" w:rsidP="00556ED2">
      <w:r>
        <w:t xml:space="preserve">Foody et al. (2013) </w:t>
      </w:r>
      <w:r w:rsidR="00001CEB">
        <w:t xml:space="preserve">is often </w:t>
      </w:r>
      <w:r>
        <w:t xml:space="preserve">cited as evidence for </w:t>
      </w:r>
      <w:r w:rsidR="00BC5240">
        <w:t xml:space="preserve">(a) </w:t>
      </w:r>
      <w:r>
        <w:t xml:space="preserve">the superiority of hierarchy-based interventions over distinction-based interventions, and therefore </w:t>
      </w:r>
      <w:r w:rsidR="00BC5240">
        <w:t xml:space="preserve">(b) </w:t>
      </w:r>
      <w:r w:rsidR="001A5BF6">
        <w:lastRenderedPageBreak/>
        <w:t xml:space="preserve">as evidence </w:t>
      </w:r>
      <w:r>
        <w:t xml:space="preserve">for ACT’s concept of Self-As-Context. More generally, Foody et al. (2013) is often cited as evidence of </w:t>
      </w:r>
      <w:r w:rsidR="00BC5240">
        <w:t xml:space="preserve">(c) </w:t>
      </w:r>
      <w:r>
        <w:t>the link between RFT and ACT</w:t>
      </w:r>
      <w:r w:rsidR="00AC72D1">
        <w:t>, in general</w:t>
      </w:r>
      <w:r>
        <w:t xml:space="preserve">. </w:t>
      </w:r>
      <w:r w:rsidR="00001CEB">
        <w:t xml:space="preserve">I provide several examples below. </w:t>
      </w:r>
      <w:r w:rsidR="00F66D7C">
        <w:t xml:space="preserve">These examples are intended to be illustrative rather than a systematic review. </w:t>
      </w:r>
      <w:r w:rsidR="00001CEB">
        <w:t>I have selected the</w:t>
      </w:r>
      <w:r w:rsidR="00F66D7C">
        <w:t xml:space="preserve">m </w:t>
      </w:r>
      <w:r w:rsidR="00001CEB">
        <w:t xml:space="preserve">from sources that are </w:t>
      </w:r>
      <w:r w:rsidR="00F66D7C">
        <w:t>likely to be particularly influential</w:t>
      </w:r>
      <w:r w:rsidR="00001CEB">
        <w:t xml:space="preserve"> such as textbooks, </w:t>
      </w:r>
      <w:r w:rsidR="001476A3">
        <w:t xml:space="preserve">articles providing </w:t>
      </w:r>
      <w:r w:rsidR="00001CEB">
        <w:t xml:space="preserve">introductions to </w:t>
      </w:r>
      <w:r w:rsidR="001476A3">
        <w:t xml:space="preserve">the </w:t>
      </w:r>
      <w:r w:rsidR="00001CEB">
        <w:t xml:space="preserve">topic, and articles advocating for the expansion of ACT training </w:t>
      </w:r>
      <w:r w:rsidR="009011FF">
        <w:t xml:space="preserve">(e.g., </w:t>
      </w:r>
      <w:r w:rsidR="00001CEB">
        <w:t xml:space="preserve">based on its </w:t>
      </w:r>
      <w:r w:rsidR="00894FE4">
        <w:t xml:space="preserve">putative </w:t>
      </w:r>
      <w:r w:rsidR="00001CEB">
        <w:t>links to RFT</w:t>
      </w:r>
      <w:r w:rsidR="009011FF">
        <w:t>)</w:t>
      </w:r>
      <w:r w:rsidR="00001CEB">
        <w:t>.</w:t>
      </w:r>
      <w:r w:rsidR="00D670A0">
        <w:t xml:space="preserve"> In these examples, </w:t>
      </w:r>
      <w:r w:rsidR="00371C38">
        <w:t xml:space="preserve">it is worth noting the pattern that </w:t>
      </w:r>
      <w:r w:rsidR="001D3A44">
        <w:t xml:space="preserve">the articles </w:t>
      </w:r>
      <w:r w:rsidR="00371C38">
        <w:t xml:space="preserve">are cited </w:t>
      </w:r>
      <w:r>
        <w:t xml:space="preserve">without interrogating the strength of the evidence actually provided by Foody et al. (2013) </w:t>
      </w:r>
      <w:r w:rsidR="00322ECF">
        <w:t>and without</w:t>
      </w:r>
      <w:r>
        <w:t xml:space="preserve"> acknowledging that these results failed to replicate in Foody et al. (2015). </w:t>
      </w:r>
    </w:p>
    <w:p w14:paraId="25F600AE" w14:textId="4117B8D9" w:rsidR="00AB1AC9" w:rsidRDefault="00AB1AC9" w:rsidP="003708D2">
      <w:pPr>
        <w:rPr>
          <w:rStyle w:val="highlight"/>
        </w:rPr>
      </w:pPr>
      <w:r>
        <w:t xml:space="preserve">Foody et al. (2013; 2015) are cited in three different chapters of the recently published </w:t>
      </w:r>
      <w:r w:rsidRPr="00AB1AC9">
        <w:t>Oxford Handbook of Acceptance and Commitment Therapy</w:t>
      </w:r>
      <w:r>
        <w:t xml:space="preserve"> (</w:t>
      </w:r>
      <w:r w:rsidRPr="00001CEB">
        <w:rPr>
          <w:highlight w:val="yellow"/>
        </w:rPr>
        <w:t>REF</w:t>
      </w:r>
      <w:r w:rsidRPr="00AB1AC9">
        <w:t xml:space="preserve">). </w:t>
      </w:r>
      <w:r>
        <w:t>In their c</w:t>
      </w:r>
      <w:r w:rsidRPr="00AB1AC9">
        <w:t xml:space="preserve">hapter </w:t>
      </w:r>
      <w:r>
        <w:t>on “</w:t>
      </w:r>
      <w:r w:rsidRPr="00AB1AC9">
        <w:t>Cognitive Defusion</w:t>
      </w:r>
      <w:r>
        <w:t xml:space="preserve">”, a key concept within ACT, </w:t>
      </w:r>
      <w:commentRangeStart w:id="0"/>
      <w:r>
        <w:t xml:space="preserve">Ruiz et al. </w:t>
      </w:r>
      <w:r w:rsidRPr="00AB1AC9">
        <w:fldChar w:fldCharType="begin"/>
      </w:r>
      <w: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AB1AC9">
        <w:fldChar w:fldCharType="separate"/>
      </w:r>
      <w:r>
        <w:t>(2021)</w:t>
      </w:r>
      <w:r w:rsidRPr="00AB1AC9">
        <w:fldChar w:fldCharType="end"/>
      </w:r>
      <w:commentRangeEnd w:id="0"/>
      <w:r>
        <w:rPr>
          <w:rStyle w:val="CommentReference"/>
        </w:rPr>
        <w:commentReference w:id="0"/>
      </w:r>
      <w:r>
        <w:t xml:space="preserve"> </w:t>
      </w:r>
      <w:r w:rsidR="008E03B4">
        <w:t xml:space="preserve">state </w:t>
      </w:r>
      <w:r w:rsidR="008E03B4" w:rsidRPr="00662436">
        <w:rPr>
          <w:i/>
          <w:iCs/>
        </w:rPr>
        <w:t>“Foody, Barnes-Holmes, Barnes-Holmes, and Luciano (2013) found that Defusion II [hierarchy] was more efficacious in reducing experimentally induced emotional distress than Defusion I [distinction].”</w:t>
      </w:r>
      <w:r w:rsidR="008E03B4">
        <w:t xml:space="preserve"> </w:t>
      </w:r>
      <w:r w:rsidR="008E03B4">
        <w:rPr>
          <w:rStyle w:val="highlight"/>
        </w:rPr>
        <w:t xml:space="preserve">This takes the conclusions of Foody et al. (2013) at face value without interrogating the </w:t>
      </w:r>
      <w:r w:rsidR="00EA1832">
        <w:rPr>
          <w:rStyle w:val="highlight"/>
        </w:rPr>
        <w:t>strength of the</w:t>
      </w:r>
      <w:r w:rsidR="008E03B4">
        <w:rPr>
          <w:rStyle w:val="highlight"/>
        </w:rPr>
        <w:t xml:space="preserve"> evidence it provides</w:t>
      </w:r>
      <w:r w:rsidR="00EA1832">
        <w:rPr>
          <w:rStyle w:val="highlight"/>
        </w:rPr>
        <w:t xml:space="preserve"> for the claim</w:t>
      </w:r>
      <w:r w:rsidR="008E03B4">
        <w:rPr>
          <w:rStyle w:val="highlight"/>
        </w:rPr>
        <w:t xml:space="preserve">. </w:t>
      </w:r>
      <w:r w:rsidR="008E03B4">
        <w:t xml:space="preserve">Additionally, they </w:t>
      </w:r>
      <w:r>
        <w:t xml:space="preserve">erroneously state </w:t>
      </w:r>
      <w:r w:rsidRPr="00662436">
        <w:rPr>
          <w:i/>
          <w:iCs/>
        </w:rPr>
        <w:t>“</w:t>
      </w:r>
      <w:r w:rsidRPr="00662436">
        <w:rPr>
          <w:rStyle w:val="highlight"/>
          <w:i/>
          <w:iCs/>
        </w:rPr>
        <w:t>Foody, Barnes-Holmes, Barnes-Holmes, Rai, and Luciano (2015) found that protocols that included framing ongoing private events through hierarchical relations were more efficacious than those that only introduced deictic relations.”</w:t>
      </w:r>
      <w:r>
        <w:rPr>
          <w:rStyle w:val="highlight"/>
        </w:rPr>
        <w:t xml:space="preserve"> (p. 13). </w:t>
      </w:r>
      <w:r w:rsidR="008E03B4">
        <w:rPr>
          <w:rStyle w:val="highlight"/>
        </w:rPr>
        <w:t xml:space="preserve">This </w:t>
      </w:r>
      <w:r>
        <w:rPr>
          <w:rStyle w:val="highlight"/>
        </w:rPr>
        <w:t>mischaracterises the null results found by Foody et al. (2015) as if they support the claim.</w:t>
      </w:r>
    </w:p>
    <w:p w14:paraId="1CCC5DF0" w14:textId="741A0C0B" w:rsidR="00AB1AC9" w:rsidRDefault="00AB1AC9" w:rsidP="00AB1AC9">
      <w:r>
        <w:t>In their c</w:t>
      </w:r>
      <w:r w:rsidRPr="00AB1AC9">
        <w:t xml:space="preserve">hapter on </w:t>
      </w:r>
      <w:r>
        <w:t>“</w:t>
      </w:r>
      <w:r w:rsidRPr="00AB1AC9">
        <w:t>Clinical behavior analysis and RFT: Conceptualizing psychopathology and its treatment</w:t>
      </w:r>
      <w:r>
        <w:t>”, Luciano et al.</w:t>
      </w:r>
      <w:r w:rsidRPr="00AB1AC9">
        <w:t xml:space="preserve"> </w:t>
      </w:r>
      <w:r w:rsidRPr="00AB1AC9">
        <w:fldChar w:fldCharType="begin"/>
      </w:r>
      <w: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AB1AC9">
        <w:fldChar w:fldCharType="separate"/>
      </w:r>
      <w:r>
        <w:t>(2022)</w:t>
      </w:r>
      <w:r w:rsidRPr="00AB1AC9">
        <w:fldChar w:fldCharType="end"/>
      </w:r>
      <w:r>
        <w:t xml:space="preserve"> cite Foody et al. (2013) </w:t>
      </w:r>
      <w:r w:rsidR="0089643F">
        <w:t xml:space="preserve">as supportive evidence </w:t>
      </w:r>
      <w:r>
        <w:t xml:space="preserve">in the section on </w:t>
      </w:r>
      <w:r w:rsidRPr="00662436">
        <w:rPr>
          <w:i/>
          <w:iCs/>
        </w:rPr>
        <w:t xml:space="preserve">“Evidence of hierarchically framing ongoing </w:t>
      </w:r>
      <w:proofErr w:type="spellStart"/>
      <w:r w:rsidRPr="00662436">
        <w:rPr>
          <w:i/>
          <w:iCs/>
        </w:rPr>
        <w:t>behavior</w:t>
      </w:r>
      <w:proofErr w:type="spellEnd"/>
      <w:r w:rsidRPr="00662436">
        <w:rPr>
          <w:i/>
          <w:iCs/>
        </w:rPr>
        <w:t xml:space="preserve"> as a central relational process</w:t>
      </w:r>
      <w:r w:rsidR="0089643F" w:rsidRPr="00662436">
        <w:rPr>
          <w:i/>
          <w:iCs/>
        </w:rPr>
        <w:t>”</w:t>
      </w:r>
      <w:r w:rsidR="0089643F">
        <w:t xml:space="preserve">. </w:t>
      </w:r>
      <w:r w:rsidR="00EA1832">
        <w:t xml:space="preserve">Again, this takes the conclusions of Foody et al. (2013) at face value without interrogating the strength of the evidence it actually provides for the claim. </w:t>
      </w:r>
      <w:r w:rsidR="000070F8">
        <w:t>Additionally, t</w:t>
      </w:r>
      <w:r w:rsidR="0089643F">
        <w:t xml:space="preserve">hey do not cite the failed replication by Foody et al. (2015). </w:t>
      </w:r>
    </w:p>
    <w:p w14:paraId="5436AA81" w14:textId="7F31B998" w:rsidR="006D0046" w:rsidRDefault="006D0046" w:rsidP="008E03B4">
      <w:r>
        <w:t>In their chapter on “</w:t>
      </w:r>
      <w:r w:rsidRPr="006D0046">
        <w:t>A primer on Relational Frame Theory</w:t>
      </w:r>
      <w:r>
        <w:t>”, Harte &amp; Barnes-Holmes</w:t>
      </w:r>
      <w:r w:rsidRPr="006D0046">
        <w:t xml:space="preserve"> </w:t>
      </w:r>
      <w:r w:rsidRPr="006D0046">
        <w:fldChar w:fldCharType="begin"/>
      </w:r>
      <w: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6D0046">
        <w:fldChar w:fldCharType="separate"/>
      </w:r>
      <w:r>
        <w:t>(2022)</w:t>
      </w:r>
      <w:r w:rsidRPr="006D0046">
        <w:fldChar w:fldCharType="end"/>
      </w:r>
      <w:r>
        <w:t xml:space="preserve"> cite Foody et al. (2013) as a demonstration of hierarchical framing, </w:t>
      </w:r>
      <w:r w:rsidR="00B94F83">
        <w:t xml:space="preserve">again without interrogating the strength of the evidence it provides, and </w:t>
      </w:r>
      <w:r>
        <w:t xml:space="preserve">do not cite the failed replication by Foody et al. (2015). </w:t>
      </w:r>
      <w:r w:rsidR="00835E25">
        <w:t>It is important to recognise that there is significant overlap in authorship between these publications, so mere unawareness of the failed replication is implausible.</w:t>
      </w:r>
    </w:p>
    <w:p w14:paraId="1A794DC1" w14:textId="19C7F0F0" w:rsidR="001D1514" w:rsidRDefault="008E03B4" w:rsidP="008E03B4">
      <w:pPr>
        <w:rPr>
          <w:rStyle w:val="citation"/>
        </w:rPr>
      </w:pPr>
      <w:r>
        <w:t xml:space="preserve">Foody and colleagues’ work is also cited in other influential textbooks. In </w:t>
      </w:r>
      <w:r w:rsidR="001D1514">
        <w:t>“</w:t>
      </w:r>
      <w:proofErr w:type="spellStart"/>
      <w:r w:rsidR="001D1514">
        <w:t>Behavior</w:t>
      </w:r>
      <w:proofErr w:type="spellEnd"/>
      <w:r w:rsidR="001D1514">
        <w:t xml:space="preserve"> Therapy”</w:t>
      </w:r>
      <w:r>
        <w:t xml:space="preserve"> (</w:t>
      </w:r>
      <w:r w:rsidRPr="002415D3">
        <w:rPr>
          <w:highlight w:val="yellow"/>
        </w:rPr>
        <w:t>REF</w:t>
      </w:r>
      <w:r>
        <w:t>)</w:t>
      </w:r>
      <w:r w:rsidR="001D1514">
        <w:t>, the chapter “</w:t>
      </w:r>
      <w:r w:rsidR="001D1514" w:rsidRPr="001D1514">
        <w:rPr>
          <w:rStyle w:val="citation"/>
        </w:rPr>
        <w:t xml:space="preserve">The Future of Third Wave Cognitive </w:t>
      </w:r>
      <w:proofErr w:type="spellStart"/>
      <w:r w:rsidR="001D1514" w:rsidRPr="001D1514">
        <w:rPr>
          <w:rStyle w:val="citation"/>
        </w:rPr>
        <w:t>Behavior</w:t>
      </w:r>
      <w:proofErr w:type="spellEnd"/>
      <w:r w:rsidR="001D1514" w:rsidRPr="001D1514">
        <w:rPr>
          <w:rStyle w:val="citation"/>
        </w:rPr>
        <w:t xml:space="preserve"> Therapies</w:t>
      </w:r>
      <w:r w:rsidR="001D1514">
        <w:rPr>
          <w:rStyle w:val="citation"/>
        </w:rPr>
        <w:t>”</w:t>
      </w:r>
      <w:r w:rsidR="001D1514" w:rsidRPr="001D1514">
        <w:rPr>
          <w:rStyle w:val="citation"/>
        </w:rPr>
        <w:t xml:space="preserve"> </w:t>
      </w:r>
      <w:r w:rsidR="001D1514" w:rsidRPr="001D1514">
        <w:rPr>
          <w:rStyle w:val="citation"/>
        </w:rPr>
        <w:fldChar w:fldCharType="begin"/>
      </w:r>
      <w:r w:rsidR="001D1514" w:rsidRPr="001D1514">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1D1514">
        <w:rPr>
          <w:rStyle w:val="citation"/>
        </w:rPr>
        <w:fldChar w:fldCharType="separate"/>
      </w:r>
      <w:r w:rsidR="001D1514" w:rsidRPr="001D1514">
        <w:rPr>
          <w:rStyle w:val="citation"/>
          <w:noProof/>
        </w:rPr>
        <w:t>(Zettle &amp; Masuda, 2022)</w:t>
      </w:r>
      <w:r w:rsidR="001D1514" w:rsidRPr="001D1514">
        <w:rPr>
          <w:rStyle w:val="citation"/>
        </w:rPr>
        <w:fldChar w:fldCharType="end"/>
      </w:r>
      <w:r w:rsidR="001D1514">
        <w:rPr>
          <w:rStyle w:val="citation"/>
        </w:rPr>
        <w:t xml:space="preserve"> cites both Foody et al. (2013) and Foody et al. (2015) as an illustrative example of the link between RFT and ACT. </w:t>
      </w:r>
      <w:r w:rsidR="001D1514">
        <w:rPr>
          <w:rStyle w:val="citation"/>
        </w:rPr>
        <w:t xml:space="preserve">However, they do not </w:t>
      </w:r>
      <w:r w:rsidR="00CD5964">
        <w:rPr>
          <w:rStyle w:val="citation"/>
        </w:rPr>
        <w:t xml:space="preserve">either interrogate the strength of the evidence or </w:t>
      </w:r>
      <w:r w:rsidR="001D1514">
        <w:rPr>
          <w:rStyle w:val="citation"/>
        </w:rPr>
        <w:t xml:space="preserve">mention that the latter article </w:t>
      </w:r>
      <w:r w:rsidR="00CD5964">
        <w:rPr>
          <w:rStyle w:val="citation"/>
        </w:rPr>
        <w:t xml:space="preserve">is a </w:t>
      </w:r>
      <w:r w:rsidR="001D1514">
        <w:rPr>
          <w:rStyle w:val="citation"/>
        </w:rPr>
        <w:t>failed replicat</w:t>
      </w:r>
      <w:r w:rsidR="00CD5964">
        <w:rPr>
          <w:rStyle w:val="citation"/>
        </w:rPr>
        <w:t>ion</w:t>
      </w:r>
      <w:r w:rsidR="001D1514">
        <w:rPr>
          <w:rStyle w:val="citation"/>
        </w:rPr>
        <w:t xml:space="preserve">. Additionally, they cite Sierra et al. </w:t>
      </w:r>
      <w:r w:rsidR="001D1514">
        <w:rPr>
          <w:rStyle w:val="citation"/>
        </w:rPr>
        <w:fldChar w:fldCharType="begin"/>
      </w:r>
      <w:r w:rsidR="00E77DF0">
        <w:rPr>
          <w:rStyle w:val="citation"/>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Pr>
          <w:rStyle w:val="citation"/>
        </w:rPr>
        <w:fldChar w:fldCharType="separate"/>
      </w:r>
      <w:r w:rsidR="00E77DF0">
        <w:rPr>
          <w:rStyle w:val="citation"/>
          <w:noProof/>
        </w:rPr>
        <w:t>(2016)</w:t>
      </w:r>
      <w:r w:rsidR="001D1514">
        <w:rPr>
          <w:rStyle w:val="citation"/>
        </w:rPr>
        <w:fldChar w:fldCharType="end"/>
      </w:r>
      <w:r w:rsidR="00E77DF0">
        <w:rPr>
          <w:rStyle w:val="citation"/>
        </w:rPr>
        <w:t xml:space="preserve"> without citing or discussing the failed replication </w:t>
      </w:r>
      <w:r w:rsidR="008506B1">
        <w:rPr>
          <w:rStyle w:val="citation"/>
        </w:rPr>
        <w:t xml:space="preserve">of that study </w:t>
      </w:r>
      <w:r w:rsidR="00E77DF0">
        <w:rPr>
          <w:rStyle w:val="citation"/>
        </w:rPr>
        <w:t xml:space="preserve">by </w:t>
      </w:r>
      <w:proofErr w:type="spellStart"/>
      <w:r w:rsidR="00E77DF0">
        <w:rPr>
          <w:rStyle w:val="citation"/>
        </w:rPr>
        <w:t>Pendrous</w:t>
      </w:r>
      <w:proofErr w:type="spellEnd"/>
      <w:r w:rsidR="00E77DF0">
        <w:rPr>
          <w:rStyle w:val="citation"/>
        </w:rPr>
        <w:t xml:space="preserve"> et al. </w:t>
      </w:r>
      <w:r w:rsidR="00E77DF0">
        <w:rPr>
          <w:rStyle w:val="citation"/>
        </w:rPr>
        <w:fldChar w:fldCharType="begin"/>
      </w:r>
      <w:r w:rsidR="00402DB9">
        <w:rPr>
          <w:rStyle w:val="citation"/>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Pr>
          <w:rStyle w:val="citation"/>
        </w:rPr>
        <w:fldChar w:fldCharType="separate"/>
      </w:r>
      <w:r w:rsidR="00402DB9">
        <w:rPr>
          <w:rStyle w:val="citation"/>
          <w:noProof/>
        </w:rPr>
        <w:t>(2020)</w:t>
      </w:r>
      <w:r w:rsidR="00E77DF0">
        <w:rPr>
          <w:rStyle w:val="citation"/>
        </w:rPr>
        <w:fldChar w:fldCharType="end"/>
      </w:r>
      <w:r w:rsidR="00E77DF0">
        <w:rPr>
          <w:rStyle w:val="citation"/>
        </w:rPr>
        <w:t xml:space="preserve">. </w:t>
      </w:r>
    </w:p>
    <w:p w14:paraId="2F6256C3" w14:textId="45C5EC5B" w:rsidR="002318D5" w:rsidRDefault="008E03B4" w:rsidP="002318D5">
      <w:r w:rsidRPr="002318D5">
        <w:rPr>
          <w:rStyle w:val="citation"/>
        </w:rPr>
        <w:t xml:space="preserve">Many other examples can be found. In their article advocating for the inclusion of ACT training in Applied </w:t>
      </w:r>
      <w:proofErr w:type="spellStart"/>
      <w:r w:rsidRPr="002318D5">
        <w:rPr>
          <w:rStyle w:val="citation"/>
        </w:rPr>
        <w:t>Behavior</w:t>
      </w:r>
      <w:proofErr w:type="spellEnd"/>
      <w:r w:rsidRPr="002318D5">
        <w:rPr>
          <w:rStyle w:val="citation"/>
        </w:rPr>
        <w:t xml:space="preserve"> Analysis curricula, Kelly &amp; Kelly </w:t>
      </w:r>
      <w:r w:rsidRPr="002318D5">
        <w:rPr>
          <w:rStyle w:val="citation"/>
        </w:rPr>
        <w:fldChar w:fldCharType="begin"/>
      </w:r>
      <w:r w:rsidRPr="002318D5">
        <w:rPr>
          <w:rStyle w:val="citation"/>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2318D5">
        <w:rPr>
          <w:rStyle w:val="citation"/>
        </w:rPr>
        <w:fldChar w:fldCharType="separate"/>
      </w:r>
      <w:r w:rsidRPr="002318D5">
        <w:rPr>
          <w:rStyle w:val="citation"/>
          <w:noProof/>
        </w:rPr>
        <w:t>(2021)</w:t>
      </w:r>
      <w:r w:rsidRPr="002318D5">
        <w:rPr>
          <w:rStyle w:val="citation"/>
        </w:rPr>
        <w:fldChar w:fldCharType="end"/>
      </w:r>
      <w:r w:rsidR="00402DB9" w:rsidRPr="002318D5">
        <w:rPr>
          <w:rStyle w:val="citation"/>
        </w:rPr>
        <w:t xml:space="preserve"> cite Foody et al. (2013) as evidence of the link between RFT and ACT. They do not examine the strength of the evidence actually provided by Foody et al. (2013) or cite the failed replication by Foody et al. (2015). </w:t>
      </w:r>
      <w:r w:rsidR="002318D5">
        <w:rPr>
          <w:rStyle w:val="citation"/>
        </w:rPr>
        <w:t xml:space="preserve">In their article on the same topic, </w:t>
      </w:r>
      <w:r w:rsidR="00D33012" w:rsidRPr="002318D5">
        <w:rPr>
          <w:rStyle w:val="citation"/>
        </w:rPr>
        <w:t xml:space="preserve">Dixon and Hayes </w:t>
      </w:r>
      <w:r w:rsidR="00D33012" w:rsidRPr="002318D5">
        <w:fldChar w:fldCharType="begin"/>
      </w:r>
      <w:r w:rsidR="00D33012" w:rsidRPr="002318D5">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2318D5">
        <w:fldChar w:fldCharType="separate"/>
      </w:r>
      <w:r w:rsidR="00D33012" w:rsidRPr="002318D5">
        <w:t>(2022)</w:t>
      </w:r>
      <w:r w:rsidR="00D33012" w:rsidRPr="002318D5">
        <w:fldChar w:fldCharType="end"/>
      </w:r>
      <w:r w:rsidR="002318D5">
        <w:t xml:space="preserve"> </w:t>
      </w:r>
      <w:r w:rsidR="00D33012" w:rsidRPr="002318D5">
        <w:t xml:space="preserve">cite both articles as supportive evidence without acknowledging that the latter is a failed replication. </w:t>
      </w:r>
      <w:r w:rsidR="002318D5">
        <w:t xml:space="preserve">In their article celebrating the contributions of Murray </w:t>
      </w:r>
      <w:proofErr w:type="spellStart"/>
      <w:r w:rsidR="002318D5">
        <w:t>Sidman</w:t>
      </w:r>
      <w:proofErr w:type="spellEnd"/>
      <w:r w:rsidR="002318D5">
        <w:t xml:space="preserve">, </w:t>
      </w:r>
      <w:r w:rsidR="002318D5" w:rsidRPr="002318D5">
        <w:t xml:space="preserve">Law &amp; Hayes </w:t>
      </w:r>
      <w:r w:rsidR="002318D5" w:rsidRPr="002318D5">
        <w:fldChar w:fldCharType="begin"/>
      </w:r>
      <w:r w:rsidR="006532B4">
        <w:instrText xml:space="preserve"> ADDIN ZOTERO_ITEM CSL_CITATION {"citationID":"KDRIARiQ","properties":{"formattedCitation":"(2021)","plainCitation":"(2021)","noteIndex":0},"citationItems":[{"id":"dwm50bcq/08BlYx0t","uris":["http://zotero.org/users/1687755/items/U3GURHZR"],"itemData":{"id":29229,"type":"article-journal","abstract":"The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2318D5">
        <w:fldChar w:fldCharType="separate"/>
      </w:r>
      <w:r w:rsidR="002318D5">
        <w:t>(2021)</w:t>
      </w:r>
      <w:r w:rsidR="002318D5" w:rsidRPr="002318D5">
        <w:fldChar w:fldCharType="end"/>
      </w:r>
      <w:r w:rsidR="002318D5">
        <w:t xml:space="preserve"> state </w:t>
      </w:r>
      <w:r w:rsidR="002318D5" w:rsidRPr="002B708D">
        <w:rPr>
          <w:i/>
          <w:iCs/>
        </w:rPr>
        <w:t>“understanding how to foster healthy perspective-taking seems central to establishing self-direction, independence, and values-based actions (Foody et al., 2015)”</w:t>
      </w:r>
      <w:r w:rsidR="002318D5">
        <w:t>, which not only mischaracterises the nature of this failed replication but also the general nature of the study and its possible conclusions, which were not related to self-direction, independence, or values-based action.</w:t>
      </w:r>
      <w:r w:rsidR="00B5354F">
        <w:t xml:space="preserve"> Unfortunately, recent research has demonstrated that such inaccurate and biased citations are surprisingly common in the psychology literature, with roughly 9% of all citations checked grossly misrepresenting the original work (REF). </w:t>
      </w:r>
    </w:p>
    <w:p w14:paraId="442478FA" w14:textId="0AF11068" w:rsidR="002E347F" w:rsidRDefault="002E347F" w:rsidP="002E347F">
      <w:r>
        <w:t xml:space="preserve">Even replication studies, which might be expected to be more aware of the importance of citing failed replications, fall into this pattern. </w:t>
      </w:r>
      <w:proofErr w:type="spellStart"/>
      <w:r w:rsidRPr="002E347F">
        <w:t>Gomide</w:t>
      </w:r>
      <w:proofErr w:type="spellEnd"/>
      <w:r w:rsidRPr="002E347F">
        <w:t xml:space="preserve"> et al. </w:t>
      </w:r>
      <w:r w:rsidRPr="002E347F">
        <w:fldChar w:fldCharType="begin"/>
      </w:r>
      <w:r w:rsidRPr="002E347F">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2E347F">
        <w:fldChar w:fldCharType="separate"/>
      </w:r>
      <w:r w:rsidRPr="002E347F">
        <w:t>(2024)</w:t>
      </w:r>
      <w:r w:rsidRPr="002E347F">
        <w:fldChar w:fldCharType="end"/>
      </w:r>
      <w:r>
        <w:t xml:space="preserve"> cite Foody et al. (2013) favourably, without interrogating the strength of the evidence it provided and without citing the failed replication by Foody et al. (2015).</w:t>
      </w:r>
    </w:p>
    <w:p w14:paraId="0F18BD45" w14:textId="7733AA7C" w:rsidR="00EE5AD7" w:rsidRPr="00706883" w:rsidRDefault="003708D2" w:rsidP="00796005">
      <w:pPr>
        <w:rPr>
          <w:b/>
          <w:bCs/>
          <w:i/>
          <w:iCs/>
        </w:rPr>
      </w:pPr>
      <w:r>
        <w:t xml:space="preserve">Of course, it is possible to find examples of more critical readings of Foody et al. (2013). Often, these come from researchers and journals that are not already strongly aligned with ACT and RFT. For example, </w:t>
      </w:r>
      <w:proofErr w:type="spellStart"/>
      <w:r>
        <w:t>Godbee</w:t>
      </w:r>
      <w:proofErr w:type="spellEnd"/>
      <w:r>
        <w:t xml:space="preserve"> &amp; Kangas </w:t>
      </w:r>
      <w:r w:rsidRPr="003708D2">
        <w:fldChar w:fldCharType="begin"/>
      </w:r>
      <w: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708D2">
        <w:fldChar w:fldCharType="separate"/>
      </w:r>
      <w:r>
        <w:t>(2022)</w:t>
      </w:r>
      <w:r w:rsidRPr="003708D2">
        <w:fldChar w:fldCharType="end"/>
      </w:r>
      <w:r>
        <w:t xml:space="preserve"> </w:t>
      </w:r>
      <w:r w:rsidR="00344FAC">
        <w:t>are more circumspect, stating</w:t>
      </w:r>
      <w:r>
        <w:t xml:space="preserve"> </w:t>
      </w:r>
      <w:r w:rsidRPr="00706883">
        <w:rPr>
          <w:i/>
          <w:iCs/>
        </w:rPr>
        <w:t>“Although the differences between hierarchical [Self-as-Context] (“I am more than my experiences”) and distinction [Self-as-Context] (“I am not my experiences”) have been researched, there is limited evidence that one type is more effective than the other (Atkins &amp; Styles, 2016; Foody et al., 2013; Foody et al., 2015).”</w:t>
      </w:r>
      <w:r w:rsidR="009A38FF" w:rsidRPr="00706883">
        <w:rPr>
          <w:i/>
          <w:iCs/>
        </w:rPr>
        <w:t xml:space="preserve"> </w:t>
      </w:r>
    </w:p>
    <w:p w14:paraId="78CD90BB" w14:textId="4FA70354" w:rsidR="00D5668A" w:rsidRPr="00796005" w:rsidRDefault="00D5668A" w:rsidP="00D5668A">
      <w:r>
        <w:t xml:space="preserve">Is </w:t>
      </w:r>
      <w:r w:rsidR="002415D3">
        <w:t xml:space="preserve">such a </w:t>
      </w:r>
      <w:r>
        <w:t xml:space="preserve">critical reading of the results of Foody et al. (2013) necessary? In the next section, I briefly summarise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43247B55" w14:textId="77777777" w:rsidR="00D90E35" w:rsidRDefault="00D90E35">
      <w:pPr>
        <w:ind w:firstLine="0"/>
        <w:jc w:val="left"/>
        <w:rPr>
          <w:b/>
          <w:bCs/>
          <w:kern w:val="36"/>
        </w:rPr>
      </w:pPr>
      <w:r>
        <w:br w:type="page"/>
      </w:r>
    </w:p>
    <w:p w14:paraId="2728C92A" w14:textId="34768DA3" w:rsidR="00F83BBE" w:rsidRPr="001C354B" w:rsidRDefault="0061554A" w:rsidP="001C354B">
      <w:pPr>
        <w:pStyle w:val="Heading1"/>
      </w:pPr>
      <w:r w:rsidRPr="001C354B">
        <w:lastRenderedPageBreak/>
        <w:t>Summary of Foody et al. (2013)</w:t>
      </w:r>
    </w:p>
    <w:p w14:paraId="3C26C887" w14:textId="54B20D74" w:rsidR="008E41FE" w:rsidRPr="00172773" w:rsidRDefault="009F6B62" w:rsidP="001C354B">
      <w:pPr>
        <w:pStyle w:val="Heading2"/>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C62276">
        <w:rPr>
          <w:i/>
          <w:iCs/>
        </w:rPr>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w:t>
      </w:r>
      <w:r w:rsidR="00553CAC" w:rsidRPr="00F676B9">
        <w:t xml:space="preserve"> (Foody et al., 2013, p. 387)</w:t>
      </w:r>
      <w:r w:rsidRPr="00F676B9">
        <w:t xml:space="preserve">. </w:t>
      </w:r>
    </w:p>
    <w:p w14:paraId="65627F79" w14:textId="31037092" w:rsidR="00391E8F" w:rsidRPr="00F676B9" w:rsidRDefault="00AF68E7" w:rsidP="001C354B">
      <w:pPr>
        <w:pStyle w:val="Heading2"/>
      </w:pPr>
      <w:r w:rsidRPr="00F676B9">
        <w:t>D</w:t>
      </w:r>
      <w:r w:rsidR="00391E8F" w:rsidRPr="00F676B9">
        <w:t>esign and method</w:t>
      </w:r>
    </w:p>
    <w:p w14:paraId="3BBDB8E6" w14:textId="63B0FAF7" w:rsidR="00747122" w:rsidRPr="00F676B9" w:rsidRDefault="00747122" w:rsidP="00127167">
      <w:r w:rsidRPr="00F676B9">
        <w:t>Foody et al. (2013) employed a 3 (within: baseline, post distress induction, post ACT intervention) X 2 (between</w:t>
      </w:r>
      <w:r w:rsidR="00C62276">
        <w:t>:</w:t>
      </w:r>
      <w:r w:rsidRPr="00F676B9">
        <w:t xml:space="preserve"> “hierarchical self as context” vs. “distinction self as context”</w:t>
      </w:r>
      <w:r w:rsidR="0002051C">
        <w:t xml:space="preserve"> </w:t>
      </w:r>
      <w:r w:rsidR="000C6781">
        <w:t>intervention</w:t>
      </w:r>
      <w:r w:rsidRPr="00F676B9">
        <w:t xml:space="preserve">)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C62276">
        <w:rPr>
          <w:i/>
          <w:iCs/>
        </w:rPr>
        <w:t xml:space="preserve">“were used as distress ratings and assessed discomfort, anxiety, and stress” </w:t>
      </w:r>
      <w:r w:rsidR="00C955BE" w:rsidRPr="00F676B9">
        <w:t xml:space="preserve">(Foody et al., 2013, p. 376). </w:t>
      </w:r>
      <w:r w:rsidR="00391E8F" w:rsidRPr="00F676B9">
        <w:t xml:space="preserve">Each </w:t>
      </w:r>
      <w:r w:rsidR="00047227" w:rsidRPr="00F676B9">
        <w:t>visual analogue scale</w:t>
      </w:r>
      <w:r w:rsidR="007F6C9E" w:rsidRPr="00F676B9">
        <w:t xml:space="preserve"> </w:t>
      </w:r>
      <w:r w:rsidR="00391E8F" w:rsidRPr="00F676B9">
        <w:t xml:space="preserve">required participant to indicated </w:t>
      </w:r>
      <w:r w:rsidR="00391E8F" w:rsidRPr="00DC0373">
        <w:rPr>
          <w:i/>
          <w:iCs/>
        </w:rPr>
        <w:t>“their level of distress on each scale by placing an X on a printed line that ranged from 0% (e.g., no discomfort) to 100% (e.g., very much discomfort).”</w:t>
      </w:r>
      <w:r w:rsidR="00391E8F" w:rsidRPr="00F676B9">
        <w:t xml:space="preserve"> (Foody et al., 2013, p. 376).</w:t>
      </w:r>
      <w:r w:rsidR="004239FE" w:rsidRPr="00F676B9">
        <w:t xml:space="preserve"> </w:t>
      </w:r>
      <w:r w:rsidR="00DC0373">
        <w:t xml:space="preserve">Other </w:t>
      </w:r>
      <w:r w:rsidR="0043699A" w:rsidRPr="00F676B9">
        <w:t xml:space="preserve">measures </w:t>
      </w:r>
      <w:r w:rsidR="00DC0373">
        <w:t xml:space="preserve">(i.e., the Acceptance and Action Questionnaire II, delivered only at baseline, and a Reactions Questionnaire that served as a manipulation check) are </w:t>
      </w:r>
      <w:r w:rsidR="0043699A" w:rsidRPr="00F676B9">
        <w:t xml:space="preserve">not considered here. Participants </w:t>
      </w:r>
      <w:r w:rsidR="00EB6622">
        <w:t>completed the VAS</w:t>
      </w:r>
      <w:r w:rsidR="0043699A" w:rsidRPr="00F676B9">
        <w:t xml:space="preserve"> at baseline, </w:t>
      </w:r>
      <w:r w:rsidR="007260B1">
        <w:t xml:space="preserve">then </w:t>
      </w:r>
      <w:r w:rsidR="0043699A" w:rsidRPr="00F676B9">
        <w:t xml:space="preserve">completed a distress induction task, then were assessed again (post </w:t>
      </w:r>
      <w:r w:rsidR="003C6DFC">
        <w:t xml:space="preserve">distress </w:t>
      </w:r>
      <w:r w:rsidR="0043699A" w:rsidRPr="00F676B9">
        <w:t>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 xml:space="preserve">The analyses included 18 participants per </w:t>
      </w:r>
      <w:r w:rsidR="006E02F0">
        <w:t xml:space="preserve">intervention </w:t>
      </w:r>
      <w:r w:rsidR="004779C4" w:rsidRPr="00F676B9">
        <w:t>group after exclusions.</w:t>
      </w:r>
      <w:r w:rsidR="00640553" w:rsidRPr="00F676B9">
        <w:t xml:space="preserve"> </w:t>
      </w:r>
    </w:p>
    <w:p w14:paraId="42F5BE50" w14:textId="0E973149" w:rsidR="00747122" w:rsidRPr="00F676B9" w:rsidRDefault="00594A10" w:rsidP="001C354B">
      <w:pPr>
        <w:pStyle w:val="Heading2"/>
      </w:pPr>
      <w:r w:rsidRPr="00F676B9">
        <w:t xml:space="preserve">Hypothesis </w:t>
      </w:r>
      <w:r w:rsidR="00E527D5" w:rsidRPr="00F676B9">
        <w:t>and</w:t>
      </w:r>
      <w:r w:rsidRPr="00F676B9">
        <w:t xml:space="preserve"> c</w:t>
      </w:r>
      <w:r w:rsidR="00747122" w:rsidRPr="00F676B9">
        <w:t>laims</w:t>
      </w:r>
    </w:p>
    <w:p w14:paraId="67BE6084" w14:textId="40D67B99" w:rsidR="009C0649" w:rsidRDefault="00594A10" w:rsidP="009C0649">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was that the “</w:t>
      </w:r>
      <w:r w:rsidR="00640553" w:rsidRPr="0040271C">
        <w:t xml:space="preserve">hierarchical self as context” intervention </w:t>
      </w:r>
      <w:r w:rsidR="00174D94" w:rsidRPr="0040271C">
        <w:t>as</w:t>
      </w:r>
      <w:r w:rsidR="00640553" w:rsidRPr="0040271C">
        <w:t xml:space="preserve"> more effective than the “distinction self as context” intervention</w:t>
      </w:r>
      <w:r w:rsidR="003D77B3" w:rsidRPr="0040271C">
        <w:t xml:space="preserve">, and they </w:t>
      </w:r>
      <w:r w:rsidR="00174D94" w:rsidRPr="0040271C">
        <w:t xml:space="preserve">state that they </w:t>
      </w:r>
      <w:r w:rsidR="003D77B3" w:rsidRPr="0040271C">
        <w:t xml:space="preserve">therefore conceptually replicated the results </w:t>
      </w:r>
      <w:r w:rsidR="003D77B3" w:rsidRPr="0040271C">
        <w:t>of the original study by Luciano et al. (2011)</w:t>
      </w:r>
      <w:r w:rsidR="008A4D36" w:rsidRPr="0040271C">
        <w:t xml:space="preserve">. </w:t>
      </w:r>
      <w:r w:rsidR="009C0649" w:rsidRPr="0040271C">
        <w:t>The</w:t>
      </w:r>
      <w:r w:rsidR="009C0649">
        <w:t xml:space="preserve"> key statistical results they provide to support this claim are the interaction effects between time point and group on the 3 X 2 RM-ANOVAs. A statistically significant result was found for one of the three outcome measures (stress, </w:t>
      </w:r>
      <w:r w:rsidR="009C0649" w:rsidRPr="00BE790C">
        <w:rPr>
          <w:i/>
          <w:iCs/>
        </w:rPr>
        <w:t>p</w:t>
      </w:r>
      <w:r w:rsidR="009C0649">
        <w:t xml:space="preserve"> = </w:t>
      </w:r>
      <w:r w:rsidR="009C0649" w:rsidRPr="00BE790C">
        <w:t>.04</w:t>
      </w:r>
      <w:r w:rsidR="009C0649">
        <w:t xml:space="preserve">; anxiety, </w:t>
      </w:r>
      <w:r w:rsidR="009C0649" w:rsidRPr="00BE790C">
        <w:rPr>
          <w:i/>
          <w:iCs/>
        </w:rPr>
        <w:t>p</w:t>
      </w:r>
      <w:r w:rsidR="009C0649">
        <w:t xml:space="preserve"> = </w:t>
      </w:r>
      <w:r w:rsidR="009C0649" w:rsidRPr="00BE790C">
        <w:t xml:space="preserve">.45, </w:t>
      </w:r>
      <w:r w:rsidR="009C0649">
        <w:t xml:space="preserve">discomfort, </w:t>
      </w:r>
      <w:r w:rsidR="009C0649" w:rsidRPr="00BE790C">
        <w:rPr>
          <w:i/>
          <w:iCs/>
        </w:rPr>
        <w:t>p</w:t>
      </w:r>
      <w:r w:rsidR="009C0649">
        <w:t xml:space="preserve"> = </w:t>
      </w:r>
      <w:r w:rsidR="009C0649" w:rsidRPr="00BE790C">
        <w:t>.33</w:t>
      </w:r>
      <w:r w:rsidR="009C0649">
        <w:t xml:space="preserve">). No statistical tests compared the groups at </w:t>
      </w:r>
      <w:r w:rsidR="005F20EB">
        <w:t xml:space="preserve">specific </w:t>
      </w:r>
      <w:r w:rsidR="009C0649">
        <w:t>time point</w:t>
      </w:r>
      <w:r w:rsidR="005F20EB">
        <w:t>s</w:t>
      </w:r>
      <w:r w:rsidR="009C0649">
        <w:t xml:space="preserve">. </w:t>
      </w:r>
    </w:p>
    <w:p w14:paraId="06C00783" w14:textId="54B98101" w:rsidR="00B40A87" w:rsidRDefault="007F54C1" w:rsidP="00127167">
      <w:pPr>
        <w:rPr>
          <w:rStyle w:val="citation"/>
        </w:rPr>
      </w:pPr>
      <w:r w:rsidRPr="00F676B9">
        <w:t xml:space="preserve">In their own words, they </w:t>
      </w:r>
      <w:r w:rsidR="008C2F39" w:rsidRPr="00F676B9">
        <w:t xml:space="preserve">summarize their key findings as follows: </w:t>
      </w:r>
      <w:r w:rsidR="008C2F39" w:rsidRPr="00F6325A">
        <w:rPr>
          <w:i/>
          <w:iCs/>
        </w:rPr>
        <w:t>“The findings demonstrated superiority of the intervention that focused on hierarchical, rather than distinction, deictic relations in terms of reducing distress.”</w:t>
      </w:r>
      <w:r w:rsidR="008C2F39" w:rsidRPr="00F676B9">
        <w:t xml:space="preserve"> (p. 373</w:t>
      </w:r>
      <w:r w:rsidR="008C2F39" w:rsidRPr="003D4D11">
        <w:t>)</w:t>
      </w:r>
      <w:r w:rsidR="008063C6" w:rsidRPr="003D4D11">
        <w:t>;</w:t>
      </w:r>
      <w:r w:rsidR="008C2F39" w:rsidRPr="003D4D11">
        <w:t xml:space="preserve"> </w:t>
      </w:r>
      <w:r w:rsidR="008C2F39" w:rsidRPr="00B90805">
        <w:rPr>
          <w:i/>
          <w:iCs/>
        </w:rPr>
        <w:t>“The hierarchical intervention only resulted in a reduction in all three dependent measures, including a significant reduction in stress.”</w:t>
      </w:r>
      <w:r w:rsidR="008C2F39" w:rsidRPr="00F676B9">
        <w:t xml:space="preserve"> (p. 385)</w:t>
      </w:r>
      <w:r w:rsidR="008063C6" w:rsidRPr="00F676B9">
        <w:t>;</w:t>
      </w:r>
      <w:r w:rsidR="008C2F39" w:rsidRPr="00F676B9">
        <w:t xml:space="preserve"> </w:t>
      </w:r>
      <w:r w:rsidR="008063C6" w:rsidRPr="00F676B9">
        <w:t xml:space="preserve">and </w:t>
      </w:r>
      <w:r w:rsidR="009906B0" w:rsidRPr="00B90805">
        <w:rPr>
          <w:rStyle w:val="highlight"/>
          <w:i/>
          <w:iCs/>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r w:rsidR="00B90805">
        <w:rPr>
          <w:rStyle w:val="citation"/>
        </w:rPr>
        <w:t xml:space="preserve"> </w:t>
      </w:r>
      <w:r w:rsidR="0064088D">
        <w:rPr>
          <w:rStyle w:val="citation"/>
        </w:rPr>
        <w:t>I understand this last quote as stating that all three outcomes showed descriptive differences in the expected direction, although only stress was statistically significant.</w:t>
      </w:r>
    </w:p>
    <w:p w14:paraId="435D2415" w14:textId="60851955" w:rsidR="00B5669C" w:rsidRDefault="00C934AC" w:rsidP="001C354B">
      <w:pPr>
        <w:pStyle w:val="Heading1"/>
      </w:pPr>
      <w:r w:rsidRPr="001C354B">
        <w:t>Critique</w:t>
      </w:r>
      <w:r w:rsidR="00AB431E">
        <w:t xml:space="preserve"> of the original </w:t>
      </w:r>
      <w:r w:rsidR="0059609C">
        <w:t xml:space="preserve">method &amp; </w:t>
      </w:r>
      <w:r w:rsidR="00AB431E">
        <w:t>analyses</w:t>
      </w:r>
    </w:p>
    <w:p w14:paraId="7C66FFF5" w14:textId="08CD29DC" w:rsidR="00AC347D" w:rsidRDefault="00AC347D" w:rsidP="00AC347D">
      <w:pPr>
        <w:pStyle w:val="Heading2"/>
      </w:pPr>
      <w:r>
        <w:t>Status as a replication</w:t>
      </w:r>
    </w:p>
    <w:p w14:paraId="7765F97E" w14:textId="1348F84A" w:rsidR="006532B4" w:rsidRDefault="006532B4" w:rsidP="007A04AE">
      <w:r w:rsidRPr="006532B4">
        <w:t xml:space="preserve">Foody et al. (2013) state that “the research was a replication of a previous study by Luciano et al. (2011)”. </w:t>
      </w:r>
      <w:r>
        <w:t xml:space="preserve">The appeal to being a replication study can lend </w:t>
      </w:r>
      <w:r w:rsidRPr="006532B4">
        <w:t xml:space="preserve">additional </w:t>
      </w:r>
      <w:r>
        <w:t xml:space="preserve">credibility to claims. </w:t>
      </w:r>
      <w:r>
        <w:t xml:space="preserve">There is no single </w:t>
      </w:r>
      <w:r>
        <w:t xml:space="preserve">universally accepted </w:t>
      </w:r>
      <w:r>
        <w:t xml:space="preserve">definition of a replication, and there is ongoing debate about what nomenclature and taxonomy is useful in distinguishing between subtypes such as conceptual versus direct replications (e.g., </w:t>
      </w:r>
      <w:r w:rsidRPr="006532B4">
        <w:rPr>
          <w:highlight w:val="yellow"/>
        </w:rPr>
        <w:t>REFs</w:t>
      </w:r>
      <w:r>
        <w:t xml:space="preserve">). </w:t>
      </w:r>
      <w:r>
        <w:t xml:space="preserve">Typically, I do not find this definitional debate to be particularly useful. </w:t>
      </w:r>
      <w:r>
        <w:t xml:space="preserve">However, </w:t>
      </w:r>
      <w:r>
        <w:t xml:space="preserve">in this case, I think it is worth pointing out how little overlap there is between Luciano et al. </w:t>
      </w:r>
      <w:r>
        <w:fldChar w:fldCharType="begin"/>
      </w:r>
      <w:r>
        <w:instrText xml:space="preserve"> ADDIN ZOTERO_ITEM CSL_CITATION {"citationID":"IiJwKVGQ","properties":{"formattedCitation":"(2011)","plainCitation":"(2011)","noteIndex":0},"citationItems":[{"id":117,"uris":["http://zotero.org/users/1687755/items/RWRCBYUM"],"itemData":{"id":117,"type":"article-journal","abstract":"The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fldChar w:fldCharType="separate"/>
      </w:r>
      <w:r>
        <w:rPr>
          <w:noProof/>
        </w:rPr>
        <w:t>(2011)</w:t>
      </w:r>
      <w:r>
        <w:fldChar w:fldCharType="end"/>
      </w:r>
      <w:r>
        <w:t xml:space="preserve"> and Foody et al. (2013), and that by all reasonable accounts Foody et al. (2013) cannot credibly </w:t>
      </w:r>
      <w:r w:rsidR="005C48D0">
        <w:t xml:space="preserve">or usefully </w:t>
      </w:r>
      <w:r>
        <w:t>be described as a replication</w:t>
      </w:r>
      <w:r w:rsidR="00A15BBB">
        <w:t>, in the sense of the weight of evidence it presents</w:t>
      </w:r>
      <w:r w:rsidR="00A721D6">
        <w:t xml:space="preserve"> by being labelled as such</w:t>
      </w:r>
      <w:r>
        <w:t>.</w:t>
      </w:r>
      <w:r w:rsidR="007A04AE">
        <w:t xml:space="preserve"> </w:t>
      </w:r>
      <w:r>
        <w:t xml:space="preserve">Of course, </w:t>
      </w:r>
      <w:r w:rsidRPr="006532B4">
        <w:t xml:space="preserve">Foody et al. (2013) do acknowledge one important difference between their work and Luciano et al. (2011) when self-identifying the work as a replication: </w:t>
      </w:r>
      <w:r w:rsidRPr="006532B4">
        <w:rPr>
          <w:i/>
          <w:iCs/>
        </w:rPr>
        <w:t>“the research was a replication … except that we were able to use less intensive interventions with our non-clinical sample”</w:t>
      </w:r>
      <w:r w:rsidRPr="006532B4">
        <w:t xml:space="preserve"> (p. 384). However, many other differences </w:t>
      </w:r>
      <w:r w:rsidR="006C2D2D">
        <w:t xml:space="preserve">between the study </w:t>
      </w:r>
      <w:r w:rsidRPr="006532B4">
        <w:t xml:space="preserve">exist </w:t>
      </w:r>
      <w:r w:rsidR="006C2D2D">
        <w:t xml:space="preserve">but were not acknowledged in Foody et al. (2013), including the sample, design, number of follow up period, outcome measures, and analytic strategy </w:t>
      </w:r>
      <w:r w:rsidRPr="006532B4">
        <w:t xml:space="preserve">(see Table 1). </w:t>
      </w:r>
    </w:p>
    <w:p w14:paraId="7F68CAC5" w14:textId="77777777" w:rsidR="005F5196" w:rsidRDefault="005F5196" w:rsidP="006532B4">
      <w:pPr>
        <w:ind w:firstLine="0"/>
        <w:sectPr w:rsidR="005F5196" w:rsidSect="005F5196">
          <w:type w:val="continuous"/>
          <w:pgSz w:w="11900" w:h="16840"/>
          <w:pgMar w:top="1440" w:right="1440" w:bottom="1440" w:left="1440" w:header="708" w:footer="708" w:gutter="0"/>
          <w:cols w:num="2" w:space="366"/>
          <w:docGrid w:linePitch="360"/>
        </w:sectPr>
      </w:pPr>
    </w:p>
    <w:p w14:paraId="49BC2CAA" w14:textId="77777777" w:rsidR="006532B4" w:rsidRDefault="006532B4" w:rsidP="006532B4">
      <w:pPr>
        <w:ind w:firstLine="0"/>
      </w:pPr>
    </w:p>
    <w:p w14:paraId="665B9B62" w14:textId="77777777" w:rsidR="005F5196" w:rsidRDefault="005F5196">
      <w:pPr>
        <w:ind w:firstLine="0"/>
        <w:jc w:val="left"/>
        <w:rPr>
          <w:b/>
          <w:bCs/>
        </w:rPr>
      </w:pPr>
      <w:r>
        <w:rPr>
          <w:b/>
          <w:bCs/>
        </w:rPr>
        <w:br w:type="page"/>
      </w:r>
    </w:p>
    <w:p w14:paraId="2538B3F5" w14:textId="7237EBBD" w:rsidR="006532B4" w:rsidRDefault="006532B4" w:rsidP="006532B4">
      <w:pPr>
        <w:pStyle w:val="figureandtabletitle"/>
      </w:pPr>
      <w:r w:rsidRPr="006532B4">
        <w:rPr>
          <w:b/>
          <w:bCs/>
        </w:rPr>
        <w:lastRenderedPageBreak/>
        <w:t>Table 1.</w:t>
      </w:r>
      <w:r>
        <w:t xml:space="preserve"> Comparisons between Luciano et al. (2011)</w:t>
      </w:r>
      <w:r w:rsidR="000A1E5D">
        <w:t xml:space="preserve"> and </w:t>
      </w:r>
      <w:r w:rsidR="000A1E5D">
        <w:t>Foody et al. (2013)</w:t>
      </w:r>
    </w:p>
    <w:tbl>
      <w:tblPr>
        <w:tblStyle w:val="TableGrid"/>
        <w:tblW w:w="92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866"/>
        <w:gridCol w:w="3867"/>
      </w:tblGrid>
      <w:tr w:rsidR="006532B4" w14:paraId="06A8119B" w14:textId="77777777" w:rsidTr="001353FE">
        <w:trPr>
          <w:trHeight w:val="246"/>
          <w:jc w:val="center"/>
        </w:trPr>
        <w:tc>
          <w:tcPr>
            <w:tcW w:w="1525" w:type="dxa"/>
            <w:tcBorders>
              <w:top w:val="single" w:sz="4" w:space="0" w:color="auto"/>
              <w:bottom w:val="single" w:sz="4" w:space="0" w:color="auto"/>
            </w:tcBorders>
          </w:tcPr>
          <w:p w14:paraId="0B5C7FB8" w14:textId="77777777" w:rsidR="006532B4" w:rsidRDefault="006532B4" w:rsidP="00755F8A">
            <w:pPr>
              <w:pStyle w:val="table"/>
              <w:ind w:firstLine="0"/>
              <w:jc w:val="left"/>
            </w:pPr>
          </w:p>
        </w:tc>
        <w:tc>
          <w:tcPr>
            <w:tcW w:w="3866" w:type="dxa"/>
            <w:tcBorders>
              <w:top w:val="single" w:sz="4" w:space="0" w:color="auto"/>
              <w:bottom w:val="single" w:sz="4" w:space="0" w:color="auto"/>
            </w:tcBorders>
          </w:tcPr>
          <w:p w14:paraId="769C74C8" w14:textId="77777777" w:rsidR="006532B4" w:rsidRPr="000314D4" w:rsidRDefault="006532B4" w:rsidP="00755F8A">
            <w:pPr>
              <w:pStyle w:val="table"/>
              <w:ind w:firstLine="0"/>
              <w:jc w:val="left"/>
              <w:rPr>
                <w:b/>
                <w:bCs/>
              </w:rPr>
            </w:pPr>
            <w:r w:rsidRPr="000314D4">
              <w:rPr>
                <w:b/>
                <w:bCs/>
              </w:rPr>
              <w:t>Luciano et al. (2011)</w:t>
            </w:r>
          </w:p>
        </w:tc>
        <w:tc>
          <w:tcPr>
            <w:tcW w:w="3867" w:type="dxa"/>
            <w:tcBorders>
              <w:top w:val="single" w:sz="4" w:space="0" w:color="auto"/>
              <w:bottom w:val="single" w:sz="4" w:space="0" w:color="auto"/>
            </w:tcBorders>
          </w:tcPr>
          <w:p w14:paraId="6B390CAC" w14:textId="77777777" w:rsidR="006532B4" w:rsidRPr="000314D4" w:rsidRDefault="006532B4" w:rsidP="00755F8A">
            <w:pPr>
              <w:pStyle w:val="table"/>
              <w:ind w:firstLine="0"/>
              <w:jc w:val="left"/>
              <w:rPr>
                <w:b/>
                <w:bCs/>
              </w:rPr>
            </w:pPr>
            <w:r w:rsidRPr="000314D4">
              <w:rPr>
                <w:b/>
                <w:bCs/>
              </w:rPr>
              <w:t>Foody et al. (2013)</w:t>
            </w:r>
          </w:p>
        </w:tc>
      </w:tr>
      <w:tr w:rsidR="006532B4" w14:paraId="7F99F074" w14:textId="77777777" w:rsidTr="001353FE">
        <w:trPr>
          <w:trHeight w:val="277"/>
          <w:jc w:val="center"/>
        </w:trPr>
        <w:tc>
          <w:tcPr>
            <w:tcW w:w="1525" w:type="dxa"/>
            <w:tcBorders>
              <w:top w:val="single" w:sz="4" w:space="0" w:color="auto"/>
            </w:tcBorders>
          </w:tcPr>
          <w:p w14:paraId="78B8292B" w14:textId="77777777" w:rsidR="006532B4" w:rsidRDefault="006532B4" w:rsidP="00755F8A">
            <w:pPr>
              <w:pStyle w:val="table"/>
              <w:ind w:firstLine="0"/>
              <w:jc w:val="left"/>
            </w:pPr>
            <w:r>
              <w:t>Sample</w:t>
            </w:r>
          </w:p>
        </w:tc>
        <w:tc>
          <w:tcPr>
            <w:tcW w:w="3866" w:type="dxa"/>
            <w:tcBorders>
              <w:top w:val="single" w:sz="4" w:space="0" w:color="auto"/>
            </w:tcBorders>
          </w:tcPr>
          <w:p w14:paraId="4C1049DC" w14:textId="014EB73A" w:rsidR="006532B4" w:rsidRDefault="006E3E81" w:rsidP="00755F8A">
            <w:pPr>
              <w:pStyle w:val="table"/>
              <w:ind w:firstLine="0"/>
              <w:jc w:val="left"/>
            </w:pPr>
            <w:r>
              <w:t>A</w:t>
            </w:r>
            <w:r w:rsidR="006532B4">
              <w:t>dolescent</w:t>
            </w:r>
            <w:r w:rsidR="00BC3227">
              <w:t>s</w:t>
            </w:r>
            <w:r w:rsidR="00A60AA2">
              <w:t xml:space="preserve"> </w:t>
            </w:r>
          </w:p>
        </w:tc>
        <w:tc>
          <w:tcPr>
            <w:tcW w:w="3867" w:type="dxa"/>
            <w:tcBorders>
              <w:top w:val="single" w:sz="4" w:space="0" w:color="auto"/>
            </w:tcBorders>
          </w:tcPr>
          <w:p w14:paraId="27EE64B3" w14:textId="097D1FBD" w:rsidR="006532B4" w:rsidRDefault="00F573A9" w:rsidP="00755F8A">
            <w:pPr>
              <w:pStyle w:val="table"/>
              <w:ind w:firstLine="0"/>
              <w:jc w:val="left"/>
            </w:pPr>
            <w:r>
              <w:t>Adults</w:t>
            </w:r>
          </w:p>
        </w:tc>
      </w:tr>
      <w:tr w:rsidR="006532B4" w14:paraId="60D68205" w14:textId="77777777" w:rsidTr="001353FE">
        <w:trPr>
          <w:trHeight w:val="277"/>
          <w:jc w:val="center"/>
        </w:trPr>
        <w:tc>
          <w:tcPr>
            <w:tcW w:w="1525" w:type="dxa"/>
          </w:tcPr>
          <w:p w14:paraId="4FAA92A4" w14:textId="77777777" w:rsidR="006532B4" w:rsidRDefault="006532B4" w:rsidP="00755F8A">
            <w:pPr>
              <w:pStyle w:val="table"/>
              <w:ind w:firstLine="0"/>
              <w:jc w:val="left"/>
            </w:pPr>
            <w:r>
              <w:t>Design</w:t>
            </w:r>
          </w:p>
        </w:tc>
        <w:tc>
          <w:tcPr>
            <w:tcW w:w="3866" w:type="dxa"/>
          </w:tcPr>
          <w:p w14:paraId="5DC88B32" w14:textId="77777777" w:rsidR="006532B4" w:rsidRDefault="006532B4" w:rsidP="00755F8A">
            <w:pPr>
              <w:pStyle w:val="table"/>
              <w:ind w:firstLine="0"/>
              <w:jc w:val="left"/>
            </w:pPr>
            <w:r>
              <w:t>Quasi-experiment (non-random assignment to defusion intervention conditions based on severity)</w:t>
            </w:r>
          </w:p>
        </w:tc>
        <w:tc>
          <w:tcPr>
            <w:tcW w:w="3867" w:type="dxa"/>
          </w:tcPr>
          <w:p w14:paraId="7190F366" w14:textId="77777777" w:rsidR="006532B4" w:rsidRDefault="006532B4" w:rsidP="00755F8A">
            <w:pPr>
              <w:pStyle w:val="table"/>
              <w:ind w:firstLine="0"/>
              <w:jc w:val="left"/>
            </w:pPr>
            <w:r>
              <w:t>Laboratory analogue study (random assignment to defusion intervention condition)</w:t>
            </w:r>
          </w:p>
        </w:tc>
      </w:tr>
      <w:tr w:rsidR="006532B4" w14:paraId="74B71AAC" w14:textId="77777777" w:rsidTr="001353FE">
        <w:trPr>
          <w:trHeight w:val="264"/>
          <w:jc w:val="center"/>
        </w:trPr>
        <w:tc>
          <w:tcPr>
            <w:tcW w:w="1525" w:type="dxa"/>
          </w:tcPr>
          <w:p w14:paraId="2046DE4C" w14:textId="42793C13" w:rsidR="006532B4" w:rsidRDefault="006532B4" w:rsidP="00755F8A">
            <w:pPr>
              <w:pStyle w:val="table"/>
              <w:ind w:firstLine="0"/>
              <w:jc w:val="left"/>
            </w:pPr>
            <w:r>
              <w:t xml:space="preserve">Distress induction </w:t>
            </w:r>
          </w:p>
        </w:tc>
        <w:tc>
          <w:tcPr>
            <w:tcW w:w="3866" w:type="dxa"/>
          </w:tcPr>
          <w:p w14:paraId="59CAD356" w14:textId="77777777" w:rsidR="006532B4" w:rsidRDefault="006532B4" w:rsidP="00755F8A">
            <w:pPr>
              <w:pStyle w:val="table"/>
              <w:ind w:firstLine="0"/>
              <w:jc w:val="left"/>
            </w:pPr>
            <w:r>
              <w:t>No</w:t>
            </w:r>
          </w:p>
        </w:tc>
        <w:tc>
          <w:tcPr>
            <w:tcW w:w="3867" w:type="dxa"/>
          </w:tcPr>
          <w:p w14:paraId="551A8041" w14:textId="77777777" w:rsidR="006532B4" w:rsidRDefault="006532B4" w:rsidP="00755F8A">
            <w:pPr>
              <w:pStyle w:val="table"/>
              <w:ind w:firstLine="0"/>
              <w:jc w:val="left"/>
            </w:pPr>
            <w:r>
              <w:t>Yes</w:t>
            </w:r>
          </w:p>
        </w:tc>
      </w:tr>
      <w:tr w:rsidR="006532B4" w14:paraId="716768A6" w14:textId="77777777" w:rsidTr="001353FE">
        <w:trPr>
          <w:trHeight w:val="277"/>
          <w:jc w:val="center"/>
        </w:trPr>
        <w:tc>
          <w:tcPr>
            <w:tcW w:w="1525" w:type="dxa"/>
          </w:tcPr>
          <w:p w14:paraId="2F872941" w14:textId="77777777" w:rsidR="006532B4" w:rsidRDefault="006532B4" w:rsidP="00755F8A">
            <w:pPr>
              <w:pStyle w:val="table"/>
              <w:ind w:firstLine="0"/>
              <w:jc w:val="left"/>
            </w:pPr>
            <w:r>
              <w:t>Interventions</w:t>
            </w:r>
          </w:p>
        </w:tc>
        <w:tc>
          <w:tcPr>
            <w:tcW w:w="3866" w:type="dxa"/>
          </w:tcPr>
          <w:p w14:paraId="6F466453" w14:textId="77777777" w:rsidR="006532B4" w:rsidRDefault="006532B4" w:rsidP="00755F8A">
            <w:pPr>
              <w:pStyle w:val="table"/>
              <w:ind w:firstLine="0"/>
              <w:jc w:val="left"/>
            </w:pPr>
            <w:r>
              <w:t>Value clarification (all participants)</w:t>
            </w:r>
          </w:p>
          <w:p w14:paraId="7A83A974" w14:textId="77777777" w:rsidR="006532B4" w:rsidRDefault="006532B4" w:rsidP="00755F8A">
            <w:pPr>
              <w:pStyle w:val="table"/>
              <w:ind w:firstLine="0"/>
              <w:jc w:val="left"/>
            </w:pPr>
            <w:r>
              <w:t>Defusion (distinction vs. hierarchical conditions; non-random assignment)</w:t>
            </w:r>
          </w:p>
        </w:tc>
        <w:tc>
          <w:tcPr>
            <w:tcW w:w="3867" w:type="dxa"/>
          </w:tcPr>
          <w:p w14:paraId="2808B729" w14:textId="77777777" w:rsidR="006532B4" w:rsidRDefault="006532B4" w:rsidP="00755F8A">
            <w:pPr>
              <w:pStyle w:val="table"/>
              <w:ind w:firstLine="0"/>
              <w:jc w:val="left"/>
            </w:pPr>
            <w:r>
              <w:t>Defusion (distinction vs. hierarchical conditions)</w:t>
            </w:r>
          </w:p>
        </w:tc>
      </w:tr>
      <w:tr w:rsidR="006532B4" w14:paraId="2609850E" w14:textId="77777777" w:rsidTr="001353FE">
        <w:trPr>
          <w:trHeight w:val="277"/>
          <w:jc w:val="center"/>
        </w:trPr>
        <w:tc>
          <w:tcPr>
            <w:tcW w:w="1525" w:type="dxa"/>
          </w:tcPr>
          <w:p w14:paraId="27269075" w14:textId="77777777" w:rsidR="006532B4" w:rsidRDefault="006532B4" w:rsidP="00755F8A">
            <w:pPr>
              <w:pStyle w:val="table"/>
              <w:ind w:firstLine="0"/>
              <w:jc w:val="left"/>
            </w:pPr>
            <w:r>
              <w:t>Timepoints</w:t>
            </w:r>
          </w:p>
        </w:tc>
        <w:tc>
          <w:tcPr>
            <w:tcW w:w="3866" w:type="dxa"/>
          </w:tcPr>
          <w:p w14:paraId="0D809E6A" w14:textId="686EF10D" w:rsidR="006532B4" w:rsidRDefault="000642FF" w:rsidP="00755F8A">
            <w:pPr>
              <w:pStyle w:val="table"/>
              <w:ind w:firstLine="0"/>
              <w:jc w:val="left"/>
            </w:pPr>
            <w:r>
              <w:t>5</w:t>
            </w:r>
            <w:r w:rsidR="006532B4">
              <w:t xml:space="preserve"> therapy sessions over 4 months</w:t>
            </w:r>
          </w:p>
        </w:tc>
        <w:tc>
          <w:tcPr>
            <w:tcW w:w="3867" w:type="dxa"/>
          </w:tcPr>
          <w:p w14:paraId="1A4A0E0B" w14:textId="6377A561" w:rsidR="006532B4" w:rsidRDefault="006532B4" w:rsidP="00755F8A">
            <w:pPr>
              <w:pStyle w:val="table"/>
              <w:ind w:firstLine="0"/>
              <w:jc w:val="left"/>
            </w:pPr>
            <w:r>
              <w:t xml:space="preserve">Single experimental </w:t>
            </w:r>
            <w:r w:rsidR="00E02C0B">
              <w:t>session</w:t>
            </w:r>
          </w:p>
        </w:tc>
      </w:tr>
      <w:tr w:rsidR="000642FF" w14:paraId="423F488E" w14:textId="77777777" w:rsidTr="001353FE">
        <w:trPr>
          <w:trHeight w:val="277"/>
          <w:jc w:val="center"/>
        </w:trPr>
        <w:tc>
          <w:tcPr>
            <w:tcW w:w="1525" w:type="dxa"/>
          </w:tcPr>
          <w:p w14:paraId="632C1B5B" w14:textId="72EC6C8F" w:rsidR="000642FF" w:rsidRDefault="000642FF" w:rsidP="00755F8A">
            <w:pPr>
              <w:pStyle w:val="table"/>
              <w:ind w:firstLine="0"/>
              <w:jc w:val="left"/>
            </w:pPr>
            <w:r>
              <w:t>Follow up period</w:t>
            </w:r>
          </w:p>
        </w:tc>
        <w:tc>
          <w:tcPr>
            <w:tcW w:w="3866" w:type="dxa"/>
          </w:tcPr>
          <w:p w14:paraId="2E224FF2" w14:textId="2CED5162" w:rsidR="000642FF" w:rsidRDefault="000642FF" w:rsidP="00755F8A">
            <w:pPr>
              <w:pStyle w:val="table"/>
              <w:ind w:firstLine="0"/>
              <w:jc w:val="left"/>
            </w:pPr>
            <w:r>
              <w:t>2 weeks and 4 months</w:t>
            </w:r>
          </w:p>
        </w:tc>
        <w:tc>
          <w:tcPr>
            <w:tcW w:w="3867" w:type="dxa"/>
          </w:tcPr>
          <w:p w14:paraId="7561C13D" w14:textId="17EE4320" w:rsidR="000642FF" w:rsidRDefault="000642FF" w:rsidP="00755F8A">
            <w:pPr>
              <w:pStyle w:val="table"/>
              <w:ind w:firstLine="0"/>
              <w:jc w:val="left"/>
            </w:pPr>
            <w:r>
              <w:t>Single experimental session</w:t>
            </w:r>
          </w:p>
        </w:tc>
      </w:tr>
      <w:tr w:rsidR="006532B4" w14:paraId="7D6375D4" w14:textId="77777777" w:rsidTr="001353FE">
        <w:trPr>
          <w:trHeight w:val="277"/>
          <w:jc w:val="center"/>
        </w:trPr>
        <w:tc>
          <w:tcPr>
            <w:tcW w:w="1525" w:type="dxa"/>
          </w:tcPr>
          <w:p w14:paraId="56422162" w14:textId="77777777" w:rsidR="006532B4" w:rsidRDefault="006532B4" w:rsidP="00755F8A">
            <w:pPr>
              <w:pStyle w:val="table"/>
              <w:ind w:firstLine="0"/>
              <w:jc w:val="left"/>
            </w:pPr>
            <w:r>
              <w:t>Outcome variables</w:t>
            </w:r>
          </w:p>
        </w:tc>
        <w:tc>
          <w:tcPr>
            <w:tcW w:w="3866" w:type="dxa"/>
          </w:tcPr>
          <w:p w14:paraId="723E4914" w14:textId="77777777" w:rsidR="006532B4" w:rsidRDefault="006532B4" w:rsidP="00755F8A">
            <w:pPr>
              <w:pStyle w:val="table"/>
              <w:ind w:firstLine="0"/>
              <w:jc w:val="left"/>
            </w:pPr>
            <w:r w:rsidRPr="00E76AE7">
              <w:t>Spanish Avoidance and Fusion Questionnaire (</w:t>
            </w:r>
            <w:r>
              <w:t>AFQ-S)</w:t>
            </w:r>
          </w:p>
          <w:p w14:paraId="5A86678B" w14:textId="77777777" w:rsidR="006532B4" w:rsidRDefault="006532B4" w:rsidP="00755F8A">
            <w:pPr>
              <w:pStyle w:val="table"/>
              <w:ind w:firstLine="0"/>
              <w:jc w:val="left"/>
            </w:pPr>
            <w:r w:rsidRPr="00E76AE7">
              <w:t>Accepting wi</w:t>
            </w:r>
            <w:r>
              <w:t>t</w:t>
            </w:r>
            <w:r w:rsidRPr="00E76AE7">
              <w:t>hout Judgment Scale of the Kentucky Inventory of Mindfulness Skills</w:t>
            </w:r>
            <w:r>
              <w:t xml:space="preserve"> (</w:t>
            </w:r>
            <w:r w:rsidRPr="00E76AE7">
              <w:t>KIMS</w:t>
            </w:r>
            <w:r>
              <w:t>)</w:t>
            </w:r>
          </w:p>
          <w:p w14:paraId="76690D90" w14:textId="3C3BC0BA" w:rsidR="006532B4" w:rsidRDefault="006532B4" w:rsidP="00755F8A">
            <w:pPr>
              <w:pStyle w:val="table"/>
              <w:ind w:firstLine="0"/>
              <w:jc w:val="left"/>
            </w:pPr>
            <w:r w:rsidRPr="00325061">
              <w:t xml:space="preserve">Impulsive </w:t>
            </w:r>
            <w:proofErr w:type="spellStart"/>
            <w:r w:rsidRPr="00325061">
              <w:t>Behavior</w:t>
            </w:r>
            <w:proofErr w:type="spellEnd"/>
            <w:r w:rsidRPr="00325061">
              <w:t xml:space="preserve"> Inventory</w:t>
            </w:r>
            <w:r>
              <w:t xml:space="preserve"> (IBI)</w:t>
            </w:r>
            <w:r w:rsidR="00972E37">
              <w:t>*</w:t>
            </w:r>
          </w:p>
          <w:p w14:paraId="373A5070" w14:textId="5B5D86F8" w:rsidR="006532B4" w:rsidRPr="00231883" w:rsidRDefault="006532B4" w:rsidP="00755F8A">
            <w:pPr>
              <w:pStyle w:val="table"/>
              <w:ind w:firstLine="0"/>
              <w:jc w:val="left"/>
            </w:pPr>
            <w:r w:rsidRPr="00325061">
              <w:t xml:space="preserve">Emotional </w:t>
            </w:r>
            <w:proofErr w:type="spellStart"/>
            <w:r w:rsidRPr="00325061">
              <w:t>Behavior</w:t>
            </w:r>
            <w:proofErr w:type="spellEnd"/>
            <w:r w:rsidRPr="00325061">
              <w:t xml:space="preserve"> Inventory</w:t>
            </w:r>
            <w:r>
              <w:t xml:space="preserve"> (EBI)</w:t>
            </w:r>
            <w:r w:rsidR="00972E37">
              <w:t>*</w:t>
            </w:r>
          </w:p>
        </w:tc>
        <w:tc>
          <w:tcPr>
            <w:tcW w:w="3867" w:type="dxa"/>
          </w:tcPr>
          <w:p w14:paraId="0881FA14" w14:textId="4C8386FF" w:rsidR="006532B4" w:rsidRPr="0094173B" w:rsidRDefault="00BB5E6E" w:rsidP="00755F8A">
            <w:pPr>
              <w:pStyle w:val="table"/>
              <w:ind w:firstLine="0"/>
              <w:jc w:val="left"/>
            </w:pPr>
            <w:r>
              <w:t>Single</w:t>
            </w:r>
            <w:r>
              <w:t>-</w:t>
            </w:r>
            <w:r>
              <w:t>item Visual Analogue Scales</w:t>
            </w:r>
            <w:r>
              <w:t xml:space="preserve"> for d</w:t>
            </w:r>
            <w:r w:rsidR="006532B4">
              <w:t>iscomfort</w:t>
            </w:r>
            <w:r>
              <w:t>, a</w:t>
            </w:r>
            <w:r w:rsidR="006532B4">
              <w:t>nxiety</w:t>
            </w:r>
            <w:r>
              <w:t>, and stress</w:t>
            </w:r>
            <w:r w:rsidR="00972E37">
              <w:t>*</w:t>
            </w:r>
          </w:p>
        </w:tc>
      </w:tr>
      <w:tr w:rsidR="006532B4" w14:paraId="16FDFF26" w14:textId="77777777" w:rsidTr="001353FE">
        <w:trPr>
          <w:trHeight w:val="277"/>
          <w:jc w:val="center"/>
        </w:trPr>
        <w:tc>
          <w:tcPr>
            <w:tcW w:w="1525" w:type="dxa"/>
            <w:tcBorders>
              <w:bottom w:val="single" w:sz="4" w:space="0" w:color="auto"/>
            </w:tcBorders>
          </w:tcPr>
          <w:p w14:paraId="6BAC386E" w14:textId="3938628B" w:rsidR="006532B4" w:rsidRDefault="00E37538" w:rsidP="00755F8A">
            <w:pPr>
              <w:pStyle w:val="table"/>
              <w:ind w:firstLine="0"/>
              <w:jc w:val="left"/>
            </w:pPr>
            <w:r>
              <w:t>Primary analysis</w:t>
            </w:r>
          </w:p>
        </w:tc>
        <w:tc>
          <w:tcPr>
            <w:tcW w:w="3866" w:type="dxa"/>
            <w:tcBorders>
              <w:bottom w:val="single" w:sz="4" w:space="0" w:color="auto"/>
            </w:tcBorders>
          </w:tcPr>
          <w:p w14:paraId="48FDBBE3" w14:textId="0DF2B670" w:rsidR="006532B4" w:rsidRDefault="006532B4" w:rsidP="00755F8A">
            <w:pPr>
              <w:pStyle w:val="table"/>
              <w:ind w:firstLine="0"/>
              <w:jc w:val="left"/>
            </w:pPr>
            <w:r w:rsidRPr="00231883">
              <w:t xml:space="preserve">Mann-Whitney </w:t>
            </w:r>
            <w:r w:rsidRPr="00231883">
              <w:rPr>
                <w:i/>
                <w:iCs/>
              </w:rPr>
              <w:t>U</w:t>
            </w:r>
            <w:r>
              <w:t xml:space="preserve"> tests </w:t>
            </w:r>
          </w:p>
        </w:tc>
        <w:tc>
          <w:tcPr>
            <w:tcW w:w="3867" w:type="dxa"/>
            <w:tcBorders>
              <w:bottom w:val="single" w:sz="4" w:space="0" w:color="auto"/>
            </w:tcBorders>
          </w:tcPr>
          <w:p w14:paraId="491DCAE8" w14:textId="174DB655" w:rsidR="006532B4" w:rsidRDefault="006532B4" w:rsidP="00755F8A">
            <w:pPr>
              <w:pStyle w:val="table"/>
              <w:ind w:firstLine="0"/>
              <w:jc w:val="left"/>
            </w:pPr>
            <w:r>
              <w:t>RM-ANOVAs fitted to all three time points between conditions</w:t>
            </w:r>
          </w:p>
        </w:tc>
      </w:tr>
      <w:tr w:rsidR="00C95FF2" w14:paraId="594CB5AF" w14:textId="77777777" w:rsidTr="001353FE">
        <w:trPr>
          <w:trHeight w:val="277"/>
          <w:jc w:val="center"/>
        </w:trPr>
        <w:tc>
          <w:tcPr>
            <w:tcW w:w="9258" w:type="dxa"/>
            <w:gridSpan w:val="3"/>
            <w:tcBorders>
              <w:top w:val="single" w:sz="4" w:space="0" w:color="auto"/>
              <w:bottom w:val="nil"/>
            </w:tcBorders>
          </w:tcPr>
          <w:p w14:paraId="0B1254D2" w14:textId="178C3662" w:rsidR="00C95FF2" w:rsidRDefault="00C95FF2" w:rsidP="00755F8A">
            <w:pPr>
              <w:pStyle w:val="table"/>
              <w:ind w:firstLine="0"/>
              <w:jc w:val="left"/>
            </w:pPr>
            <w:r w:rsidRPr="00C95FF2">
              <w:rPr>
                <w:i/>
                <w:iCs/>
              </w:rPr>
              <w:t>Notes:</w:t>
            </w:r>
            <w:r>
              <w:t xml:space="preserve"> *Ad hoc measures created for the study.</w:t>
            </w:r>
          </w:p>
        </w:tc>
      </w:tr>
    </w:tbl>
    <w:p w14:paraId="6AB29C23" w14:textId="77777777" w:rsidR="006532B4" w:rsidRDefault="006532B4" w:rsidP="00C95217">
      <w:pPr>
        <w:ind w:firstLine="0"/>
      </w:pPr>
    </w:p>
    <w:p w14:paraId="6364E3D4" w14:textId="77777777" w:rsidR="005F5196" w:rsidRDefault="005F5196" w:rsidP="00AC347D">
      <w:pPr>
        <w:pStyle w:val="Heading2"/>
        <w:sectPr w:rsidR="005F5196" w:rsidSect="005F5196">
          <w:type w:val="continuous"/>
          <w:pgSz w:w="11900" w:h="16840"/>
          <w:pgMar w:top="1440" w:right="1440" w:bottom="1440" w:left="1440" w:header="708" w:footer="708" w:gutter="0"/>
          <w:cols w:space="708"/>
          <w:docGrid w:linePitch="360"/>
        </w:sectPr>
      </w:pPr>
    </w:p>
    <w:p w14:paraId="0F24BD58" w14:textId="629A4BB0" w:rsidR="00AC347D" w:rsidRDefault="002502E8" w:rsidP="00AC347D">
      <w:pPr>
        <w:pStyle w:val="Heading2"/>
      </w:pPr>
      <w:r>
        <w:t>Inconsistent descriptions of the methods</w:t>
      </w:r>
    </w:p>
    <w:p w14:paraId="23D074FC" w14:textId="27CC97BD" w:rsidR="00AC347D" w:rsidRDefault="00AC347D" w:rsidP="00AC347D">
      <w:r>
        <w:t>Both Foody et al. (2013) and Foody et al. (2015) report results from a Reactions Questionnaire that includes references to a car accident, e.g</w:t>
      </w:r>
      <w:r w:rsidR="0040271C">
        <w:t>.</w:t>
      </w:r>
      <w:r>
        <w:t>, “</w:t>
      </w:r>
      <w:r w:rsidRPr="0010706C">
        <w:t>Please rate how vivid your thoughts and images were of the car accident</w:t>
      </w:r>
      <w:r>
        <w:t>” (</w:t>
      </w:r>
      <w:r w:rsidRPr="008F0C0C">
        <w:rPr>
          <w:highlight w:val="yellow"/>
        </w:rPr>
        <w:t>REF</w:t>
      </w:r>
      <w:r>
        <w:t xml:space="preserve">s). However, neither study’s method section includes any reference to a car accident. The distress induction procedure in both is stated to be requiring the participant to write out a negative self-referential thought. One possibility is that text from a different study was erroneously copied into the wrong manuscripts. For example, a previous publication by Foody et al. (2012) compare two versions of a different distress induction procedure that involved having the participant write the sentence </w:t>
      </w:r>
      <w:r w:rsidRPr="00287C5E">
        <w:t>“I hope [</w:t>
      </w:r>
      <w:r>
        <w:t>participants’ loved one</w:t>
      </w:r>
      <w:r w:rsidRPr="00287C5E">
        <w:t>] is in a car accident”</w:t>
      </w:r>
      <w:r>
        <w:t xml:space="preserve"> (</w:t>
      </w:r>
      <w:r w:rsidRPr="006F068D">
        <w:rPr>
          <w:highlight w:val="yellow"/>
        </w:rPr>
        <w:t>REF</w:t>
      </w:r>
      <w:r>
        <w:t xml:space="preserve">). It is unfortunate that these unexplained references to car accidents got through peer review at two different journals </w:t>
      </w:r>
      <w:r w:rsidRPr="001E3D52">
        <w:t>apparently without being detected or corrected.</w:t>
      </w:r>
    </w:p>
    <w:p w14:paraId="663F7362" w14:textId="77777777" w:rsidR="00983E57" w:rsidRDefault="00983E57" w:rsidP="00AC347D"/>
    <w:p w14:paraId="1A23EA9E" w14:textId="3066D1D2" w:rsidR="00983E57" w:rsidRDefault="00983E57" w:rsidP="00983E57">
      <w:pPr>
        <w:pStyle w:val="figureandtabletitle"/>
      </w:pPr>
      <w:r w:rsidRPr="00172773">
        <w:rPr>
          <w:b/>
          <w:bCs/>
        </w:rPr>
        <w:t xml:space="preserve">Figure </w:t>
      </w:r>
      <w:r>
        <w:rPr>
          <w:b/>
          <w:bCs/>
        </w:rPr>
        <w:t>1</w:t>
      </w:r>
      <w:r w:rsidRPr="00172773">
        <w:rPr>
          <w:b/>
          <w:bCs/>
        </w:rPr>
        <w:t>.</w:t>
      </w:r>
      <w:r w:rsidRPr="00172773">
        <w:t xml:space="preserve"> Results from no-</w:t>
      </w:r>
      <w:r w:rsidR="005F5196">
        <w:t xml:space="preserve">intervention </w:t>
      </w:r>
      <w:r w:rsidRPr="00172773">
        <w:t xml:space="preserve">negative control conditions reported in previous </w:t>
      </w:r>
      <w:r w:rsidR="007F0BF8">
        <w:t xml:space="preserve">distress induction </w:t>
      </w:r>
      <w:r w:rsidRPr="00172773">
        <w:t>studies. Points represent means, error bars represent 95% Confidence Intervals.</w:t>
      </w:r>
    </w:p>
    <w:p w14:paraId="6EEC7DB2" w14:textId="77777777" w:rsidR="00983E57" w:rsidRDefault="00983E57" w:rsidP="00983E57">
      <w:pPr>
        <w:pStyle w:val="figureandtabletitle"/>
        <w:jc w:val="center"/>
      </w:pPr>
      <w:r>
        <w:rPr>
          <w:noProof/>
        </w:rPr>
        <w:drawing>
          <wp:inline distT="0" distB="0" distL="0" distR="0" wp14:anchorId="019F0EC1" wp14:editId="3FB556AF">
            <wp:extent cx="2419109" cy="1926545"/>
            <wp:effectExtent l="0" t="0" r="0" b="4445"/>
            <wp:docPr id="366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5809" name="Picture 366375809"/>
                    <pic:cNvPicPr/>
                  </pic:nvPicPr>
                  <pic:blipFill rotWithShape="1">
                    <a:blip r:embed="rId13"/>
                    <a:srcRect r="49773"/>
                    <a:stretch/>
                  </pic:blipFill>
                  <pic:spPr bwMode="auto">
                    <a:xfrm>
                      <a:off x="0" y="0"/>
                      <a:ext cx="2483778" cy="1978047"/>
                    </a:xfrm>
                    <a:prstGeom prst="rect">
                      <a:avLst/>
                    </a:prstGeom>
                    <a:ln>
                      <a:noFill/>
                    </a:ln>
                    <a:extLst>
                      <a:ext uri="{53640926-AAD7-44D8-BBD7-CCE9431645EC}">
                        <a14:shadowObscured xmlns:a14="http://schemas.microsoft.com/office/drawing/2010/main"/>
                      </a:ext>
                    </a:extLst>
                  </pic:spPr>
                </pic:pic>
              </a:graphicData>
            </a:graphic>
          </wp:inline>
        </w:drawing>
      </w:r>
    </w:p>
    <w:p w14:paraId="404F97D5" w14:textId="77777777" w:rsidR="006D1F1B" w:rsidRPr="001E3D52" w:rsidRDefault="006D1F1B" w:rsidP="000F233C">
      <w:pPr>
        <w:pStyle w:val="Heading2"/>
      </w:pPr>
      <w:r w:rsidRPr="001E3D52">
        <w:t>No control condition</w:t>
      </w:r>
    </w:p>
    <w:p w14:paraId="1225D521" w14:textId="29976861" w:rsidR="005D46BD" w:rsidRDefault="005D46BD" w:rsidP="00127167">
      <w:r w:rsidRPr="001E3D52">
        <w:t xml:space="preserve">Both </w:t>
      </w:r>
      <w:r w:rsidR="00C95217" w:rsidRPr="001E3D52">
        <w:t>Foody</w:t>
      </w:r>
      <w:r w:rsidR="00C95217">
        <w:t xml:space="preserve"> et al. (2013) and Foody et al. (2015) </w:t>
      </w:r>
      <w:r>
        <w:t>are seriously undermined by the lack of a control condition</w:t>
      </w:r>
      <w:r w:rsidR="00511485">
        <w:t xml:space="preserve"> that did not receive an intervention</w:t>
      </w:r>
      <w:r>
        <w:t xml:space="preserve">. </w:t>
      </w:r>
      <w:r w:rsidR="00541248">
        <w:t xml:space="preserve">Control conditions are of course needed to determine casualty within an experimental approach. </w:t>
      </w:r>
      <w:r w:rsidR="00F87639">
        <w:t>Even more than usual, however, t</w:t>
      </w:r>
      <w:r w:rsidR="00541248">
        <w:t>he need for a control condition becomes especially obvious when stud</w:t>
      </w:r>
      <w:r w:rsidR="00F87639">
        <w:t xml:space="preserve">ying effects that are due to short term manipulations of mood, as in Foody et al.’s work. Mood inductions tend to produce very short lasting effects, and mood tends to return to baseline levels within a very short period of time. As such, </w:t>
      </w:r>
      <w:r w:rsidR="00AD4557">
        <w:t xml:space="preserve">in order to be able to differentiate between any change in mood due to the intervention vs. due to natural improvement over time, a negative control condition is needed (i.e., where participants are given no intervention). </w:t>
      </w:r>
    </w:p>
    <w:p w14:paraId="250EBF73" w14:textId="49625291" w:rsidR="003E199B" w:rsidRPr="00983E57" w:rsidRDefault="00AD4557" w:rsidP="00983E57">
      <w:r>
        <w:t xml:space="preserve">This is not case of “hindsight is 20/20” or a post hoc call </w:t>
      </w:r>
      <w:r w:rsidR="00CC4951">
        <w:t>for</w:t>
      </w:r>
      <w:r>
        <w:t xml:space="preserve"> rigour: the authors of Foody et al. (2013, 2015) </w:t>
      </w:r>
      <w:r w:rsidR="009C7FFB">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t>Foody et al. (2012)</w:t>
      </w:r>
      <w:r w:rsidR="009C7FFB">
        <w:t xml:space="preserve"> cited work by </w:t>
      </w:r>
      <w:proofErr w:type="spellStart"/>
      <w:r w:rsidR="004479EF" w:rsidRPr="00F676B9">
        <w:t>Rachman</w:t>
      </w:r>
      <w:proofErr w:type="spellEnd"/>
      <w:r w:rsidR="004479EF" w:rsidRPr="00F676B9">
        <w:t xml:space="preserve"> et al. </w:t>
      </w:r>
      <w:r w:rsidR="00787E1A" w:rsidRPr="00F676B9">
        <w:fldChar w:fldCharType="begin"/>
      </w:r>
      <w:r w:rsidR="007365B8">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9C7FFB">
        <w:t xml:space="preserve"> and van den Hout et al. </w:t>
      </w:r>
      <w:r w:rsidR="009C7FFB">
        <w:fldChar w:fldCharType="begin"/>
      </w:r>
      <w:r w:rsidR="009C7FFB">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fldChar w:fldCharType="separate"/>
      </w:r>
      <w:r w:rsidR="009C7FFB">
        <w:rPr>
          <w:noProof/>
        </w:rPr>
        <w:t>(2002)</w:t>
      </w:r>
      <w:r w:rsidR="009C7FFB">
        <w:fldChar w:fldCharType="end"/>
      </w:r>
      <w:r w:rsidR="009C7FFB">
        <w:t xml:space="preserve">. Like both Foody et al. (2013) and Foody et al. </w:t>
      </w:r>
      <w:r w:rsidR="001E0C2B">
        <w:fldChar w:fldCharType="begin"/>
      </w:r>
      <w:r w:rsidR="001E0C2B">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fldChar w:fldCharType="separate"/>
      </w:r>
      <w:r w:rsidR="001E0C2B">
        <w:rPr>
          <w:noProof/>
        </w:rPr>
        <w:t>(2015)</w:t>
      </w:r>
      <w:r w:rsidR="001E0C2B">
        <w:fldChar w:fldCharType="end"/>
      </w:r>
      <w:r w:rsidR="009C7FFB">
        <w:t xml:space="preserve">, these studies recorded </w:t>
      </w:r>
      <w:r w:rsidR="004479EF" w:rsidRPr="00F676B9">
        <w:t xml:space="preserve">anxiety scores </w:t>
      </w:r>
      <w:r w:rsidR="009C7FFB">
        <w:t>using a V</w:t>
      </w:r>
      <w:r w:rsidR="004479EF" w:rsidRPr="00F676B9">
        <w:t xml:space="preserve">isual </w:t>
      </w:r>
      <w:r w:rsidR="009C7FFB">
        <w:t>A</w:t>
      </w:r>
      <w:r w:rsidR="004479EF" w:rsidRPr="00F676B9">
        <w:t xml:space="preserve">nalogue </w:t>
      </w:r>
      <w:r w:rsidR="009C7FFB">
        <w:t>S</w:t>
      </w:r>
      <w:r w:rsidR="004479EF" w:rsidRPr="00F676B9">
        <w:t>cale</w:t>
      </w:r>
      <w:r w:rsidR="009C7FFB">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F676B9">
        <w:t>(two minutes) in the absence of any intervention</w:t>
      </w:r>
      <w:r w:rsidR="00125BA4">
        <w:t xml:space="preserve"> </w:t>
      </w:r>
      <w:r w:rsidR="00125BA4" w:rsidRPr="00333656">
        <w:t>(</w:t>
      </w:r>
      <w:proofErr w:type="spellStart"/>
      <w:r w:rsidR="00125BA4" w:rsidRPr="00333656">
        <w:t>Rachman</w:t>
      </w:r>
      <w:proofErr w:type="spellEnd"/>
      <w:r w:rsidR="00125BA4" w:rsidRPr="00333656">
        <w:t xml:space="preserve"> et al., 1996: Hedges’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 3.24, 95% CI [2.51, 3.97]; </w:t>
      </w:r>
      <w:r w:rsidR="00125BA4" w:rsidRPr="00D73C1B">
        <w:t xml:space="preserve">van den Hout et al., 2002: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D73C1B">
        <w:t xml:space="preserve"> = 1.17, 95% CI [0.69, 1.64]). </w:t>
      </w:r>
      <w:r w:rsidR="004700BC" w:rsidRPr="00D73C1B">
        <w:t xml:space="preserve">I extracted the summary statistics from </w:t>
      </w:r>
      <w:proofErr w:type="spellStart"/>
      <w:r w:rsidR="004700BC" w:rsidRPr="00D73C1B">
        <w:t>Rachman</w:t>
      </w:r>
      <w:proofErr w:type="spellEnd"/>
      <w:r w:rsidR="004700BC" w:rsidRPr="00D73C1B">
        <w:t xml:space="preserve"> et al. (1996)</w:t>
      </w:r>
      <w:r w:rsidR="00D73C1B" w:rsidRPr="00D73C1B">
        <w:t xml:space="preserve"> and</w:t>
      </w:r>
      <w:r w:rsidR="004700BC" w:rsidRPr="00D73C1B">
        <w:t xml:space="preserve"> van den Hout et al. (2002)</w:t>
      </w:r>
      <w:r w:rsidR="00D73C1B">
        <w:t xml:space="preserve"> and present them </w:t>
      </w:r>
      <w:r w:rsidR="00D73C1B">
        <w:lastRenderedPageBreak/>
        <w:t>in Figure 1.</w:t>
      </w:r>
      <w:r w:rsidR="004700BC" w:rsidRPr="00D73C1B">
        <w:t xml:space="preserve"> </w:t>
      </w:r>
      <w:r w:rsidR="00D73C1B">
        <w:t xml:space="preserve">Note the pattern of effect </w:t>
      </w:r>
      <w:r w:rsidR="004700BC">
        <w:t>across timepoints can be seen</w:t>
      </w:r>
      <w:r w:rsidR="00D73C1B">
        <w:t xml:space="preserve">: a baseline participants demonstrate low anxiety, at postinduction it is higher, and at </w:t>
      </w:r>
      <w:proofErr w:type="spellStart"/>
      <w:r w:rsidR="00D73C1B">
        <w:t>postdelay</w:t>
      </w:r>
      <w:proofErr w:type="spellEnd"/>
      <w:r w:rsidR="00D73C1B">
        <w:t xml:space="preserve"> it returns nearly to baseline. </w:t>
      </w:r>
      <w:r w:rsidR="00265645">
        <w:t xml:space="preserve">However, these two studies involved no intervention: the reduction in distress after the delay was spontaneous. </w:t>
      </w:r>
      <w:r w:rsidR="004700BC">
        <w:t xml:space="preserve">Foody et al. (2013) </w:t>
      </w:r>
      <w:r w:rsidR="008767FE">
        <w:t xml:space="preserve">did not include any such control condition where no intervention was provided, and did not discuss the highly plausible possibility that any reductions in distress after intervention were merely due to spontaneous recovery rather than due to their intervention. At the same time, it is plausible that Foody and colleagues were aware of this </w:t>
      </w:r>
      <w:r w:rsidR="00803AC2">
        <w:t>possibility</w:t>
      </w:r>
      <w:r w:rsidR="008767FE">
        <w:t xml:space="preserve"> given that they cited both </w:t>
      </w:r>
      <w:proofErr w:type="spellStart"/>
      <w:r w:rsidR="00D069E9">
        <w:t>Rachman</w:t>
      </w:r>
      <w:proofErr w:type="spellEnd"/>
      <w:r w:rsidR="00D069E9">
        <w:t xml:space="preserve"> et al. (1996) and van den Hout et al. (2002) </w:t>
      </w:r>
      <w:r w:rsidR="008767FE">
        <w:t>in their earlier publication (</w:t>
      </w:r>
      <w:r w:rsidR="00D069E9">
        <w:t>Foody et al.</w:t>
      </w:r>
      <w:r w:rsidR="008767FE">
        <w:t xml:space="preserve">, </w:t>
      </w:r>
      <w:r w:rsidR="00D069E9">
        <w:t>2012)</w:t>
      </w:r>
      <w:r w:rsidR="008767FE">
        <w:t xml:space="preserve">. </w:t>
      </w:r>
      <w:r w:rsidR="00CE7043">
        <w:t xml:space="preserve">As such, </w:t>
      </w:r>
      <w:r w:rsidR="00A079E9">
        <w:t xml:space="preserve">in the absence of a control condition, it </w:t>
      </w:r>
      <w:r w:rsidR="00B6317E">
        <w:t>would be</w:t>
      </w:r>
      <w:r w:rsidR="00A079E9">
        <w:t xml:space="preserve"> </w:t>
      </w:r>
      <w:r w:rsidR="00CE7043">
        <w:t xml:space="preserve">erroneous to conclude from Foody et al.’s (2013, 2015) results that the interventions caused reductions in distress between timepoints. </w:t>
      </w:r>
    </w:p>
    <w:p w14:paraId="68856BB9" w14:textId="77777777" w:rsidR="00960DF3" w:rsidRDefault="00960DF3" w:rsidP="002B127D">
      <w:pPr>
        <w:pStyle w:val="Heading2"/>
      </w:pPr>
      <w:r>
        <w:t xml:space="preserve">How to interpret the results </w:t>
      </w:r>
    </w:p>
    <w:p w14:paraId="6CEC9657" w14:textId="6E1AD8E0" w:rsidR="00CF19BA" w:rsidRDefault="00B21285" w:rsidP="00960DF3">
      <w:pPr>
        <w:pStyle w:val="Heading3"/>
      </w:pPr>
      <w:r>
        <w:t>Original results represent weak support</w:t>
      </w:r>
    </w:p>
    <w:p w14:paraId="0D80433B" w14:textId="77777777" w:rsidR="00CF19BA" w:rsidRDefault="00CF19BA" w:rsidP="00CF19BA">
      <w:r w:rsidRPr="00F676B9">
        <w:rPr>
          <w:rStyle w:val="highlight"/>
        </w:rPr>
        <w:t xml:space="preserve">We can </w:t>
      </w:r>
      <w:r>
        <w:rPr>
          <w:rStyle w:val="highlight"/>
        </w:rPr>
        <w:t xml:space="preserve">reasonably </w:t>
      </w:r>
      <w:r w:rsidRPr="00F676B9">
        <w:rPr>
          <w:rStyle w:val="highlight"/>
        </w:rPr>
        <w:t xml:space="preserve">assume that these claims were based on the statistical significance of the interaction effects in </w:t>
      </w:r>
      <w:r w:rsidRPr="00F676B9">
        <w:t xml:space="preserve">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w:t>
      </w:r>
      <w:r>
        <w:t xml:space="preserve">(i.e., of one significant result and two non-significant results between outcomes) </w:t>
      </w:r>
      <w:r w:rsidRPr="00F676B9">
        <w:t xml:space="preserve">or has the same </w:t>
      </w:r>
      <w:r>
        <w:t xml:space="preserve">degree of </w:t>
      </w:r>
      <w:r w:rsidRPr="00F676B9">
        <w:t>relevance to the claim. They reported that the interaction effects</w:t>
      </w:r>
      <w:r w:rsidRPr="00F676B9">
        <w:rPr>
          <w:rStyle w:val="highlight"/>
        </w:rPr>
        <w:t xml:space="preserve"> were significant for </w:t>
      </w:r>
      <w:r w:rsidRPr="00F676B9">
        <w:t>stress (“</w:t>
      </w:r>
      <w:r w:rsidRPr="00F676B9">
        <w:rPr>
          <w:i/>
          <w:iCs/>
        </w:rPr>
        <w:t>p</w:t>
      </w:r>
      <w:r w:rsidRPr="00F676B9">
        <w:t xml:space="preserve"> = .04”) but not discomfort (“</w:t>
      </w:r>
      <w:r w:rsidRPr="00F676B9">
        <w:rPr>
          <w:i/>
          <w:iCs/>
        </w:rPr>
        <w:t>p</w:t>
      </w:r>
      <w:r w:rsidRPr="00F676B9">
        <w:t xml:space="preserve"> = .45”) or anxiety (“</w:t>
      </w:r>
      <w:r w:rsidRPr="00F676B9">
        <w:rPr>
          <w:i/>
          <w:iCs/>
        </w:rPr>
        <w:t>p</w:t>
      </w:r>
      <w:r w:rsidRPr="00F676B9">
        <w:t xml:space="preserve"> = .33”; pp. 381-382). </w:t>
      </w:r>
    </w:p>
    <w:p w14:paraId="4BFF0C13" w14:textId="1D86624A" w:rsidR="006614DF" w:rsidRDefault="006614DF" w:rsidP="00E50698">
      <w:pPr>
        <w:rPr>
          <w:rStyle w:val="highlight"/>
        </w:rPr>
      </w:pPr>
      <w:r w:rsidRPr="00483C36">
        <w:rPr>
          <w:highlight w:val="yellow"/>
        </w:rPr>
        <w:t xml:space="preserve">[Add results </w:t>
      </w:r>
      <w:r w:rsidR="006A60B1">
        <w:rPr>
          <w:highlight w:val="yellow"/>
        </w:rPr>
        <w:t xml:space="preserve">of Foody et al 2015 </w:t>
      </w:r>
      <w:r w:rsidRPr="00483C36">
        <w:rPr>
          <w:highlight w:val="yellow"/>
        </w:rPr>
        <w:t>here]</w:t>
      </w:r>
    </w:p>
    <w:p w14:paraId="1CB451C4" w14:textId="79A1EF87" w:rsidR="006A6EE2" w:rsidRPr="00F676B9" w:rsidRDefault="000E4430" w:rsidP="006A6EE2">
      <w:pPr>
        <w:pStyle w:val="Heading3"/>
      </w:pPr>
      <w:r>
        <w:t xml:space="preserve">Applying </w:t>
      </w:r>
      <w:r w:rsidR="006A6EE2" w:rsidRPr="00F676B9">
        <w:t xml:space="preserve">multiple </w:t>
      </w:r>
      <w:r>
        <w:t>testing corrections produces null results</w:t>
      </w:r>
    </w:p>
    <w:p w14:paraId="633C8BC3" w14:textId="473263B0" w:rsidR="009B27F8" w:rsidRDefault="00624E40" w:rsidP="009B27F8">
      <w:pPr>
        <w:rPr>
          <w:rStyle w:val="highlight"/>
        </w:rPr>
      </w:pPr>
      <w:r w:rsidRPr="00F676B9">
        <w:t xml:space="preserve">Foody et al. (2013) stated that their </w:t>
      </w:r>
      <w:r w:rsidRPr="000C6AC9">
        <w:rPr>
          <w:i/>
          <w:iCs/>
        </w:rPr>
        <w:t>“findings demonstrated superiority of the intervention that focused on hierarchical, rather than distinction, deictic relations in terms of reducing distress.”</w:t>
      </w:r>
      <w:r w:rsidRPr="00F676B9">
        <w:t xml:space="preserve"> (p. 373). However, a few paragraphs later they stated that the effect </w:t>
      </w:r>
      <w:r w:rsidRPr="000C6AC9">
        <w:rPr>
          <w:i/>
          <w:iCs/>
        </w:rPr>
        <w:t>“</w:t>
      </w:r>
      <w:r w:rsidRPr="000C6AC9">
        <w:rPr>
          <w:rStyle w:val="highlight"/>
          <w:i/>
          <w:iCs/>
        </w:rPr>
        <w:t xml:space="preserve">was significantly effective only in the context of stress, and not in discomfort or anxiety” </w:t>
      </w:r>
      <w:r w:rsidRPr="00F676B9">
        <w:rPr>
          <w:rStyle w:val="highlight"/>
        </w:rPr>
        <w:t xml:space="preserve">(p. 385), that is, </w:t>
      </w:r>
      <w:r>
        <w:rPr>
          <w:rStyle w:val="highlight"/>
        </w:rPr>
        <w:t xml:space="preserve">significant results were obtained </w:t>
      </w:r>
      <w:r w:rsidRPr="00F676B9">
        <w:rPr>
          <w:rStyle w:val="highlight"/>
        </w:rPr>
        <w:t>for only one of the three outcome measures</w:t>
      </w:r>
      <w:r w:rsidR="00A35CD1">
        <w:rPr>
          <w:rStyle w:val="highlight"/>
        </w:rPr>
        <w:t>, without the use of any familywise error corrections</w:t>
      </w:r>
      <w:r w:rsidRPr="00F676B9">
        <w:rPr>
          <w:rStyle w:val="highlight"/>
        </w:rPr>
        <w:t xml:space="preserve">. </w:t>
      </w:r>
      <w:r w:rsidR="009B27F8" w:rsidRPr="00F676B9">
        <w:rPr>
          <w:rStyle w:val="highlight"/>
        </w:rPr>
        <w:t xml:space="preserve">Foody et al. (2013) </w:t>
      </w:r>
      <w:r w:rsidR="009B27F8">
        <w:rPr>
          <w:rStyle w:val="highlight"/>
        </w:rPr>
        <w:t>therefore make a disjoint claim, where the alternative hypothesis is accepted on the basis of one or more positive results among multiple tests</w:t>
      </w:r>
      <w:r w:rsidR="00B70C0E">
        <w:rPr>
          <w:rStyle w:val="highlight"/>
        </w:rPr>
        <w:t xml:space="preserve"> (whereas a joint claim would require positive results on every test). </w:t>
      </w:r>
    </w:p>
    <w:p w14:paraId="3B1B6DC8" w14:textId="21B07957" w:rsidR="00B33947" w:rsidRDefault="00B33947" w:rsidP="009B27F8">
      <w:pPr>
        <w:rPr>
          <w:rStyle w:val="highlight"/>
        </w:rPr>
      </w:pPr>
      <w:r>
        <w:rPr>
          <w:rStyle w:val="highlight"/>
        </w:rPr>
        <w:t xml:space="preserve">For individual tests, the false positive rate is equal to the alpha value (e.g., 5%) when the test’s assumptions are met. However, disjoint claims suffer from increased false positive rates, because even a single false positive will cause an incorrect claim. </w:t>
      </w:r>
      <w:r w:rsidR="00BF3E8A">
        <w:rPr>
          <w:rStyle w:val="highlight"/>
        </w:rPr>
        <w:t xml:space="preserve">With three outcome measures and an alpha value of 5%, the </w:t>
      </w:r>
      <w:r w:rsidR="00BF3E8A">
        <w:rPr>
          <w:rStyle w:val="highlight"/>
        </w:rPr>
        <w:t>familywise false positive rate for the general claim can be as high as 14.3%</w:t>
      </w:r>
      <w:r w:rsidR="00F7042F">
        <w:rPr>
          <w:rStyle w:val="highlight"/>
        </w:rPr>
        <w:t xml:space="preserve"> (i.e., when tests are fully independent).</w:t>
      </w:r>
    </w:p>
    <w:p w14:paraId="12BE7FCB" w14:textId="77777777" w:rsidR="00500921" w:rsidRDefault="00500921" w:rsidP="00500921">
      <w:pPr>
        <w:ind w:firstLine="0"/>
        <w:rPr>
          <w:rStyle w:val="highlight"/>
        </w:rPr>
      </w:pPr>
    </w:p>
    <w:p w14:paraId="5107847B" w14:textId="0F4986A1" w:rsidR="00500921" w:rsidRPr="00500921" w:rsidRDefault="00000000" w:rsidP="00500921">
      <w:pPr>
        <w:ind w:firstLine="0"/>
        <w:rPr>
          <w:rStyle w:val="highlight"/>
        </w:rPr>
      </w:pPr>
      <m:oMathPara>
        <m:oMath>
          <m:eqArr>
            <m:eqArrPr>
              <m:maxDist m:val="1"/>
              <m:ctrlPr>
                <w:rPr>
                  <w:rStyle w:val="highlight"/>
                  <w:rFonts w:ascii="Cambria Math" w:hAnsi="Cambria Math"/>
                  <w:i/>
                </w:rPr>
              </m:ctrlPr>
            </m:eqArrPr>
            <m:e>
              <m:r>
                <w:rPr>
                  <w:rStyle w:val="highlight"/>
                  <w:rFonts w:ascii="Cambria Math" w:hAnsi="Cambria Math"/>
                </w:rPr>
                <m:t xml:space="preserve">FPR=1- </m:t>
              </m:r>
              <m:sSup>
                <m:sSupPr>
                  <m:ctrlPr>
                    <w:rPr>
                      <w:rStyle w:val="highlight"/>
                      <w:rFonts w:ascii="Cambria Math" w:hAnsi="Cambria Math"/>
                      <w:i/>
                    </w:rPr>
                  </m:ctrlPr>
                </m:sSupPr>
                <m:e>
                  <m:d>
                    <m:dPr>
                      <m:ctrlPr>
                        <w:rPr>
                          <w:rStyle w:val="highlight"/>
                          <w:rFonts w:ascii="Cambria Math" w:hAnsi="Cambria Math"/>
                          <w:i/>
                        </w:rPr>
                      </m:ctrlPr>
                    </m:dPr>
                    <m:e>
                      <m:r>
                        <w:rPr>
                          <w:rStyle w:val="highlight"/>
                          <w:rFonts w:ascii="Cambria Math" w:hAnsi="Cambria Math"/>
                        </w:rPr>
                        <m:t>1-α</m:t>
                      </m:r>
                    </m:e>
                  </m:d>
                </m:e>
                <m:sup>
                  <m:r>
                    <w:rPr>
                      <w:rStyle w:val="highlight"/>
                      <w:rFonts w:ascii="Cambria Math" w:hAnsi="Cambria Math"/>
                    </w:rPr>
                    <m:t>k</m:t>
                  </m:r>
                </m:sup>
              </m:sSup>
              <m:r>
                <w:rPr>
                  <w:rStyle w:val="highlight"/>
                  <w:rFonts w:ascii="Cambria Math" w:hAnsi="Cambria Math"/>
                </w:rPr>
                <m:t xml:space="preserve"> #</m:t>
              </m:r>
              <m:d>
                <m:dPr>
                  <m:ctrlPr>
                    <w:rPr>
                      <w:rStyle w:val="highlight"/>
                      <w:rFonts w:ascii="Cambria Math" w:hAnsi="Cambria Math"/>
                      <w:i/>
                    </w:rPr>
                  </m:ctrlPr>
                </m:dPr>
                <m:e>
                  <m:r>
                    <w:rPr>
                      <w:rStyle w:val="highlight"/>
                      <w:rFonts w:ascii="Cambria Math" w:hAnsi="Cambria Math"/>
                    </w:rPr>
                    <m:t>1</m:t>
                  </m:r>
                </m:e>
              </m:d>
            </m:e>
          </m:eqArr>
        </m:oMath>
      </m:oMathPara>
    </w:p>
    <w:p w14:paraId="04F92B80" w14:textId="77777777" w:rsidR="00B33947" w:rsidRDefault="00B33947" w:rsidP="007674CD">
      <w:pPr>
        <w:ind w:firstLine="0"/>
        <w:rPr>
          <w:rStyle w:val="highlight"/>
        </w:rPr>
      </w:pPr>
    </w:p>
    <w:p w14:paraId="787AFB45" w14:textId="48FF74D4" w:rsidR="006A6EE2" w:rsidRPr="007674CD" w:rsidRDefault="009B27F8" w:rsidP="00567F2A">
      <w:pPr>
        <w:rPr>
          <w:rStyle w:val="highlight"/>
          <w:highlight w:val="yellow"/>
        </w:rPr>
      </w:pPr>
      <w:r w:rsidRPr="007674CD">
        <w:rPr>
          <w:rStyle w:val="highlight"/>
          <w:highlight w:val="yellow"/>
        </w:rPr>
        <w:t>When disjoint claims are made, familywise error corrections are required to maintain nominal false positive rates implied by the tests’ alpha level.</w:t>
      </w:r>
      <w:r w:rsidR="00567F2A">
        <w:rPr>
          <w:rStyle w:val="highlight"/>
          <w:highlight w:val="yellow"/>
        </w:rPr>
        <w:t xml:space="preserve"> </w:t>
      </w:r>
      <w:r w:rsidRPr="007674CD">
        <w:rPr>
          <w:rStyle w:val="highlight"/>
          <w:highlight w:val="yellow"/>
        </w:rPr>
        <w:t xml:space="preserve">If one is willing to accept the alternative hypothesis on the basis of any significant result across multiple outcome measures (i.e., a disjoint claim), each of which has a risk of false positives, some form of familywise alpha correction is necessary to keep the long run false positive rate within the nominal alpha value (e.g., 5%). Foody et al. (2013) do not employ any alpha corrections, but they can be applied post hoc to the reported </w:t>
      </w:r>
      <w:r w:rsidRPr="007674CD">
        <w:rPr>
          <w:rStyle w:val="highlight"/>
          <w:i/>
          <w:iCs/>
          <w:highlight w:val="yellow"/>
        </w:rPr>
        <w:t>p</w:t>
      </w:r>
      <w:r w:rsidRPr="007674CD">
        <w:rPr>
          <w:rStyle w:val="highlight"/>
          <w:highlight w:val="yellow"/>
        </w:rPr>
        <w:t xml:space="preserve"> values. </w:t>
      </w:r>
    </w:p>
    <w:p w14:paraId="328EBE33" w14:textId="210689DE" w:rsidR="009B27F8" w:rsidRDefault="009B27F8" w:rsidP="009B27F8">
      <w:r w:rsidRPr="007674CD">
        <w:rPr>
          <w:highlight w:val="yellow"/>
        </w:rPr>
        <w:t xml:space="preserve">Applying even a relatively liberal correction method (e.g., Holm corrections, implemented using R’s </w:t>
      </w:r>
      <w:proofErr w:type="spellStart"/>
      <w:r w:rsidRPr="007674CD">
        <w:rPr>
          <w:highlight w:val="yellow"/>
        </w:rPr>
        <w:t>p.adjust</w:t>
      </w:r>
      <w:proofErr w:type="spellEnd"/>
      <w:r w:rsidRPr="007674CD">
        <w:rPr>
          <w:highlight w:val="yellow"/>
        </w:rPr>
        <w:t xml:space="preserve"> function) produces three non-significant adjusted </w:t>
      </w:r>
      <w:r w:rsidRPr="007674CD">
        <w:rPr>
          <w:i/>
          <w:iCs/>
          <w:highlight w:val="yellow"/>
        </w:rPr>
        <w:t>p</w:t>
      </w:r>
      <w:r w:rsidRPr="007674CD">
        <w:rPr>
          <w:highlight w:val="yellow"/>
        </w:rPr>
        <w:t xml:space="preserve"> values (i.e., discomfort: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.66, anxiety: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.66, stress: </w:t>
      </w:r>
      <w:proofErr w:type="spellStart"/>
      <w:r w:rsidRPr="007674CD">
        <w:rPr>
          <w:i/>
          <w:iCs/>
          <w:highlight w:val="yellow"/>
        </w:rPr>
        <w:t>p</w:t>
      </w:r>
      <w:r w:rsidRPr="007674CD">
        <w:rPr>
          <w:highlight w:val="yellow"/>
          <w:vertAlign w:val="subscript"/>
        </w:rPr>
        <w:t>adj</w:t>
      </w:r>
      <w:proofErr w:type="spellEnd"/>
      <w:r w:rsidRPr="007674CD">
        <w:rPr>
          <w:highlight w:val="yellow"/>
        </w:rPr>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r>
        <w:t xml:space="preserve"> </w:t>
      </w:r>
    </w:p>
    <w:p w14:paraId="11751D0B" w14:textId="09382F16" w:rsidR="006A6EE2" w:rsidRDefault="000A5BFB" w:rsidP="008A3141">
      <w:r w:rsidRPr="00271C78">
        <w:rPr>
          <w:highlight w:val="yellow"/>
        </w:rPr>
        <w:t xml:space="preserve">[Add results </w:t>
      </w:r>
      <w:r w:rsidR="00C847BB">
        <w:rPr>
          <w:highlight w:val="yellow"/>
        </w:rPr>
        <w:t xml:space="preserve">of Foody et al. 2015 </w:t>
      </w:r>
      <w:r w:rsidRPr="00271C78">
        <w:rPr>
          <w:highlight w:val="yellow"/>
        </w:rPr>
        <w:t>here]</w:t>
      </w:r>
    </w:p>
    <w:p w14:paraId="438967D8" w14:textId="05A5CC47" w:rsidR="00624E40" w:rsidRPr="00F676B9" w:rsidRDefault="00900C53" w:rsidP="00624E40">
      <w:pPr>
        <w:pStyle w:val="Heading3"/>
      </w:pPr>
      <w:r>
        <w:t xml:space="preserve">The RM-ANOVAs are not suitable to testing the original </w:t>
      </w:r>
      <w:r w:rsidR="00624E40">
        <w:t>c</w:t>
      </w:r>
      <w:r w:rsidR="00624E40" w:rsidRPr="00F676B9">
        <w:t>laim</w:t>
      </w:r>
      <w:r w:rsidR="00624E40">
        <w:t xml:space="preserve"> </w:t>
      </w:r>
    </w:p>
    <w:p w14:paraId="0961935A" w14:textId="77777777" w:rsidR="00624E40" w:rsidRDefault="00624E40" w:rsidP="00624E40">
      <w:r>
        <w:t>Regardless of the results obtained (i.e., even if all results had been statistically significant),</w:t>
      </w:r>
      <w:r w:rsidRPr="00F676B9">
        <w:t xml:space="preserve"> </w:t>
      </w:r>
      <w:r>
        <w:t>I argue that the RM-ANOVAs cannot by themselves support the claims made about the superiority of the hierarchy condition. B</w:t>
      </w:r>
      <w:r w:rsidRPr="00F676B9">
        <w:t xml:space="preserve">y including the baseline scores, the interaction effects do not test the hypothesis that the interventions produce differential effects, because interaction effects could be driven by one or more of the baseline, post induction </w:t>
      </w:r>
      <w:r>
        <w:t>or</w:t>
      </w:r>
      <w:r w:rsidRPr="00F676B9">
        <w:t xml:space="preserve"> post intervention time points. </w:t>
      </w:r>
      <w:r>
        <w:t xml:space="preserve">That is, a very different pattern of results that does not represent the superiority of the hierarchy condition in reducing experimentally induced distress could nonetheless produce significant </w:t>
      </w:r>
      <w:r w:rsidRPr="00785C49">
        <w:rPr>
          <w:i/>
          <w:iCs/>
        </w:rPr>
        <w:t>p</w:t>
      </w:r>
      <w:r>
        <w:t xml:space="preserve"> values for the interaction effect. </w:t>
      </w:r>
    </w:p>
    <w:p w14:paraId="07194956" w14:textId="51B404D1" w:rsidR="00624E40" w:rsidRDefault="00624E40" w:rsidP="00D56D8F">
      <w:r w:rsidRPr="00F676B9">
        <w:t xml:space="preserve">In order to support their claim, </w:t>
      </w:r>
      <w:r>
        <w:t xml:space="preserve">an elaborated or alternative analytic strategy would be needed. For example, </w:t>
      </w:r>
      <w:r w:rsidRPr="00F676B9">
        <w:t xml:space="preserve">post hoc contrasts </w:t>
      </w:r>
      <w:r>
        <w:t xml:space="preserve">could have been used to test for differences in means between the groups at each time points; </w:t>
      </w:r>
      <w:r w:rsidRPr="00F676B9">
        <w:t xml:space="preserve">or to </w:t>
      </w:r>
      <w:r>
        <w:t xml:space="preserve">differences in means at the post-intervention time point could have simply been assessed via a </w:t>
      </w:r>
      <w:r w:rsidRPr="00F676B9">
        <w:rPr>
          <w:i/>
          <w:iCs/>
        </w:rPr>
        <w:t>t</w:t>
      </w:r>
      <w:r w:rsidRPr="00F676B9">
        <w:t>-test</w:t>
      </w:r>
      <w:r>
        <w:t>; or an ANCOVA could have been used to compare differences in means at the post-intervention time point while controlling for differences at baseline.</w:t>
      </w:r>
      <w:r w:rsidRPr="00F676B9">
        <w:t xml:space="preserve"> However, Foody et al. (2013) do not report any such results. As such, in summary, Foody et al. (2013) suffers from an absence of appropriate analyses to test their stated claim that the hierarchical condition is superior to the distinction condition. </w:t>
      </w:r>
    </w:p>
    <w:p w14:paraId="5B5892B3" w14:textId="78F83DF0" w:rsidR="003C00AB" w:rsidRDefault="003C00AB" w:rsidP="00BD56CE">
      <w:pPr>
        <w:pStyle w:val="Heading1"/>
      </w:pPr>
      <w:r>
        <w:lastRenderedPageBreak/>
        <w:t xml:space="preserve">Reanalysis </w:t>
      </w:r>
    </w:p>
    <w:p w14:paraId="6E05B4A2" w14:textId="5A7F4E00" w:rsidR="003532A3" w:rsidRDefault="00FA32B7" w:rsidP="00DB7228">
      <w:r>
        <w:t xml:space="preserve">In this section, I report the results of a reanalysis that sought to provide </w:t>
      </w:r>
      <w:r w:rsidR="00BD0CFE" w:rsidRPr="00F676B9">
        <w:t>a direct</w:t>
      </w:r>
      <w:r w:rsidR="008070A9" w:rsidRPr="00F676B9">
        <w:t xml:space="preserve"> </w:t>
      </w:r>
      <w:r w:rsidR="00BD0CFE" w:rsidRPr="00F676B9">
        <w:t xml:space="preserve">test </w:t>
      </w:r>
      <w:r w:rsidR="00AD25E8">
        <w:t xml:space="preserve">of </w:t>
      </w:r>
      <w:r>
        <w:t xml:space="preserve">Foody et al.’s (2013) central </w:t>
      </w:r>
      <w:r w:rsidR="003B2E01">
        <w:t>aim, i.e</w:t>
      </w:r>
      <w:r w:rsidR="003B2E01" w:rsidRPr="00225AF7">
        <w:t xml:space="preserve">., </w:t>
      </w:r>
      <w:r w:rsidR="003B2E01" w:rsidRPr="00225AF7">
        <w:rPr>
          <w:i/>
          <w:iCs/>
        </w:rPr>
        <w:t>“</w:t>
      </w:r>
      <w:r w:rsidR="003B2E01" w:rsidRPr="00225AF7">
        <w:rPr>
          <w:i/>
          <w:iCs/>
        </w:rPr>
        <w:t>The primary aim of the current study was to compare the relative utility of the two self-based interventions (distinction versus hierarchical relations) in reducing participants’ discomfort, anxiety, and stress after exposure to the distress induction task.</w:t>
      </w:r>
      <w:r w:rsidR="003B2E01" w:rsidRPr="00225AF7">
        <w:rPr>
          <w:i/>
          <w:iCs/>
        </w:rPr>
        <w:t>”</w:t>
      </w:r>
      <w:r w:rsidR="00A41135" w:rsidRPr="00F676B9">
        <w:t xml:space="preserve"> </w:t>
      </w:r>
      <w:r w:rsidR="003B2E01">
        <w:t xml:space="preserve">(p. 381). </w:t>
      </w:r>
      <w:r w:rsidR="008C00A2" w:rsidRPr="00F676B9">
        <w:t xml:space="preserve">Specifically, I aimed </w:t>
      </w:r>
      <w:r w:rsidR="006566A3">
        <w:t xml:space="preserve">to </w:t>
      </w:r>
      <w:r w:rsidR="008C00A2" w:rsidRPr="00F676B9">
        <w:t>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p>
    <w:p w14:paraId="7FB5416A" w14:textId="3EEACCBE" w:rsidR="001A4517" w:rsidRDefault="001A4517" w:rsidP="00DB7228">
      <w:r>
        <w:t xml:space="preserve">Of course, data analysis involves multiple decisions, each of which may have more than one plausible and defendable choice. In order to understand the robustness of conclusions across multiple plausible choices, the concept of “multiverse analyses” (sometimes called “specification curves”; </w:t>
      </w:r>
      <w:proofErr w:type="spellStart"/>
      <w:r w:rsidR="002667B1" w:rsidRPr="002667B1">
        <w:rPr>
          <w:highlight w:val="yellow"/>
        </w:rPr>
        <w:t>Orben</w:t>
      </w:r>
      <w:proofErr w:type="spellEnd"/>
      <w:r w:rsidR="002667B1" w:rsidRPr="002667B1">
        <w:rPr>
          <w:highlight w:val="yellow"/>
        </w:rPr>
        <w:t xml:space="preserve"> </w:t>
      </w:r>
      <w:r w:rsidR="002667B1">
        <w:rPr>
          <w:highlight w:val="yellow"/>
        </w:rPr>
        <w:t xml:space="preserve">&amp; Przybylski </w:t>
      </w:r>
      <w:r w:rsidRPr="002667B1">
        <w:rPr>
          <w:highlight w:val="yellow"/>
        </w:rPr>
        <w:t>REF</w:t>
      </w:r>
      <w:r>
        <w:t xml:space="preserve">). </w:t>
      </w:r>
      <w:r w:rsidR="00927BCF">
        <w:t xml:space="preserve">I will return to this analysis after first explaining how results were extracted from the articles. </w:t>
      </w:r>
    </w:p>
    <w:p w14:paraId="03E7E96C" w14:textId="3B4B37A0" w:rsidR="00BD56CE" w:rsidRDefault="00BD56CE" w:rsidP="00BD56CE">
      <w:pPr>
        <w:pStyle w:val="Heading2"/>
      </w:pPr>
      <w:r w:rsidRPr="00BD56CE">
        <w:t>Transparency and data availability</w:t>
      </w:r>
    </w:p>
    <w:p w14:paraId="0EBB7DD4" w14:textId="51E923B7" w:rsidR="00BD56CE" w:rsidRDefault="00BD56CE" w:rsidP="00BD56CE">
      <w:r w:rsidRPr="00F676B9">
        <w:t>All raw and processed data as well as R code for data processing and analyses are available (</w:t>
      </w:r>
      <w:r w:rsidRPr="00F676B9">
        <w:rPr>
          <w:highlight w:val="yellow"/>
        </w:rPr>
        <w:t>osf.io/XXX</w:t>
      </w:r>
      <w:r w:rsidRPr="00F676B9">
        <w:t>).</w:t>
      </w:r>
    </w:p>
    <w:p w14:paraId="708AAD86" w14:textId="54FB04BF" w:rsidR="001145EC" w:rsidRPr="00F676B9" w:rsidRDefault="001145EC" w:rsidP="00393AC4">
      <w:pPr>
        <w:pStyle w:val="Heading2"/>
      </w:pPr>
      <w:r w:rsidRPr="00F676B9">
        <w:t xml:space="preserve">Attempts to obtain </w:t>
      </w:r>
      <w:r w:rsidR="00761B0B">
        <w:t>the original data</w:t>
      </w:r>
    </w:p>
    <w:p w14:paraId="0E70225B" w14:textId="3CA9596F" w:rsidR="00217548" w:rsidRPr="00F676B9" w:rsidRDefault="0031785B" w:rsidP="00127167">
      <w:r w:rsidRPr="00F676B9">
        <w:t xml:space="preserve">In the first instance, I attempted to </w:t>
      </w:r>
      <w:r w:rsidR="008C00A2" w:rsidRPr="00F676B9">
        <w:t xml:space="preserve">obtain the </w:t>
      </w:r>
      <w:r w:rsidRPr="00F676B9">
        <w:t>original data. I contacted all authors of Foody et al. (2013)</w:t>
      </w:r>
      <w:r w:rsidR="00C67018">
        <w:t xml:space="preserve"> requesting the data. Unfortunately, t</w:t>
      </w:r>
      <w:r w:rsidRPr="00F676B9">
        <w:t xml:space="preserve">he first author </w:t>
      </w:r>
      <w:r w:rsidR="000820DB" w:rsidRPr="009B0F50">
        <w:t>informed me</w:t>
      </w:r>
      <w:r w:rsidRPr="009B0F50">
        <w:t xml:space="preserve"> that the data</w:t>
      </w:r>
      <w:r w:rsidR="0081466A" w:rsidRPr="009B0F50">
        <w:t>set</w:t>
      </w:r>
      <w:r w:rsidRPr="009B0F50">
        <w:t xml:space="preserve"> no longer exists.</w:t>
      </w:r>
      <w:r w:rsidR="0045643F" w:rsidRPr="009B0F50">
        <w:t xml:space="preserve"> </w:t>
      </w:r>
      <w:r w:rsidR="009B0F50" w:rsidRPr="009B0F50">
        <w:t xml:space="preserve">Luckily, however, such tests </w:t>
      </w:r>
      <w:r w:rsidR="009B0F50" w:rsidRPr="009B0F50">
        <w:t>could</w:t>
      </w:r>
      <w:r w:rsidR="009B0F50" w:rsidRPr="009B0F50">
        <w:t xml:space="preserve"> be conducted based on </w:t>
      </w:r>
      <w:r w:rsidR="009B0F50" w:rsidRPr="009B0F50">
        <w:t xml:space="preserve">the </w:t>
      </w:r>
      <w:r w:rsidR="009B0F50" w:rsidRPr="009B0F50">
        <w:t xml:space="preserve">summary statistics </w:t>
      </w:r>
      <w:r w:rsidR="009B0F50" w:rsidRPr="009B0F50">
        <w:t>presented in the original article</w:t>
      </w:r>
      <w:r w:rsidR="009B0F50" w:rsidRPr="009B0F50">
        <w:t>.</w:t>
      </w:r>
    </w:p>
    <w:p w14:paraId="4AC1B573" w14:textId="7F4679D3" w:rsidR="00AF3B43" w:rsidRPr="00F676B9" w:rsidRDefault="00AF3B43" w:rsidP="00393AC4">
      <w:pPr>
        <w:pStyle w:val="Heading2"/>
      </w:pPr>
      <w:r w:rsidRPr="00F676B9">
        <w:t xml:space="preserve">Extraction of summary statistics </w:t>
      </w:r>
    </w:p>
    <w:p w14:paraId="5F4DEEA8" w14:textId="359E836F" w:rsidR="00C67018" w:rsidRDefault="002656AF" w:rsidP="00C67018">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C67018">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F676B9" w:rsidRDefault="00765FD3" w:rsidP="00127167">
      <w:r w:rsidRPr="00F676B9">
        <w:t>Sample sizes after exclusions for both conditions were reported in text: “Participants were allocated randomly across two conditions denoted as distinction self as context (N= 18) and hierarchical self as context (N= 18).” (</w:t>
      </w:r>
      <w:r w:rsidR="007D00B5">
        <w:t xml:space="preserve">Foody et al., 1013, </w:t>
      </w:r>
      <w:r w:rsidRPr="00F676B9">
        <w:t>p. 375)</w:t>
      </w:r>
      <w:r w:rsidR="00516960">
        <w:t xml:space="preserve">; </w:t>
      </w:r>
      <w:r w:rsidR="00516960" w:rsidRPr="00516960">
        <w:rPr>
          <w:highlight w:val="cyan"/>
        </w:rPr>
        <w:t>“[quote]”</w:t>
      </w:r>
      <w:r w:rsidR="00516960">
        <w:t xml:space="preserve"> (Foody et al., 2015, p. </w:t>
      </w:r>
      <w:r w:rsidR="00516960" w:rsidRPr="00516960">
        <w:rPr>
          <w:highlight w:val="cyan"/>
        </w:rPr>
        <w:t>XX</w:t>
      </w:r>
      <w:r w:rsidR="00516960">
        <w:t xml:space="preserve">). </w:t>
      </w:r>
    </w:p>
    <w:p w14:paraId="7E88A624" w14:textId="3C40FCB0" w:rsidR="00224726" w:rsidRPr="00F676B9" w:rsidRDefault="008109F5" w:rsidP="00127167">
      <w:r>
        <w:t>For the original study reported in Foody et al. (2013), m</w:t>
      </w:r>
      <w:r w:rsidR="003640EB" w:rsidRPr="00F676B9">
        <w:t xml:space="preserve">eans </w:t>
      </w:r>
      <w:r w:rsidR="00FA2434" w:rsidRPr="00F676B9">
        <w:t xml:space="preserve">for each </w:t>
      </w:r>
      <w:r w:rsidR="0034006C">
        <w:t>time point</w:t>
      </w:r>
      <w:r w:rsidR="00FA2434" w:rsidRPr="00F676B9">
        <w:t xml:space="preserve"> were not reported in </w:t>
      </w:r>
      <w:r w:rsidR="00FA2434" w:rsidRPr="00F676B9">
        <w:t>text</w:t>
      </w:r>
      <w:r w:rsidR="003640EB" w:rsidRPr="00F676B9">
        <w:t xml:space="preserve">, only approximate values for the baseline </w:t>
      </w:r>
      <w:r w:rsidR="0034006C">
        <w:t>time point</w:t>
      </w:r>
      <w:r w:rsidR="003640EB"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046D9" w:rsidRPr="00F676B9">
        <w:t xml:space="preserve">Means for the post intervention </w:t>
      </w:r>
      <w:r w:rsidR="0034006C">
        <w:t>time point</w:t>
      </w:r>
      <w:r w:rsidR="002046D9" w:rsidRPr="00F676B9">
        <w:t xml:space="preserve"> were</w:t>
      </w:r>
      <w:r w:rsidR="00336FA9">
        <w:t xml:space="preserve"> therefore</w:t>
      </w:r>
      <w:r w:rsidR="002046D9" w:rsidRPr="00F676B9">
        <w:t xml:space="preserve"> calculated in two different way to validate them against one another: using the mean for that </w:t>
      </w:r>
      <w:r w:rsidR="0034006C">
        <w:t>time point</w:t>
      </w:r>
      <w:r w:rsidR="002046D9" w:rsidRPr="00F676B9">
        <w:t xml:space="preserve"> extracted from the plots</w:t>
      </w:r>
      <w:r w:rsidR="00336FA9">
        <w:t xml:space="preserve"> using </w:t>
      </w:r>
      <w:proofErr w:type="spellStart"/>
      <w:r w:rsidR="00336FA9">
        <w:t>WebPlotDigitizer</w:t>
      </w:r>
      <w:proofErr w:type="spellEnd"/>
      <w:r w:rsidR="00336FA9">
        <w:t xml:space="preserve"> </w:t>
      </w:r>
      <w:r w:rsidR="00336FA9">
        <w:fldChar w:fldCharType="begin"/>
      </w:r>
      <w:r w:rsidR="00336FA9">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fldChar w:fldCharType="separate"/>
      </w:r>
      <w:r w:rsidR="00336FA9">
        <w:rPr>
          <w:noProof/>
        </w:rPr>
        <w:t>(Marin et al., 2017)</w:t>
      </w:r>
      <w:r w:rsidR="00336FA9">
        <w:fldChar w:fldCharType="end"/>
      </w:r>
      <w:r w:rsidR="002046D9" w:rsidRPr="00F676B9">
        <w:t xml:space="preserve">;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w:t>
      </w:r>
      <w:r w:rsidR="00336FA9">
        <w:t xml:space="preserve">the </w:t>
      </w:r>
      <w:r w:rsidR="002046D9" w:rsidRPr="00F676B9">
        <w:t>estimates</w:t>
      </w:r>
      <w:r w:rsidR="009A1602" w:rsidRPr="00F676B9">
        <w:t xml:space="preserve"> obtained via </w:t>
      </w:r>
      <w:r w:rsidR="00336FA9">
        <w:t xml:space="preserve">the </w:t>
      </w:r>
      <w:r w:rsidR="00336FA9" w:rsidRPr="00336FA9">
        <w:rPr>
          <w:highlight w:val="green"/>
        </w:rPr>
        <w:t>XXX</w:t>
      </w:r>
      <w:r w:rsidR="002046D9" w:rsidRPr="00F676B9">
        <w:t xml:space="preserve"> method for the </w:t>
      </w:r>
      <w:r w:rsidR="00336FA9">
        <w:t>re</w:t>
      </w:r>
      <w:r w:rsidR="002046D9" w:rsidRPr="00F676B9">
        <w:t>analyses</w:t>
      </w:r>
      <w:r w:rsidR="009A1602" w:rsidRPr="00F676B9">
        <w:t xml:space="preserve">. </w:t>
      </w:r>
    </w:p>
    <w:p w14:paraId="7E19EF72" w14:textId="7DC1EB03" w:rsidR="00084374" w:rsidRPr="00F676B9" w:rsidRDefault="00AF3B43" w:rsidP="008C288D">
      <w:pPr>
        <w:spacing w:line="276" w:lineRule="auto"/>
      </w:pPr>
      <w:r w:rsidRPr="00F676B9">
        <w:t xml:space="preserve">Standard </w:t>
      </w:r>
      <w:r w:rsidR="005642EB">
        <w:t>D</w:t>
      </w:r>
      <w:r w:rsidRPr="00F676B9">
        <w:t xml:space="preserve">eviations </w:t>
      </w:r>
      <w:r w:rsidR="0044292C">
        <w:t xml:space="preserve">for Foody et al. (2013) were </w:t>
      </w:r>
      <w:r w:rsidR="00DB6194">
        <w:t>re</w:t>
      </w:r>
      <w:r w:rsidR="0044292C">
        <w:t xml:space="preserve">calculated </w:t>
      </w:r>
      <w:r w:rsidRPr="00F676B9">
        <w:t xml:space="preserve">from </w:t>
      </w:r>
      <w:r w:rsidR="00496A5F">
        <w:t>the Standard Error intervals reported in the</w:t>
      </w:r>
      <w:r w:rsidR="000F195D">
        <w:t xml:space="preserve">ir Figures 1 to 3 and their </w:t>
      </w:r>
      <w:r w:rsidR="00496A5F">
        <w:t>sample sizes</w:t>
      </w:r>
      <w:r w:rsidR="000F195D">
        <w:t xml:space="preserve"> </w:t>
      </w:r>
      <w:r w:rsidR="00084374" w:rsidRPr="00F676B9">
        <w:t xml:space="preserve">using the below equation. </w:t>
      </w:r>
      <w:r w:rsidR="008C288D">
        <w:t>Data extraction was much simpler for Foody et al. (2015) as all means and SDs were reported in Table 2.</w:t>
      </w:r>
    </w:p>
    <w:p w14:paraId="1C20EEFC" w14:textId="77777777" w:rsidR="008678D0" w:rsidRPr="00F676B9" w:rsidRDefault="008678D0" w:rsidP="008678D0">
      <w:pPr>
        <w:spacing w:line="276" w:lineRule="auto"/>
        <w:ind w:firstLine="0"/>
      </w:pPr>
    </w:p>
    <w:p w14:paraId="0E63D777" w14:textId="0804AF8A" w:rsidR="00084374" w:rsidRPr="00BB4AF6" w:rsidRDefault="00000000" w:rsidP="008678D0">
      <w:pPr>
        <w:pStyle w:val="eq"/>
        <w:rPr>
          <w:rFonts w:ascii="CMU Serif Roman" w:hAnsi="CMU Serif Roman"/>
          <w:i w:val="0"/>
        </w:rPr>
      </w:pPr>
      <m:oMathPara>
        <m:oMath>
          <m:eqArr>
            <m:eqArrPr>
              <m:maxDist m:val="1"/>
              <m:ctrlPr/>
            </m:eqArrPr>
            <m:e>
              <m:sSub>
                <m:sSubPr>
                  <m:ctrlPr/>
                </m:sSubPr>
                <m:e>
                  <m:r>
                    <m:t>SD</m:t>
                  </m:r>
                </m:e>
                <m:sub>
                  <m:r>
                    <m:t>SEM</m:t>
                  </m:r>
                </m:sub>
              </m:sSub>
              <m:r>
                <m:t xml:space="preserve">= </m:t>
              </m:r>
              <m:f>
                <m:fPr>
                  <m:ctrlPr/>
                </m:fPr>
                <m:num>
                  <m:r>
                    <m:t>interval width</m:t>
                  </m:r>
                </m:num>
                <m:den>
                  <m:r>
                    <m:t>2</m:t>
                  </m:r>
                </m:den>
              </m:f>
              <m:r>
                <m:t>×</m:t>
              </m:r>
              <m:rad>
                <m:radPr>
                  <m:degHide m:val="1"/>
                  <m:ctrlPr/>
                </m:radPr>
                <m:deg/>
                <m:e>
                  <m:r>
                    <m:t>n</m:t>
                  </m:r>
                </m:e>
              </m:rad>
              <m:r>
                <m:t xml:space="preserve"> #(</m:t>
              </m:r>
              <m:r>
                <m:t>2</m:t>
              </m:r>
              <m:r>
                <m:t>)</m:t>
              </m:r>
            </m:e>
          </m:eqArr>
        </m:oMath>
      </m:oMathPara>
    </w:p>
    <w:p w14:paraId="3D343612" w14:textId="77777777" w:rsidR="00F728E6" w:rsidRPr="00F676B9" w:rsidRDefault="00F728E6" w:rsidP="00162218">
      <w:pPr>
        <w:spacing w:line="276" w:lineRule="auto"/>
        <w:ind w:firstLine="0"/>
      </w:pPr>
    </w:p>
    <w:p w14:paraId="1A1A92C9" w14:textId="7840C317" w:rsidR="000857C4" w:rsidRDefault="009001BC" w:rsidP="00C135A6">
      <w:r>
        <w:t xml:space="preserve">In order to compare differences between the distinction and hierarchy conditions at the post-intervention time point, while also acknowledging that there may be legitimate analytic </w:t>
      </w:r>
    </w:p>
    <w:p w14:paraId="6504C3BC" w14:textId="0E152D48" w:rsidR="0045646B" w:rsidRPr="006870F8" w:rsidRDefault="00C135A6" w:rsidP="006870F8">
      <w:pPr>
        <w:pStyle w:val="Heading3"/>
      </w:pPr>
      <w:r w:rsidRPr="006870F8">
        <w:t>Hypothesis tests</w:t>
      </w:r>
      <w:r w:rsidR="00C718FD" w:rsidRPr="006870F8">
        <w:t xml:space="preserve"> for each outcome variable</w:t>
      </w:r>
    </w:p>
    <w:p w14:paraId="69160DEE" w14:textId="3800B20A" w:rsidR="00C718FD" w:rsidRPr="00F676B9" w:rsidRDefault="00C718FD" w:rsidP="00127167">
      <w:r w:rsidRPr="00F676B9">
        <w:t xml:space="preserve">The means, </w:t>
      </w:r>
      <w:r w:rsidR="00AA764A">
        <w:t>S</w:t>
      </w:r>
      <w:r w:rsidRPr="00F676B9">
        <w:t xml:space="preserve">tandard </w:t>
      </w:r>
      <w:r w:rsidR="00AA764A">
        <w:t>D</w:t>
      </w:r>
      <w:r w:rsidRPr="00F676B9">
        <w:t xml:space="preserve">eviations, and sample sizes were then used to calculate independent Welch’s </w:t>
      </w:r>
      <w:r w:rsidRPr="00F676B9">
        <w:rPr>
          <w:i/>
          <w:iCs/>
        </w:rPr>
        <w:t>t</w:t>
      </w:r>
      <w:r w:rsidRPr="00F676B9">
        <w:t>-tests. This was done by calculating the Standard Error</w:t>
      </w:r>
      <w:r w:rsidR="00BF5748">
        <w:t>s</w:t>
      </w:r>
      <w:r w:rsidRPr="00F676B9">
        <w:t xml:space="preserve"> of </w:t>
      </w:r>
      <w:r w:rsidR="00BF5748">
        <w:t xml:space="preserve">the </w:t>
      </w:r>
      <w:r w:rsidRPr="00F676B9">
        <w:t>difference</w:t>
      </w:r>
      <w:r w:rsidR="00BF5748">
        <w:t>s</w:t>
      </w:r>
      <w:r w:rsidRPr="00F676B9">
        <w:t xml:space="preserve"> in means (SE), </w:t>
      </w:r>
      <w:r w:rsidRPr="00F676B9">
        <w:rPr>
          <w:i/>
          <w:iCs/>
        </w:rPr>
        <w:t>t</w:t>
      </w:r>
      <w:r w:rsidRPr="00F676B9">
        <w:t xml:space="preserve"> value</w:t>
      </w:r>
      <w:r w:rsidR="00F13970">
        <w:t>s</w:t>
      </w:r>
      <w:r w:rsidRPr="00F676B9">
        <w:t xml:space="preserve"> (</w:t>
      </w:r>
      <w:r w:rsidRPr="00F676B9">
        <w:rPr>
          <w:i/>
          <w:iCs/>
        </w:rPr>
        <w:t>t</w:t>
      </w:r>
      <w:r w:rsidRPr="00F676B9">
        <w:t>), and degrees of freedom (</w:t>
      </w:r>
      <w:proofErr w:type="spellStart"/>
      <w:r w:rsidRPr="00F676B9">
        <w:t>df</w:t>
      </w:r>
      <w:proofErr w:type="spellEnd"/>
      <w:r w:rsidRPr="00F676B9">
        <w:t xml:space="preserve">) using the below equations. </w:t>
      </w:r>
    </w:p>
    <w:p w14:paraId="31CE245F" w14:textId="77777777" w:rsidR="00C718FD" w:rsidRPr="00F676B9" w:rsidRDefault="00C718FD" w:rsidP="00127167"/>
    <w:p w14:paraId="3AAA3195" w14:textId="3D2EAEF9" w:rsidR="00BB4AF6" w:rsidRPr="00BB4AF6" w:rsidRDefault="00000000" w:rsidP="00BB4AF6">
      <w:pPr>
        <w:pStyle w:val="eq"/>
        <w:rPr>
          <w:rFonts w:ascii="CMU Serif Roman" w:hAnsi="CMU Serif Roman"/>
          <w:i w:val="0"/>
        </w:rPr>
      </w:pPr>
      <m:oMathPara>
        <m:oMath>
          <m:eqArr>
            <m:eqArrPr>
              <m:maxDist m:val="1"/>
              <m:ctrlPr/>
            </m:eqArrPr>
            <m:e>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r>
                <m:t>#(</m:t>
              </m:r>
              <m:r>
                <m:t>3</m:t>
              </m:r>
              <m:r>
                <m:t>)</m:t>
              </m:r>
            </m:e>
          </m:eqArr>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2249CBB1" w14:textId="3FE3BE34" w:rsidR="00BB4AF6" w:rsidRPr="00BB4AF6" w:rsidRDefault="00000000" w:rsidP="00BB4AF6">
      <w:pPr>
        <w:pStyle w:val="eq"/>
        <w:rPr>
          <w:rFonts w:ascii="CMU Serif Roman" w:hAnsi="CMU Serif Roman"/>
          <w:i w:val="0"/>
        </w:rPr>
      </w:pPr>
      <m:oMathPara>
        <m:oMath>
          <m:eqArr>
            <m:eqArrPr>
              <m:maxDist m:val="1"/>
              <m:ctrlPr/>
            </m:eqArrPr>
            <m:e>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r>
                <m:t>#</m:t>
              </m:r>
              <m:d>
                <m:dPr>
                  <m:ctrlPr/>
                </m:dPr>
                <m:e>
                  <m:r>
                    <m:t>4</m:t>
                  </m:r>
                </m:e>
              </m:d>
            </m:e>
          </m:eqArr>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1363DF19" w:rsidR="00C718FD" w:rsidRPr="00BB4AF6" w:rsidRDefault="00000000" w:rsidP="008678D0">
      <w:pPr>
        <w:pStyle w:val="eq"/>
        <w:rPr>
          <w:rFonts w:ascii="CMU Serif Roman" w:hAnsi="CMU Serif Roman"/>
          <w:i w:val="0"/>
        </w:rPr>
      </w:pPr>
      <m:oMathPara>
        <m:oMath>
          <m:eqArr>
            <m:eqArrPr>
              <m:maxDist m:val="1"/>
              <m:ctrlPr/>
            </m:eqArrPr>
            <m:e>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r>
                <m:t>#</m:t>
              </m:r>
              <m:d>
                <m:dPr>
                  <m:ctrlPr/>
                </m:dPr>
                <m:e>
                  <m:r>
                    <m:t>5</m:t>
                  </m:r>
                </m:e>
              </m:d>
            </m:e>
          </m:eqArr>
        </m:oMath>
      </m:oMathPara>
    </w:p>
    <w:p w14:paraId="29E2B721" w14:textId="77777777" w:rsidR="00755B9F" w:rsidRDefault="00755B9F" w:rsidP="00755B9F">
      <w:pPr>
        <w:ind w:firstLine="0"/>
        <w:rPr>
          <w:i/>
          <w:iCs/>
        </w:rPr>
      </w:pPr>
    </w:p>
    <w:p w14:paraId="64FFBFA7" w14:textId="242300D9" w:rsidR="00B575FA" w:rsidRPr="00B575FA" w:rsidRDefault="001468CD" w:rsidP="006870F8">
      <w:pPr>
        <w:pStyle w:val="Heading3"/>
      </w:pPr>
      <w:r w:rsidRPr="001468CD">
        <w:rPr>
          <w:i/>
          <w:iCs/>
        </w:rPr>
        <w:t>p</w:t>
      </w:r>
      <w:r>
        <w:t xml:space="preserve"> values and multiple</w:t>
      </w:r>
      <w:r w:rsidR="00B575FA">
        <w:t xml:space="preserve"> testing corrections</w:t>
      </w:r>
    </w:p>
    <w:p w14:paraId="2C4B0EA8" w14:textId="505DDCB8" w:rsidR="00B575FA" w:rsidRDefault="00B575FA" w:rsidP="0069712B">
      <w: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t xml:space="preserve">Although not doing so provides a weaker test, this may still represent a legitimate choice between researchers (i.e., some may be more willing to provide a weaker test). </w:t>
      </w:r>
      <w:r w:rsidR="001468CD">
        <w:t xml:space="preserve">I therefore calculated both </w:t>
      </w:r>
      <w:r w:rsidR="001468CD" w:rsidRPr="00F676B9">
        <w:rPr>
          <w:i/>
          <w:iCs/>
        </w:rPr>
        <w:t>p</w:t>
      </w:r>
      <w:r w:rsidR="001468CD" w:rsidRPr="00F676B9">
        <w:t xml:space="preserve"> values</w:t>
      </w:r>
      <w:r w:rsidR="001468CD">
        <w:t xml:space="preserve"> (using </w:t>
      </w:r>
      <w:r w:rsidR="001468CD" w:rsidRPr="00F676B9">
        <w:rPr>
          <w:i/>
          <w:iCs/>
        </w:rPr>
        <w:t>t</w:t>
      </w:r>
      <w:r w:rsidR="001468CD" w:rsidRPr="00F676B9">
        <w:t xml:space="preserve"> and </w:t>
      </w:r>
      <w:proofErr w:type="spellStart"/>
      <w:r w:rsidR="001468CD" w:rsidRPr="00F676B9">
        <w:t>df</w:t>
      </w:r>
      <w:proofErr w:type="spellEnd"/>
      <w:r w:rsidR="001468CD">
        <w:t xml:space="preserve">) and Bonferroni-corrected </w:t>
      </w:r>
      <w:r w:rsidR="001468CD" w:rsidRPr="001468CD">
        <w:rPr>
          <w:i/>
          <w:iCs/>
        </w:rPr>
        <w:t>p</w:t>
      </w:r>
      <w:r w:rsidR="001468CD">
        <w:t xml:space="preserve"> values</w:t>
      </w:r>
      <w:r w:rsidR="001468CD" w:rsidRPr="00F676B9">
        <w:t>.</w:t>
      </w:r>
      <w:r w:rsidR="001468CD">
        <w:t xml:space="preserve"> For </w:t>
      </w:r>
      <w:r w:rsidR="00944BDD">
        <w:t>Hedges’ g effect sizes, I calculated both 95% Confidence Intervals and</w:t>
      </w:r>
      <w:r w:rsidR="001468CD" w:rsidRPr="00F676B9">
        <w:t xml:space="preserve"> </w:t>
      </w:r>
      <w:r w:rsidR="00944BDD">
        <w:t xml:space="preserve">98.33% Confidence Intervals, which correspond to the correct Bonferroni </w:t>
      </w:r>
      <w:r w:rsidR="00E03304">
        <w:t>adjustment</w:t>
      </w:r>
      <w:r w:rsidR="00944BDD">
        <w:t xml:space="preserve"> for three outcome variables (i.e., 1 – [0.05 / 3]).</w:t>
      </w:r>
      <w:r w:rsidR="000C5861">
        <w:t xml:space="preserve"> Both intervals were employed in the </w:t>
      </w:r>
      <w:r w:rsidR="00531C68">
        <w:t xml:space="preserve">multiverse analysis to assess the robustness of conclusions to this analytic choice. </w:t>
      </w:r>
    </w:p>
    <w:p w14:paraId="64C1CAAA" w14:textId="6DA18245" w:rsidR="00755B9F" w:rsidRPr="00F676B9" w:rsidRDefault="00C135A6" w:rsidP="006870F8">
      <w:pPr>
        <w:pStyle w:val="Heading3"/>
      </w:pPr>
      <w:r>
        <w:t xml:space="preserve">Hypothesis tests using a </w:t>
      </w:r>
      <w:r w:rsidR="00755B9F">
        <w:t xml:space="preserve">pooled </w:t>
      </w:r>
      <w:r>
        <w:t xml:space="preserve">outcome </w:t>
      </w:r>
      <w:r w:rsidR="00755B9F">
        <w:t>measure of distress</w:t>
      </w:r>
    </w:p>
    <w:p w14:paraId="76D03E03" w14:textId="2D51910F" w:rsidR="00755B9F" w:rsidRPr="00F676B9" w:rsidRDefault="00755B9F" w:rsidP="00073F28">
      <w:r w:rsidRPr="00F676B9">
        <w:t xml:space="preserve">As discussed previously, Foody et al. (2013) make claims in their abstract and discussion regarding the superiority of the hierarchical intervention over the distinction intervention with regard to decreasing </w:t>
      </w:r>
      <w:r>
        <w:t>“</w:t>
      </w:r>
      <w:r w:rsidRPr="00F676B9">
        <w:t>distress</w:t>
      </w:r>
      <w:r>
        <w:t>”</w:t>
      </w:r>
      <w:r w:rsidRPr="00F676B9">
        <w:t xml:space="preserve"> </w:t>
      </w:r>
      <w:r w:rsidRPr="00846674">
        <w:rPr>
          <w:i/>
          <w:iCs/>
        </w:rPr>
        <w:t>in general</w:t>
      </w:r>
      <w:r>
        <w:t xml:space="preserve"> rather than </w:t>
      </w:r>
      <w:r w:rsidR="00846674">
        <w:t xml:space="preserve">with regards to </w:t>
      </w:r>
      <w:r>
        <w:t>their three component outcome measures (discomfort, anxiety, and stress)</w:t>
      </w:r>
      <w:r w:rsidRPr="00F676B9">
        <w:t xml:space="preserve">. Whether or not it is appropriate </w:t>
      </w:r>
      <w:r w:rsidR="00FE0B78">
        <w:t xml:space="preserve">from a measurement perspective </w:t>
      </w:r>
      <w:r w:rsidRPr="00F676B9">
        <w:t>to treat these three ad hoc measures as valid measures of a latent “</w:t>
      </w:r>
      <w:r>
        <w:t>d</w:t>
      </w:r>
      <w:r w:rsidRPr="00F676B9">
        <w:t xml:space="preserve">istress” variable cannot be answered </w:t>
      </w:r>
      <w:r w:rsidR="004C345E">
        <w:t>without access to the original data (or possibly via new data collection)</w:t>
      </w:r>
      <w:r w:rsidRPr="00F676B9">
        <w:t xml:space="preserve">. </w:t>
      </w:r>
      <w:r w:rsidR="00384CF2">
        <w:t>Nonetheless</w:t>
      </w:r>
      <w:r w:rsidRPr="00F676B9">
        <w:t xml:space="preserve">, </w:t>
      </w:r>
      <w:r>
        <w:t xml:space="preserve">it is possible to calculate a single </w:t>
      </w:r>
      <w:r w:rsidR="00180886">
        <w:t xml:space="preserve">pooled outcome measure to </w:t>
      </w:r>
      <w:r>
        <w:t xml:space="preserve">test </w:t>
      </w:r>
      <w:r w:rsidR="00180886">
        <w:t>this more general claim</w:t>
      </w:r>
      <w:r>
        <w:t xml:space="preserve">. This would also serve to </w:t>
      </w:r>
      <w:r w:rsidR="00272DA6">
        <w:t xml:space="preserve">avoid any potential issues with regard to how to interpret </w:t>
      </w:r>
      <w:r>
        <w:t xml:space="preserve">a mix of significant and non-significant results </w:t>
      </w:r>
      <w:r w:rsidR="00272DA6">
        <w:t xml:space="preserve">between outcome measures, as observed in Foody et al. (2013), where significant results were found for only one of three outcome measures (“stress”) but the authors made more conclusions about “distress”. </w:t>
      </w:r>
      <w:r w:rsidR="0051211E">
        <w:t xml:space="preserve">I therefore </w:t>
      </w:r>
      <w:r>
        <w:t xml:space="preserve">I calculated pooled means for each condition by averaging them, and pooled </w:t>
      </w:r>
      <w:r w:rsidR="0051211E">
        <w:t>S</w:t>
      </w:r>
      <w:r>
        <w:t xml:space="preserve">tandard </w:t>
      </w:r>
      <w:r w:rsidR="0051211E">
        <w:t>D</w:t>
      </w:r>
      <w:r>
        <w:t xml:space="preserve">eviations </w:t>
      </w:r>
      <w:r w:rsidR="0051211E">
        <w:t xml:space="preserve">using </w:t>
      </w:r>
      <w:r>
        <w:t xml:space="preserve">the following formula. </w:t>
      </w:r>
      <w:r w:rsidR="00073F28">
        <w:t xml:space="preserve">These were used to calculate a further set of Welch’s </w:t>
      </w:r>
      <w:r w:rsidR="00073F28" w:rsidRPr="00530EEB">
        <w:rPr>
          <w:i/>
          <w:iCs/>
        </w:rPr>
        <w:t>t</w:t>
      </w:r>
      <w:r w:rsidR="00073F28">
        <w:t xml:space="preserve">-tests and effect sizes for both the original study and the replication. </w:t>
      </w:r>
    </w:p>
    <w:p w14:paraId="2DE7FDB7" w14:textId="77777777" w:rsidR="00755B9F" w:rsidRPr="00F676B9" w:rsidRDefault="00755B9F" w:rsidP="00755B9F"/>
    <w:p w14:paraId="37FD1C4A" w14:textId="36E3E2D2" w:rsidR="00755B9F" w:rsidRPr="005849CD" w:rsidRDefault="00000000" w:rsidP="00755B9F">
      <w:pPr>
        <w:pStyle w:val="eq"/>
        <w:rPr>
          <w:rFonts w:ascii="CMU Serif Roman" w:hAnsi="CMU Serif Roman"/>
          <w:i w:val="0"/>
        </w:rPr>
      </w:pPr>
      <m:oMathPara>
        <m:oMath>
          <m:eqArr>
            <m:eqArrPr>
              <m:maxDist m:val="1"/>
              <m:ctrlPr/>
            </m:eqArrPr>
            <m:e>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r>
                <m:t>#</m:t>
              </m:r>
              <m:d>
                <m:dPr>
                  <m:ctrlPr/>
                </m:dPr>
                <m:e>
                  <m:r>
                    <m:t>6</m:t>
                  </m:r>
                </m:e>
              </m:d>
            </m:e>
          </m:eqArr>
        </m:oMath>
      </m:oMathPara>
    </w:p>
    <w:p w14:paraId="04330F50" w14:textId="77777777" w:rsidR="00755B9F" w:rsidRDefault="00755B9F" w:rsidP="00755B9F">
      <w:pPr>
        <w:ind w:firstLine="0"/>
      </w:pPr>
    </w:p>
    <w:p w14:paraId="53316080" w14:textId="79B779E0" w:rsidR="00073F28" w:rsidRDefault="00D61FB0" w:rsidP="000F3C82">
      <w:r w:rsidRPr="000F3C82">
        <w:t xml:space="preserve">Note that because the pooled effect size provides a single test of the hypothesis, no Bonferroni-adjusted </w:t>
      </w:r>
      <w:r w:rsidRPr="000F3C82">
        <w:t>version of the Confidence Intervals was corrected.</w:t>
      </w:r>
      <w:r>
        <w:t xml:space="preserve"> All four outcome measures (anxiety, discomfort, stress, and the pooled outcome measure) were employed in the multiverse analysis in order to attempt to understand the robustness of conclusions to the choice of outcome measure.</w:t>
      </w:r>
    </w:p>
    <w:p w14:paraId="03B811D6" w14:textId="46E70325" w:rsidR="00C67018" w:rsidRDefault="008B61AE" w:rsidP="006870F8">
      <w:pPr>
        <w:pStyle w:val="Heading3"/>
      </w:pPr>
      <w:r w:rsidRPr="00172559">
        <w:t>Controlling</w:t>
      </w:r>
      <w:r>
        <w:t xml:space="preserve"> for baseline</w:t>
      </w:r>
    </w:p>
    <w:p w14:paraId="1268B44C" w14:textId="2FF42254" w:rsidR="00543A6E" w:rsidRDefault="008B61AE" w:rsidP="00185948">
      <w:r>
        <w:t xml:space="preserve">A common analytic decision that must be made when analysing differences between conditions after an intervention is whether or not to the control for differences at baseline </w:t>
      </w:r>
      <w:r w:rsidRPr="008B61AE">
        <w:rPr>
          <w:highlight w:val="cyan"/>
        </w:rPr>
        <w:t>(REF)</w:t>
      </w:r>
      <w:r>
        <w:t xml:space="preserve">. </w:t>
      </w:r>
      <w:r w:rsidR="00D8480D">
        <w:t>Given only access to the summary statistics and not the original data (i.e., in order to estimate the correlation between time points), it was nonetheless possible to use Morris corrections (</w:t>
      </w:r>
      <w:r w:rsidR="00D8480D" w:rsidRPr="00D8480D">
        <w:rPr>
          <w:highlight w:val="cyan"/>
        </w:rPr>
        <w:t>REF</w:t>
      </w:r>
      <w:r w:rsidR="00D8480D">
        <w:t>) to control for these differences</w:t>
      </w:r>
      <w:r w:rsidR="00543A6E">
        <w:t xml:space="preserve"> (i.e., corrected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543A6E">
        <w:t xml:space="preserve"> = Hedges’ </w:t>
      </w:r>
      <m:oMath>
        <m:sSub>
          <m:sSubPr>
            <m:ctrlPr>
              <w:rPr>
                <w:rFonts w:ascii="Cambria Math" w:hAnsi="Cambria Math"/>
                <w:i/>
                <w:iCs/>
              </w:rPr>
            </m:ctrlPr>
          </m:sSubPr>
          <m:e>
            <m:r>
              <w:rPr>
                <w:rFonts w:ascii="Cambria Math" w:hAnsi="Cambria Math"/>
              </w:rPr>
              <m:t>g</m:t>
            </m:r>
          </m:e>
          <m:sub>
            <m:r>
              <w:rPr>
                <w:rFonts w:ascii="Cambria Math" w:hAnsi="Cambria Math"/>
              </w:rPr>
              <m:t>postintervention</m:t>
            </m:r>
          </m:sub>
        </m:sSub>
      </m:oMath>
      <w:r w:rsidR="00543A6E">
        <w:rPr>
          <w:iCs/>
        </w:rPr>
        <w:t xml:space="preserve"> </w:t>
      </w:r>
      <w:r w:rsidR="00543A6E">
        <w:t xml:space="preserve">– Hedges’ </w:t>
      </w:r>
      <m:oMath>
        <m:sSub>
          <m:sSubPr>
            <m:ctrlPr>
              <w:rPr>
                <w:rFonts w:ascii="Cambria Math" w:hAnsi="Cambria Math"/>
                <w:i/>
                <w:iCs/>
              </w:rPr>
            </m:ctrlPr>
          </m:sSubPr>
          <m:e>
            <m:r>
              <w:rPr>
                <w:rFonts w:ascii="Cambria Math" w:hAnsi="Cambria Math"/>
              </w:rPr>
              <m:t>g</m:t>
            </m:r>
          </m:e>
          <m:sub>
            <m:r>
              <w:rPr>
                <w:rFonts w:ascii="Cambria Math" w:hAnsi="Cambria Math"/>
              </w:rPr>
              <m:t>baseline</m:t>
            </m:r>
          </m:sub>
        </m:sSub>
      </m:oMath>
      <w:r w:rsidR="00543A6E">
        <w:t>).</w:t>
      </w:r>
      <w:r w:rsidR="009D25E6">
        <w:t xml:space="preserve"> </w:t>
      </w:r>
      <w:r w:rsidR="00185948">
        <w:t xml:space="preserve">Both </w:t>
      </w:r>
      <w:r w:rsidR="009D25E6">
        <w:t xml:space="preserve">Hedges </w:t>
      </w:r>
      <w:r w:rsidR="009D25E6" w:rsidRPr="00185948">
        <w:rPr>
          <w:i/>
          <w:iCs/>
        </w:rPr>
        <w:t>g</w:t>
      </w:r>
      <w:r w:rsidR="009D25E6">
        <w:t xml:space="preserve"> (not correcting for baseline scores) and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9D25E6">
        <w:rPr>
          <w:iCs/>
        </w:rPr>
        <w:t xml:space="preserve"> </w:t>
      </w:r>
      <w:r w:rsidR="00185948">
        <w:rPr>
          <w:iCs/>
        </w:rPr>
        <w:t>(corrected for baseline scores) were entered into the multiverse analysis in order to assess the robustness of conclusions to this analytic choice</w:t>
      </w:r>
      <w:r w:rsidR="009D25E6">
        <w:rPr>
          <w:iCs/>
        </w:rPr>
        <w:t>.</w:t>
      </w:r>
    </w:p>
    <w:p w14:paraId="16FA02A3" w14:textId="20441C3D" w:rsidR="00543A6E" w:rsidRDefault="00543A6E" w:rsidP="00543A6E">
      <w:pPr>
        <w:pStyle w:val="Heading2"/>
      </w:pPr>
      <w:r>
        <w:t xml:space="preserve">Results </w:t>
      </w:r>
    </w:p>
    <w:p w14:paraId="165FC862" w14:textId="258C4673" w:rsidR="00A02F78" w:rsidRDefault="00A02F78" w:rsidP="00BB4FD0">
      <w:r>
        <w:t xml:space="preserve">Multiverse analyses involve calculating a metric under all permutations of analytic choices using data from a given underlying dataset. In this case, the outcome metric was Hedges </w:t>
      </w:r>
      <w:r w:rsidRPr="00A02F78">
        <w:rPr>
          <w:i/>
          <w:iCs/>
        </w:rPr>
        <w:t>g</w:t>
      </w:r>
      <w:r>
        <w:t xml:space="preserve"> (including its variation controlling for baseline scores), and the analytic choices were 1) the outcome measure (anxiety, discomfort, stress, and pooled), 2) whether baseline scores were controlled for or not, and 3) </w:t>
      </w:r>
      <w:r w:rsidR="002A4A55">
        <w:t>whether corrections for familywise error rate were used to choose the width of the Confidence Interval (95% vs. 98.</w:t>
      </w:r>
      <w:r w:rsidR="00DF16D8">
        <w:t>33</w:t>
      </w:r>
      <w:r w:rsidR="002A4A55">
        <w:t xml:space="preserve">%, corresponding to a Bonferroni correction for the three correlated outcomes). </w:t>
      </w:r>
    </w:p>
    <w:p w14:paraId="1B336420" w14:textId="59A9671E" w:rsidR="002D5635" w:rsidRPr="00550658" w:rsidRDefault="009D780A" w:rsidP="00550658">
      <w:r>
        <w:t xml:space="preserve">Figure </w:t>
      </w:r>
      <w:r w:rsidR="004B23DB">
        <w:t>2</w:t>
      </w:r>
      <w:r>
        <w:t xml:space="preserve"> presents the results of the first multiverse analysis for the </w:t>
      </w:r>
      <w:r w:rsidR="00602583">
        <w:t xml:space="preserve">data extracted from </w:t>
      </w:r>
      <w:r>
        <w:t xml:space="preserve">original study by Foody et al. (2013). The upper panel presents the distribution of Hedges </w:t>
      </w:r>
      <w:r w:rsidRPr="009D780A">
        <w:rPr>
          <w:i/>
          <w:iCs/>
        </w:rPr>
        <w:t>g</w:t>
      </w:r>
      <w:r>
        <w:t xml:space="preserve"> effect sizes arranged from lowest to highest values. The lower panel presents the analytic choices that gave rise to each effect size (i.e., the one presented directly above it). </w:t>
      </w:r>
      <w:r w:rsidR="00602583">
        <w:t xml:space="preserve">Figure </w:t>
      </w:r>
      <w:r w:rsidR="004B23DB">
        <w:t>3</w:t>
      </w:r>
      <w:r w:rsidR="00602583">
        <w:t xml:space="preserve"> presents the results of the same multiverse analysis applied to data extracted from the replication study by Foody et al. (2015). As can be seen from the figures, specifically the failure of all Confidence Intervals to exclude the zero point, n</w:t>
      </w:r>
      <w:r w:rsidR="00543A6E" w:rsidRPr="00F676B9">
        <w:t xml:space="preserve">o significant differences </w:t>
      </w:r>
      <w:r w:rsidR="00602583">
        <w:t xml:space="preserve">were found </w:t>
      </w:r>
      <w:r w:rsidR="00543A6E" w:rsidRPr="00F676B9">
        <w:t xml:space="preserve">between the </w:t>
      </w:r>
      <w:r w:rsidR="00BB4FD0">
        <w:t xml:space="preserve">distinction and hierarchy conditions at the post-intervention time point under any </w:t>
      </w:r>
      <w:r w:rsidR="00602583">
        <w:t xml:space="preserve">set of </w:t>
      </w:r>
      <w:r w:rsidR="00BB4FD0">
        <w:t xml:space="preserve">analytic </w:t>
      </w:r>
      <w:r w:rsidR="00602583">
        <w:t xml:space="preserve">choice </w:t>
      </w:r>
      <w:r w:rsidR="00BB4FD0">
        <w:t>in either the original study or the replication.</w:t>
      </w:r>
      <w:r w:rsidR="00602583">
        <w:t xml:space="preserve"> That is, </w:t>
      </w:r>
      <w:r w:rsidR="00457C90">
        <w:t xml:space="preserve">the results very robustly fail to support the </w:t>
      </w:r>
      <w:r w:rsidR="002667B1">
        <w:t xml:space="preserve">original conclusion that </w:t>
      </w:r>
      <w:r w:rsidR="002667B1" w:rsidRPr="00F6325A">
        <w:rPr>
          <w:i/>
          <w:iCs/>
        </w:rPr>
        <w:t>“</w:t>
      </w:r>
      <w:r w:rsidR="002667B1">
        <w:rPr>
          <w:i/>
          <w:iCs/>
        </w:rPr>
        <w:t xml:space="preserve">The </w:t>
      </w:r>
      <w:r w:rsidR="002667B1" w:rsidRPr="00F6325A">
        <w:rPr>
          <w:i/>
          <w:iCs/>
        </w:rPr>
        <w:t>findings demonstrated superiority of the intervention that focused on hierarchical, rather than distinction, deictic relations in terms of reducing distress.”</w:t>
      </w:r>
      <w:r w:rsidR="002667B1" w:rsidRPr="00F676B9">
        <w:t xml:space="preserve"> (p. 373</w:t>
      </w:r>
      <w:r w:rsidR="002667B1" w:rsidRPr="00F6325A">
        <w:rPr>
          <w:i/>
          <w:iCs/>
        </w:rPr>
        <w:t>)</w:t>
      </w:r>
      <w:r w:rsidR="00457C90">
        <w:t xml:space="preserve">. This result is in strong contrast with the conclusions of Foody et al. (2013). </w:t>
      </w:r>
    </w:p>
    <w:p w14:paraId="30852511" w14:textId="77777777" w:rsidR="005F5196" w:rsidRDefault="005F5196">
      <w:pPr>
        <w:ind w:firstLine="0"/>
        <w:jc w:val="left"/>
        <w:rPr>
          <w:b/>
          <w:bCs/>
        </w:rPr>
        <w:sectPr w:rsidR="005F5196" w:rsidSect="005F5196">
          <w:type w:val="continuous"/>
          <w:pgSz w:w="11900" w:h="16840"/>
          <w:pgMar w:top="1440" w:right="1440" w:bottom="1440" w:left="1440" w:header="708" w:footer="708" w:gutter="0"/>
          <w:cols w:num="2" w:space="366"/>
          <w:docGrid w:linePitch="360"/>
        </w:sectPr>
      </w:pPr>
    </w:p>
    <w:p w14:paraId="2C126004" w14:textId="77777777" w:rsidR="00032214" w:rsidRDefault="00032214">
      <w:pPr>
        <w:ind w:firstLine="0"/>
        <w:jc w:val="left"/>
        <w:rPr>
          <w:b/>
          <w:bCs/>
        </w:rPr>
      </w:pPr>
      <w:r>
        <w:rPr>
          <w:b/>
          <w:bCs/>
        </w:rPr>
        <w:br w:type="page"/>
      </w:r>
    </w:p>
    <w:p w14:paraId="31056718" w14:textId="387845A7" w:rsidR="002D5635" w:rsidRPr="002D5635" w:rsidRDefault="002D5635" w:rsidP="00D85DFE">
      <w:pPr>
        <w:pStyle w:val="figureandtabletitle"/>
      </w:pPr>
      <w:r w:rsidRPr="00D85DFE">
        <w:rPr>
          <w:b/>
          <w:bCs/>
        </w:rPr>
        <w:lastRenderedPageBreak/>
        <w:t xml:space="preserve">Figure </w:t>
      </w:r>
      <w:r w:rsidR="009435E0">
        <w:rPr>
          <w:b/>
          <w:bCs/>
        </w:rPr>
        <w:t>2</w:t>
      </w:r>
      <w:r w:rsidRPr="00D85DFE">
        <w:rPr>
          <w:b/>
          <w:bCs/>
        </w:rPr>
        <w:t>.</w:t>
      </w:r>
      <w:r w:rsidRPr="002D5635">
        <w:t xml:space="preserve"> Multiverse plot for </w:t>
      </w:r>
      <w:r>
        <w:t xml:space="preserve">the </w:t>
      </w:r>
      <w:r w:rsidRPr="002D5635">
        <w:t>original study</w:t>
      </w:r>
      <w:r w:rsidR="00F42C1D">
        <w:t xml:space="preserve"> (Foody et al., 2013)</w:t>
      </w:r>
      <w:r w:rsidR="009C1217">
        <w:t>.</w:t>
      </w:r>
    </w:p>
    <w:p w14:paraId="5D743F36" w14:textId="634D813D" w:rsidR="002D5635" w:rsidRDefault="00D85DFE" w:rsidP="00D85DFE">
      <w:pPr>
        <w:ind w:firstLine="0"/>
        <w:jc w:val="center"/>
      </w:pPr>
      <w:r>
        <w:rPr>
          <w:noProof/>
        </w:rPr>
        <w:drawing>
          <wp:inline distT="0" distB="0" distL="0" distR="0" wp14:anchorId="2F63EB56" wp14:editId="52109D46">
            <wp:extent cx="3397348" cy="3019864"/>
            <wp:effectExtent l="0" t="0" r="0" b="3175"/>
            <wp:docPr id="7248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34140" name="Picture 724834140"/>
                    <pic:cNvPicPr/>
                  </pic:nvPicPr>
                  <pic:blipFill>
                    <a:blip r:embed="rId14"/>
                    <a:stretch>
                      <a:fillRect/>
                    </a:stretch>
                  </pic:blipFill>
                  <pic:spPr>
                    <a:xfrm>
                      <a:off x="0" y="0"/>
                      <a:ext cx="3422958" cy="3042628"/>
                    </a:xfrm>
                    <a:prstGeom prst="rect">
                      <a:avLst/>
                    </a:prstGeom>
                  </pic:spPr>
                </pic:pic>
              </a:graphicData>
            </a:graphic>
          </wp:inline>
        </w:drawing>
      </w:r>
    </w:p>
    <w:p w14:paraId="53B37DC2" w14:textId="77777777" w:rsidR="002D5635" w:rsidRDefault="002D5635" w:rsidP="002D5635">
      <w:pPr>
        <w:ind w:firstLine="0"/>
      </w:pPr>
    </w:p>
    <w:p w14:paraId="32803FDB" w14:textId="34DACA61" w:rsidR="002D5635" w:rsidRPr="002D5635" w:rsidRDefault="002D5635" w:rsidP="00D85DFE">
      <w:pPr>
        <w:pStyle w:val="figureandtabletitle"/>
      </w:pPr>
      <w:r w:rsidRPr="00D85DFE">
        <w:rPr>
          <w:b/>
          <w:bCs/>
        </w:rPr>
        <w:t xml:space="preserve">Figure </w:t>
      </w:r>
      <w:r w:rsidR="009435E0">
        <w:rPr>
          <w:b/>
          <w:bCs/>
        </w:rPr>
        <w:t>3</w:t>
      </w:r>
      <w:r w:rsidRPr="00D85DFE">
        <w:rPr>
          <w:b/>
          <w:bCs/>
        </w:rPr>
        <w:t>.</w:t>
      </w:r>
      <w:r w:rsidRPr="002D5635">
        <w:t xml:space="preserve"> Multiverse plot for </w:t>
      </w:r>
      <w:r>
        <w:t xml:space="preserve">the </w:t>
      </w:r>
      <w:r w:rsidRPr="002D5635">
        <w:t>replication study</w:t>
      </w:r>
      <w:r w:rsidR="00F42C1D">
        <w:t xml:space="preserve"> (Foody et al., 2015).</w:t>
      </w:r>
    </w:p>
    <w:p w14:paraId="6FFAB9C1" w14:textId="0C855FC1" w:rsidR="002D5635" w:rsidRDefault="00D85DFE" w:rsidP="00D85DFE">
      <w:pPr>
        <w:ind w:firstLine="0"/>
        <w:jc w:val="center"/>
      </w:pPr>
      <w:r>
        <w:rPr>
          <w:noProof/>
        </w:rPr>
        <w:drawing>
          <wp:inline distT="0" distB="0" distL="0" distR="0" wp14:anchorId="73B7176C" wp14:editId="16FC552C">
            <wp:extent cx="3402623" cy="3024554"/>
            <wp:effectExtent l="0" t="0" r="1270" b="0"/>
            <wp:docPr id="961097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97080" name="Picture 961097080"/>
                    <pic:cNvPicPr/>
                  </pic:nvPicPr>
                  <pic:blipFill>
                    <a:blip r:embed="rId15"/>
                    <a:stretch>
                      <a:fillRect/>
                    </a:stretch>
                  </pic:blipFill>
                  <pic:spPr>
                    <a:xfrm>
                      <a:off x="0" y="0"/>
                      <a:ext cx="3422327" cy="3042068"/>
                    </a:xfrm>
                    <a:prstGeom prst="rect">
                      <a:avLst/>
                    </a:prstGeom>
                  </pic:spPr>
                </pic:pic>
              </a:graphicData>
            </a:graphic>
          </wp:inline>
        </w:drawing>
      </w:r>
    </w:p>
    <w:p w14:paraId="4027EE09" w14:textId="77777777" w:rsidR="002D5635" w:rsidRDefault="002D5635" w:rsidP="00F956EA"/>
    <w:p w14:paraId="786C0AAC" w14:textId="63E256DA" w:rsidR="008C3953" w:rsidRPr="00493310" w:rsidRDefault="008C3953" w:rsidP="005979D4">
      <w:pPr>
        <w:rPr>
          <w:highlight w:val="cyan"/>
        </w:rPr>
      </w:pPr>
    </w:p>
    <w:p w14:paraId="487BCAE6" w14:textId="5023BF3B" w:rsidR="004204B2" w:rsidRDefault="004204B2" w:rsidP="004D25F4">
      <w:pPr>
        <w:ind w:firstLine="0"/>
      </w:pPr>
    </w:p>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6B913DFC" w14:textId="422F1B79" w:rsidR="006F3B2D" w:rsidRPr="0060421B" w:rsidRDefault="006F3B2D" w:rsidP="006F3B2D">
      <w:pPr>
        <w:ind w:firstLine="0"/>
        <w:rPr>
          <w:b/>
          <w:bCs/>
        </w:rPr>
      </w:pPr>
      <w:r w:rsidRPr="0060421B">
        <w:rPr>
          <w:b/>
          <w:bCs/>
        </w:rPr>
        <w:lastRenderedPageBreak/>
        <w:t xml:space="preserve">Figure </w:t>
      </w:r>
      <w:r w:rsidR="009435E0">
        <w:rPr>
          <w:b/>
          <w:bCs/>
        </w:rPr>
        <w:t>4</w:t>
      </w:r>
      <w:r w:rsidRPr="0060421B">
        <w:rPr>
          <w:b/>
          <w:bCs/>
        </w:rPr>
        <w:t xml:space="preserve">. </w:t>
      </w:r>
      <w:r w:rsidRPr="000C712C">
        <w:t>Flow chart for the interpretation of results from Foody et al. (2013) and Foody et al. (2015)</w:t>
      </w:r>
    </w:p>
    <w:p w14:paraId="3E03CCC2" w14:textId="77777777" w:rsidR="006F3B2D" w:rsidRDefault="006F3B2D" w:rsidP="006F3B2D">
      <w:pPr>
        <w:ind w:firstLine="0"/>
        <w:jc w:val="center"/>
      </w:pPr>
    </w:p>
    <w:p w14:paraId="32D30193" w14:textId="77777777" w:rsidR="006F3B2D" w:rsidRPr="00F676B9" w:rsidRDefault="006F3B2D" w:rsidP="006F3B2D">
      <w:pPr>
        <w:ind w:firstLine="0"/>
        <w:jc w:val="center"/>
      </w:pPr>
      <w:r>
        <w:rPr>
          <w:noProof/>
        </w:rPr>
        <w:drawing>
          <wp:inline distT="0" distB="0" distL="0" distR="0" wp14:anchorId="0F57A751" wp14:editId="20A4A242">
            <wp:extent cx="3968885" cy="4639019"/>
            <wp:effectExtent l="0" t="0" r="0" b="0"/>
            <wp:docPr id="959252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52588" name="Picture 1" descr="A diagram of a flow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9561" cy="4674875"/>
                    </a:xfrm>
                    <a:prstGeom prst="rect">
                      <a:avLst/>
                    </a:prstGeom>
                  </pic:spPr>
                </pic:pic>
              </a:graphicData>
            </a:graphic>
          </wp:inline>
        </w:drawing>
      </w:r>
    </w:p>
    <w:p w14:paraId="63F028BC" w14:textId="77777777" w:rsidR="006F3B2D" w:rsidRDefault="006F3B2D" w:rsidP="006F3B2D">
      <w:pPr>
        <w:pStyle w:val="figureandtabletitle"/>
      </w:pPr>
    </w:p>
    <w:p w14:paraId="3BA82FF9" w14:textId="77777777" w:rsidR="001353FE" w:rsidRDefault="001353FE" w:rsidP="001B1984">
      <w:pPr>
        <w:pStyle w:val="Heading1"/>
        <w:sectPr w:rsidR="001353FE" w:rsidSect="005F5196">
          <w:type w:val="continuous"/>
          <w:pgSz w:w="11900" w:h="16840"/>
          <w:pgMar w:top="1440" w:right="1440" w:bottom="1440" w:left="1440" w:header="708" w:footer="708" w:gutter="0"/>
          <w:cols w:space="708"/>
          <w:docGrid w:linePitch="360"/>
        </w:sectPr>
      </w:pPr>
    </w:p>
    <w:p w14:paraId="679A1431" w14:textId="12871F6D" w:rsidR="00ED5BB1" w:rsidRPr="00F676B9" w:rsidRDefault="00F83A48" w:rsidP="001B1984">
      <w:pPr>
        <w:pStyle w:val="Heading1"/>
      </w:pPr>
      <w:r w:rsidRPr="00F676B9">
        <w:t>Discussion</w:t>
      </w:r>
    </w:p>
    <w:p w14:paraId="60D6E76D" w14:textId="5626B307" w:rsidR="00E53DAE" w:rsidRDefault="006F3B2D" w:rsidP="00EE15FE">
      <w:commentRangeStart w:id="1"/>
      <w:r>
        <w:t xml:space="preserve">The </w:t>
      </w:r>
      <w:r w:rsidR="002C2349">
        <w:t xml:space="preserve">combined </w:t>
      </w:r>
      <w:r>
        <w:t xml:space="preserve">results of the </w:t>
      </w:r>
      <w:r w:rsidR="002C2349">
        <w:t xml:space="preserve">critiques and </w:t>
      </w:r>
      <w:r>
        <w:t>reanalys</w:t>
      </w:r>
      <w:r w:rsidR="002C2349">
        <w:t xml:space="preserve">es </w:t>
      </w:r>
      <w:r>
        <w:t xml:space="preserve">are presented </w:t>
      </w:r>
      <w:r w:rsidR="009435E0">
        <w:t xml:space="preserve">as a decision chart </w:t>
      </w:r>
      <w:r>
        <w:t xml:space="preserve">in Figure </w:t>
      </w:r>
      <w:r w:rsidR="009435E0">
        <w:t>4</w:t>
      </w:r>
      <w:r>
        <w:t xml:space="preserve">. Starting from the top left, the reader can make one analytic decision at a time: starting with whether the results of Foody et al.’s (2013) RM-ANOVAs should simply be accepted on face value; if not, followed by whether merely correcting their results for multiple testing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choices other than accepting Foody et al.’s (2013) RM-ANOVA results provide null results for all tests in both studies. Even for that exception, support for the hypothesis is limited to one out of three outcome measures, undermining Foody et al.’s (2013) general claim. This is remarkable given the way that the results of Foody et al. (2013) are referred to in other work – i.e., as evidence for the utility of RFT to ACT, and support for the ACT model of psychotherapy. </w:t>
      </w:r>
    </w:p>
    <w:p w14:paraId="52561C8D" w14:textId="7DCFEC18" w:rsidR="00BB52F9" w:rsidRDefault="00E53DAE" w:rsidP="00EE15FE">
      <w:r>
        <w:t>The literature is (currently) rendering it as truth that hierarchy is superior to distinction, and that therefore ACT’s model of self-as-context is true due in part to Foody et al. 2013, and that therefore ACT benefits from its close links to basic RFT research. Close</w:t>
      </w:r>
      <w:r w:rsidR="0001416E">
        <w:t>r</w:t>
      </w:r>
      <w:r>
        <w:t xml:space="preserve"> </w:t>
      </w:r>
      <w:r w:rsidR="0001416E">
        <w:t>re</w:t>
      </w:r>
      <w:r>
        <w:t xml:space="preserve">inspection </w:t>
      </w:r>
      <w:r w:rsidR="0001416E">
        <w:t>suggests</w:t>
      </w:r>
      <w:r>
        <w:t xml:space="preserve"> that the first link in this evidential chain is not the case, which should therefore undermine all subsequent links in the belief chain. However, correcting these erroneous beliefs in clinicians and scientists will </w:t>
      </w:r>
      <w:r w:rsidR="00540982">
        <w:t xml:space="preserve">likely </w:t>
      </w:r>
      <w:r>
        <w:t>be far from trivial.</w:t>
      </w:r>
    </w:p>
    <w:p w14:paraId="2052C712" w14:textId="191C41B1" w:rsidR="00BB52F9" w:rsidRDefault="00BB52F9" w:rsidP="00BB52F9">
      <w:pPr>
        <w:pStyle w:val="Heading2"/>
      </w:pPr>
      <w:r>
        <w:t xml:space="preserve">Not an isolated case </w:t>
      </w:r>
    </w:p>
    <w:p w14:paraId="0BA0E2D3" w14:textId="215339C8" w:rsidR="00B5354F" w:rsidRDefault="00B5354F" w:rsidP="0072341B">
      <w:r>
        <w:t xml:space="preserve">The collective rendering by the CBS community of Foody et al. (2013)’s null findings into an incorrect but widely believed scientific truth should give us pause for thought. Some may be quick to suggest that this is a </w:t>
      </w:r>
      <w:r>
        <w:t xml:space="preserve">single unfortunate </w:t>
      </w:r>
      <w:r>
        <w:t xml:space="preserve">example.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6D234D33" w14:textId="3E8C26B8" w:rsidR="009C1E0E" w:rsidRPr="00F676B9" w:rsidRDefault="009C1E0E" w:rsidP="00983E57">
      <w:r>
        <w:lastRenderedPageBreak/>
        <w:t>Worryingly, o</w:t>
      </w:r>
      <w:r w:rsidRPr="00F676B9">
        <w:t xml:space="preserve">ther work attempting to tie RFT principles to ACT practices, such as the use of metaphor in therapy, have also been presented </w:t>
      </w:r>
      <w:r w:rsidRPr="00F676B9">
        <w:fldChar w:fldCharType="begin"/>
      </w:r>
      <w: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commentRangeEnd w:id="1"/>
      <w:r w:rsidR="00EE15FE">
        <w:rPr>
          <w:rStyle w:val="CommentReference"/>
        </w:rPr>
        <w:commentReference w:id="1"/>
      </w:r>
    </w:p>
    <w:p w14:paraId="2EF15E71" w14:textId="58FF38F5" w:rsidR="00F572DD" w:rsidRDefault="00F572DD" w:rsidP="005E6D03">
      <w:pPr>
        <w:pStyle w:val="Heading1"/>
      </w:pPr>
      <w:r>
        <w:t>References</w:t>
      </w:r>
    </w:p>
    <w:p w14:paraId="6CD28013" w14:textId="77777777" w:rsidR="006532B4" w:rsidRPr="006532B4" w:rsidRDefault="00F572DD" w:rsidP="006532B4">
      <w:pPr>
        <w:pStyle w:val="Bibliography"/>
      </w:pPr>
      <w:r>
        <w:fldChar w:fldCharType="begin"/>
      </w:r>
      <w:r>
        <w:instrText xml:space="preserve"> ADDIN ZOTERO_BIBL {"uncited":[],"omitted":[],"custom":[]} CSL_BIBLIOGRAPHY </w:instrText>
      </w:r>
      <w:r>
        <w:fldChar w:fldCharType="separate"/>
      </w:r>
      <w:r w:rsidR="006532B4" w:rsidRPr="006532B4">
        <w:t xml:space="preserve">Barnes-Holmes, Y., Hussey, I., </w:t>
      </w:r>
      <w:proofErr w:type="spellStart"/>
      <w:r w:rsidR="006532B4" w:rsidRPr="006532B4">
        <w:t>McEnteggart</w:t>
      </w:r>
      <w:proofErr w:type="spellEnd"/>
      <w:r w:rsidR="006532B4" w:rsidRPr="006532B4">
        <w:t xml:space="preserve">, C., Barnes-Holmes, D., &amp; Foody, M. (2015). Scientific ambition: The relationship between Relational Frame Theory and middle-level terms in acceptance and commitment therapy. In R. D. </w:t>
      </w:r>
      <w:proofErr w:type="spellStart"/>
      <w:r w:rsidR="006532B4" w:rsidRPr="006532B4">
        <w:t>Zettle</w:t>
      </w:r>
      <w:proofErr w:type="spellEnd"/>
      <w:r w:rsidR="006532B4" w:rsidRPr="006532B4">
        <w:t xml:space="preserve">, S. C. Hayes, D. Barnes-Holmes, &amp; A. </w:t>
      </w:r>
      <w:proofErr w:type="spellStart"/>
      <w:r w:rsidR="006532B4" w:rsidRPr="006532B4">
        <w:t>Biglan</w:t>
      </w:r>
      <w:proofErr w:type="spellEnd"/>
      <w:r w:rsidR="006532B4" w:rsidRPr="006532B4">
        <w:t xml:space="preserve"> (Eds.), </w:t>
      </w:r>
      <w:r w:rsidR="006532B4" w:rsidRPr="006532B4">
        <w:rPr>
          <w:i/>
          <w:iCs/>
        </w:rPr>
        <w:t xml:space="preserve">The Wiley Handbook of Contextual </w:t>
      </w:r>
      <w:proofErr w:type="spellStart"/>
      <w:r w:rsidR="006532B4" w:rsidRPr="006532B4">
        <w:rPr>
          <w:i/>
          <w:iCs/>
        </w:rPr>
        <w:t>Behavioral</w:t>
      </w:r>
      <w:proofErr w:type="spellEnd"/>
      <w:r w:rsidR="006532B4" w:rsidRPr="006532B4">
        <w:rPr>
          <w:i/>
          <w:iCs/>
        </w:rPr>
        <w:t xml:space="preserve"> Science</w:t>
      </w:r>
      <w:r w:rsidR="006532B4" w:rsidRPr="006532B4">
        <w:t xml:space="preserve"> (pp. 365–382). Blackwell-Wiley. http://onlinelibrary.wiley.com/doi/10.1002/9781118489857.ch18/</w:t>
      </w:r>
    </w:p>
    <w:p w14:paraId="628858F4" w14:textId="77777777" w:rsidR="006532B4" w:rsidRPr="006532B4" w:rsidRDefault="006532B4" w:rsidP="006532B4">
      <w:pPr>
        <w:pStyle w:val="Bibliography"/>
      </w:pPr>
      <w:r w:rsidRPr="006532B4">
        <w:t xml:space="preserve">Dixon, M. R., &amp; Hayes, S. C. (2022). On the Disruptive Effects of </w:t>
      </w:r>
      <w:proofErr w:type="spellStart"/>
      <w:r w:rsidRPr="006532B4">
        <w:t>Behavior</w:t>
      </w:r>
      <w:proofErr w:type="spellEnd"/>
      <w:r w:rsidRPr="006532B4">
        <w:t xml:space="preserve"> Analysis on </w:t>
      </w:r>
      <w:proofErr w:type="spellStart"/>
      <w:r w:rsidRPr="006532B4">
        <w:t>Behavior</w:t>
      </w:r>
      <w:proofErr w:type="spellEnd"/>
      <w:r w:rsidRPr="006532B4">
        <w:t xml:space="preserve"> Analysis: The High Cost of Keeping Out Acceptance and Commitment Therapy and Training. </w:t>
      </w:r>
      <w:proofErr w:type="spellStart"/>
      <w:r w:rsidRPr="006532B4">
        <w:rPr>
          <w:i/>
          <w:iCs/>
        </w:rPr>
        <w:t>Behavior</w:t>
      </w:r>
      <w:proofErr w:type="spellEnd"/>
      <w:r w:rsidRPr="006532B4">
        <w:rPr>
          <w:i/>
          <w:iCs/>
        </w:rPr>
        <w:t xml:space="preserve"> Analysis in Practice</w:t>
      </w:r>
      <w:r w:rsidRPr="006532B4">
        <w:t>, 1–7. https://doi.org/10.1007/s40617-022-00742-4</w:t>
      </w:r>
    </w:p>
    <w:p w14:paraId="23C972D1" w14:textId="77777777" w:rsidR="006532B4" w:rsidRPr="006532B4" w:rsidRDefault="006532B4" w:rsidP="006532B4">
      <w:pPr>
        <w:pStyle w:val="Bibliography"/>
      </w:pPr>
      <w:r w:rsidRPr="006532B4">
        <w:t xml:space="preserve">Foody, M. (2013). </w:t>
      </w:r>
      <w:r w:rsidRPr="006532B4">
        <w:rPr>
          <w:i/>
          <w:iCs/>
        </w:rPr>
        <w:t>An Empirical Investigation of Self: Bridging the Gap between ACT, Mindfulness and RFT</w:t>
      </w:r>
      <w:r w:rsidRPr="006532B4">
        <w:t xml:space="preserve"> [National University of Ireland Maynooth]. http://eprints.maynoothuniversity.ie/4777/</w:t>
      </w:r>
    </w:p>
    <w:p w14:paraId="02467E2B" w14:textId="77777777" w:rsidR="006532B4" w:rsidRPr="006532B4" w:rsidRDefault="006532B4" w:rsidP="006532B4">
      <w:pPr>
        <w:pStyle w:val="Bibliography"/>
      </w:pPr>
      <w:r w:rsidRPr="006532B4">
        <w:t xml:space="preserve">Foody, M., Barnes-Holmes, Y., Barnes-Holmes, D., &amp; Luciano, C. (2013). An Empirical Investigation of Hierarchical versus Distinction Relations in a Self-based ACT Exercise. </w:t>
      </w:r>
      <w:r w:rsidRPr="006532B4">
        <w:rPr>
          <w:i/>
          <w:iCs/>
        </w:rPr>
        <w:t>International Journal of Psychology</w:t>
      </w:r>
      <w:r w:rsidRPr="006532B4">
        <w:t>.</w:t>
      </w:r>
    </w:p>
    <w:p w14:paraId="6562DA9C" w14:textId="77777777" w:rsidR="006532B4" w:rsidRPr="006532B4" w:rsidRDefault="006532B4" w:rsidP="006532B4">
      <w:pPr>
        <w:pStyle w:val="Bibliography"/>
      </w:pPr>
      <w:r w:rsidRPr="006532B4">
        <w:t xml:space="preserve">Foody, M., Barnes-Holmes, Y., Barnes-Holmes, D., Rai, L., &amp; Luciano, C. (2015). An Empirical Investigation of the Role of Self, Hierarchy, and Distinction in a Common Act Exercise. </w:t>
      </w:r>
      <w:r w:rsidRPr="006532B4">
        <w:rPr>
          <w:i/>
          <w:iCs/>
        </w:rPr>
        <w:t>The Psychological Record</w:t>
      </w:r>
      <w:r w:rsidRPr="006532B4">
        <w:t xml:space="preserve">, </w:t>
      </w:r>
      <w:r w:rsidRPr="006532B4">
        <w:rPr>
          <w:i/>
          <w:iCs/>
        </w:rPr>
        <w:t>65</w:t>
      </w:r>
      <w:r w:rsidRPr="006532B4">
        <w:t>(2), Article 2. https://doi.org/10.1007/s40732-014-0103-2</w:t>
      </w:r>
    </w:p>
    <w:p w14:paraId="1C698C36" w14:textId="77777777" w:rsidR="006532B4" w:rsidRPr="006532B4" w:rsidRDefault="006532B4" w:rsidP="006532B4">
      <w:pPr>
        <w:pStyle w:val="Bibliography"/>
      </w:pPr>
      <w:r w:rsidRPr="006532B4">
        <w:t xml:space="preserve">Gelman, A. (2016, September 21). What has happened down here is the winds have changed. </w:t>
      </w:r>
      <w:r w:rsidRPr="006532B4">
        <w:rPr>
          <w:i/>
          <w:iCs/>
        </w:rPr>
        <w:t xml:space="preserve">Statistical </w:t>
      </w:r>
      <w:proofErr w:type="spellStart"/>
      <w:r w:rsidRPr="006532B4">
        <w:rPr>
          <w:i/>
          <w:iCs/>
        </w:rPr>
        <w:t>Modeling</w:t>
      </w:r>
      <w:proofErr w:type="spellEnd"/>
      <w:r w:rsidRPr="006532B4">
        <w:rPr>
          <w:i/>
          <w:iCs/>
        </w:rPr>
        <w:t>, Causal Inference, and Social Science</w:t>
      </w:r>
      <w:r w:rsidRPr="006532B4">
        <w:t>. http://andrewgelman.com/2016/09/21/what-has-happened-down-here-is-the-winds-have-changed/</w:t>
      </w:r>
    </w:p>
    <w:p w14:paraId="1834AF90" w14:textId="77777777" w:rsidR="006532B4" w:rsidRPr="006532B4" w:rsidRDefault="006532B4" w:rsidP="006532B4">
      <w:pPr>
        <w:pStyle w:val="Bibliography"/>
      </w:pPr>
      <w:proofErr w:type="spellStart"/>
      <w:r w:rsidRPr="006532B4">
        <w:t>Godbee</w:t>
      </w:r>
      <w:proofErr w:type="spellEnd"/>
      <w:r w:rsidRPr="006532B4">
        <w:t xml:space="preserve">, M., &amp; Kangas, M. (2022). Focusing on the self in context as an emotion regulatory strategy: An evaluation of the “self-as-context” component of ACT compared to cognitive reappraisal in managing stress. </w:t>
      </w:r>
      <w:r w:rsidRPr="006532B4">
        <w:rPr>
          <w:i/>
          <w:iCs/>
        </w:rPr>
        <w:t>Anxiety, Stress, &amp; Coping</w:t>
      </w:r>
      <w:r w:rsidRPr="006532B4">
        <w:t xml:space="preserve">, </w:t>
      </w:r>
      <w:r w:rsidRPr="006532B4">
        <w:rPr>
          <w:i/>
          <w:iCs/>
        </w:rPr>
        <w:t>35</w:t>
      </w:r>
      <w:r w:rsidRPr="006532B4">
        <w:t>(5), 557–573. https://doi.org/10.1080/10615806.2021.1985472</w:t>
      </w:r>
    </w:p>
    <w:p w14:paraId="383FE6C7" w14:textId="77777777" w:rsidR="006532B4" w:rsidRPr="006532B4" w:rsidRDefault="006532B4" w:rsidP="006532B4">
      <w:pPr>
        <w:pStyle w:val="Bibliography"/>
      </w:pPr>
      <w:proofErr w:type="spellStart"/>
      <w:r w:rsidRPr="006532B4">
        <w:t>Gomide</w:t>
      </w:r>
      <w:proofErr w:type="spellEnd"/>
      <w:r w:rsidRPr="006532B4">
        <w:t xml:space="preserve">, C. P., Perez, W. F., &amp; </w:t>
      </w:r>
      <w:proofErr w:type="spellStart"/>
      <w:r w:rsidRPr="006532B4">
        <w:t>Pessôa</w:t>
      </w:r>
      <w:proofErr w:type="spellEnd"/>
      <w:r w:rsidRPr="006532B4">
        <w:t xml:space="preserve">, C. V. B. B. (2024). Perspective taking reduces the correspondence bias: A systematically replication of Hooper et al. (2015). </w:t>
      </w:r>
      <w:r w:rsidRPr="006532B4">
        <w:rPr>
          <w:i/>
          <w:iCs/>
        </w:rPr>
        <w:t xml:space="preserve">Journal of Contextual </w:t>
      </w:r>
      <w:proofErr w:type="spellStart"/>
      <w:r w:rsidRPr="006532B4">
        <w:rPr>
          <w:i/>
          <w:iCs/>
        </w:rPr>
        <w:t>Behavioral</w:t>
      </w:r>
      <w:proofErr w:type="spellEnd"/>
      <w:r w:rsidRPr="006532B4">
        <w:rPr>
          <w:i/>
          <w:iCs/>
        </w:rPr>
        <w:t xml:space="preserve"> Science</w:t>
      </w:r>
      <w:r w:rsidRPr="006532B4">
        <w:t xml:space="preserve">, </w:t>
      </w:r>
      <w:r w:rsidRPr="006532B4">
        <w:rPr>
          <w:i/>
          <w:iCs/>
        </w:rPr>
        <w:t>32</w:t>
      </w:r>
      <w:r w:rsidRPr="006532B4">
        <w:t>, 100735. https://doi.org/10.1016/j.jcbs.2024.100735</w:t>
      </w:r>
    </w:p>
    <w:p w14:paraId="0685345E" w14:textId="77777777" w:rsidR="006532B4" w:rsidRPr="006532B4" w:rsidRDefault="006532B4" w:rsidP="006532B4">
      <w:pPr>
        <w:pStyle w:val="Bibliography"/>
      </w:pPr>
      <w:proofErr w:type="spellStart"/>
      <w:r w:rsidRPr="006532B4">
        <w:t>Hantula</w:t>
      </w:r>
      <w:proofErr w:type="spellEnd"/>
      <w:r w:rsidRPr="006532B4">
        <w:t xml:space="preserve">, D. A. (2019). Editorial: Replication and Reliability in </w:t>
      </w:r>
      <w:proofErr w:type="spellStart"/>
      <w:r w:rsidRPr="006532B4">
        <w:t>Behavior</w:t>
      </w:r>
      <w:proofErr w:type="spellEnd"/>
      <w:r w:rsidRPr="006532B4">
        <w:t xml:space="preserve"> Science and </w:t>
      </w:r>
      <w:proofErr w:type="spellStart"/>
      <w:r w:rsidRPr="006532B4">
        <w:t>Behavior</w:t>
      </w:r>
      <w:proofErr w:type="spellEnd"/>
      <w:r w:rsidRPr="006532B4">
        <w:t xml:space="preserve"> Analysis: A Call for a Conversation. </w:t>
      </w:r>
      <w:r w:rsidRPr="006532B4">
        <w:rPr>
          <w:i/>
          <w:iCs/>
        </w:rPr>
        <w:t xml:space="preserve">Perspectives on </w:t>
      </w:r>
      <w:proofErr w:type="spellStart"/>
      <w:r w:rsidRPr="006532B4">
        <w:rPr>
          <w:i/>
          <w:iCs/>
        </w:rPr>
        <w:t>Behavior</w:t>
      </w:r>
      <w:proofErr w:type="spellEnd"/>
      <w:r w:rsidRPr="006532B4">
        <w:rPr>
          <w:i/>
          <w:iCs/>
        </w:rPr>
        <w:t xml:space="preserve"> Science</w:t>
      </w:r>
      <w:r w:rsidRPr="006532B4">
        <w:t xml:space="preserve">, </w:t>
      </w:r>
      <w:r w:rsidRPr="006532B4">
        <w:rPr>
          <w:i/>
          <w:iCs/>
        </w:rPr>
        <w:t>42</w:t>
      </w:r>
      <w:r w:rsidRPr="006532B4">
        <w:t>(1), 1–11. https://doi.org/10.1007/s40614-019-00194-2</w:t>
      </w:r>
    </w:p>
    <w:p w14:paraId="3F36A5FB" w14:textId="77777777" w:rsidR="006532B4" w:rsidRPr="006532B4" w:rsidRDefault="006532B4" w:rsidP="006532B4">
      <w:pPr>
        <w:pStyle w:val="Bibliography"/>
      </w:pPr>
      <w:r w:rsidRPr="006532B4">
        <w:t xml:space="preserve">Harte, C., &amp; Barnes-Holmes, D. (2022). A primer on relational frame theory (RFT). In M. P. Twohig, M. E. Levin, &amp; J. M. Petersen (Eds.), </w:t>
      </w:r>
      <w:r w:rsidRPr="006532B4">
        <w:rPr>
          <w:i/>
          <w:iCs/>
        </w:rPr>
        <w:t>The Oxford Handbook of Acceptance and Commitment Therapy</w:t>
      </w:r>
      <w:r w:rsidRPr="006532B4">
        <w:t xml:space="preserve"> (1st ed.). Oxford University Press. https://doi.org/10.1093/oxfordhb/9780197550076.001.0001</w:t>
      </w:r>
    </w:p>
    <w:p w14:paraId="2E8A71FD" w14:textId="77777777" w:rsidR="006532B4" w:rsidRPr="006532B4" w:rsidRDefault="006532B4" w:rsidP="006532B4">
      <w:pPr>
        <w:pStyle w:val="Bibliography"/>
      </w:pPr>
      <w:r w:rsidRPr="006532B4">
        <w:t xml:space="preserve">Hayes, S. C., </w:t>
      </w:r>
      <w:proofErr w:type="spellStart"/>
      <w:r w:rsidRPr="006532B4">
        <w:t>Strosahl</w:t>
      </w:r>
      <w:proofErr w:type="spellEnd"/>
      <w:r w:rsidRPr="006532B4">
        <w:t xml:space="preserve">, K., &amp; Wilson, K. G. (1999). </w:t>
      </w:r>
      <w:r w:rsidRPr="006532B4">
        <w:rPr>
          <w:i/>
          <w:iCs/>
        </w:rPr>
        <w:t xml:space="preserve">Acceptance and Commitment Therapy: An experiential approach to </w:t>
      </w:r>
      <w:proofErr w:type="spellStart"/>
      <w:r w:rsidRPr="006532B4">
        <w:rPr>
          <w:i/>
          <w:iCs/>
        </w:rPr>
        <w:t>behavior</w:t>
      </w:r>
      <w:proofErr w:type="spellEnd"/>
      <w:r w:rsidRPr="006532B4">
        <w:rPr>
          <w:i/>
          <w:iCs/>
        </w:rPr>
        <w:t xml:space="preserve"> change</w:t>
      </w:r>
      <w:r w:rsidRPr="006532B4">
        <w:t>. Guilford Press.</w:t>
      </w:r>
    </w:p>
    <w:p w14:paraId="1043CEA8" w14:textId="77777777" w:rsidR="006532B4" w:rsidRPr="006532B4" w:rsidRDefault="006532B4" w:rsidP="006532B4">
      <w:pPr>
        <w:pStyle w:val="Bibliography"/>
      </w:pPr>
      <w:r w:rsidRPr="006532B4">
        <w:t xml:space="preserve">Hulbert-Williams, L., </w:t>
      </w:r>
      <w:proofErr w:type="spellStart"/>
      <w:r w:rsidRPr="006532B4">
        <w:t>Pendrous</w:t>
      </w:r>
      <w:proofErr w:type="spellEnd"/>
      <w:r w:rsidRPr="006532B4">
        <w:t xml:space="preserve">, R., </w:t>
      </w:r>
      <w:proofErr w:type="spellStart"/>
      <w:r w:rsidRPr="006532B4">
        <w:t>Hochard</w:t>
      </w:r>
      <w:proofErr w:type="spellEnd"/>
      <w:r w:rsidRPr="006532B4">
        <w:t xml:space="preserve">, K. D., &amp; Hulbert-Williams, N. J. (2020). In search of scope: A response to Ruiz et al. (2020). </w:t>
      </w:r>
      <w:r w:rsidRPr="006532B4">
        <w:rPr>
          <w:i/>
          <w:iCs/>
        </w:rPr>
        <w:t xml:space="preserve">Journal of Contextual </w:t>
      </w:r>
      <w:proofErr w:type="spellStart"/>
      <w:r w:rsidRPr="006532B4">
        <w:rPr>
          <w:i/>
          <w:iCs/>
        </w:rPr>
        <w:t>Behavioral</w:t>
      </w:r>
      <w:proofErr w:type="spellEnd"/>
      <w:r w:rsidRPr="006532B4">
        <w:rPr>
          <w:i/>
          <w:iCs/>
        </w:rPr>
        <w:t xml:space="preserve"> Science</w:t>
      </w:r>
      <w:r w:rsidRPr="006532B4">
        <w:t>. https://doi.org/10.1016/j.jcbs.2020.10.008</w:t>
      </w:r>
    </w:p>
    <w:p w14:paraId="145BAB0C" w14:textId="77777777" w:rsidR="006532B4" w:rsidRPr="006532B4" w:rsidRDefault="006532B4" w:rsidP="006532B4">
      <w:pPr>
        <w:pStyle w:val="Bibliography"/>
      </w:pPr>
      <w:r w:rsidRPr="006532B4">
        <w:t xml:space="preserve">Hussey, I. (2020). </w:t>
      </w:r>
      <w:r w:rsidRPr="006532B4">
        <w:rPr>
          <w:i/>
          <w:iCs/>
        </w:rPr>
        <w:t xml:space="preserve">General claims require generalized effects: A reply to Ruiz et al.’s (2020) ‘A systematic and critical response to </w:t>
      </w:r>
      <w:proofErr w:type="spellStart"/>
      <w:r w:rsidRPr="006532B4">
        <w:rPr>
          <w:i/>
          <w:iCs/>
        </w:rPr>
        <w:t>Pendrous</w:t>
      </w:r>
      <w:proofErr w:type="spellEnd"/>
      <w:r w:rsidRPr="006532B4">
        <w:rPr>
          <w:i/>
          <w:iCs/>
        </w:rPr>
        <w:t xml:space="preserve"> et al. (2020) replication study.’</w:t>
      </w:r>
      <w:r w:rsidRPr="006532B4">
        <w:t xml:space="preserve"> </w:t>
      </w:r>
      <w:proofErr w:type="spellStart"/>
      <w:r w:rsidRPr="006532B4">
        <w:t>PsyArXiv</w:t>
      </w:r>
      <w:proofErr w:type="spellEnd"/>
      <w:r w:rsidRPr="006532B4">
        <w:t>. https://doi.org/10.31234/osf.io/83z2y</w:t>
      </w:r>
    </w:p>
    <w:p w14:paraId="1BBD9EB0" w14:textId="77777777" w:rsidR="006532B4" w:rsidRPr="006532B4" w:rsidRDefault="006532B4" w:rsidP="006532B4">
      <w:pPr>
        <w:pStyle w:val="Bibliography"/>
      </w:pPr>
      <w:r w:rsidRPr="006532B4">
        <w:t xml:space="preserve">Kelly, A. D., &amp; Kelly, M. E. (2021). Acceptance and Commitment Training in Applied </w:t>
      </w:r>
      <w:proofErr w:type="spellStart"/>
      <w:r w:rsidRPr="006532B4">
        <w:t>Behavior</w:t>
      </w:r>
      <w:proofErr w:type="spellEnd"/>
      <w:r w:rsidRPr="006532B4">
        <w:t xml:space="preserve"> Analysis: Where Have You Been All My Life? </w:t>
      </w:r>
      <w:proofErr w:type="spellStart"/>
      <w:r w:rsidRPr="006532B4">
        <w:rPr>
          <w:i/>
          <w:iCs/>
        </w:rPr>
        <w:t>Behavior</w:t>
      </w:r>
      <w:proofErr w:type="spellEnd"/>
      <w:r w:rsidRPr="006532B4">
        <w:rPr>
          <w:i/>
          <w:iCs/>
        </w:rPr>
        <w:t xml:space="preserve"> Analysis in Practice</w:t>
      </w:r>
      <w:r w:rsidRPr="006532B4">
        <w:t xml:space="preserve">, </w:t>
      </w:r>
      <w:r w:rsidRPr="006532B4">
        <w:rPr>
          <w:i/>
          <w:iCs/>
        </w:rPr>
        <w:t>15</w:t>
      </w:r>
      <w:r w:rsidRPr="006532B4">
        <w:t>(1), Article 1. https://doi.org/10.1007/s40617-021-00587-3</w:t>
      </w:r>
    </w:p>
    <w:p w14:paraId="547D89AC" w14:textId="77777777" w:rsidR="006532B4" w:rsidRPr="006532B4" w:rsidRDefault="006532B4" w:rsidP="006532B4">
      <w:pPr>
        <w:pStyle w:val="Bibliography"/>
      </w:pPr>
      <w:r w:rsidRPr="006532B4">
        <w:t xml:space="preserve">Law, S., &amp; Hayes, S. C. (2021). Murray </w:t>
      </w:r>
      <w:proofErr w:type="spellStart"/>
      <w:r w:rsidRPr="006532B4">
        <w:t>Sidman</w:t>
      </w:r>
      <w:proofErr w:type="spellEnd"/>
      <w:r w:rsidRPr="006532B4">
        <w:t xml:space="preserve">: Fostering progress through foundational choices. </w:t>
      </w:r>
      <w:r w:rsidRPr="006532B4">
        <w:rPr>
          <w:i/>
          <w:iCs/>
        </w:rPr>
        <w:t xml:space="preserve">Journal of the Experimental Analysis of </w:t>
      </w:r>
      <w:proofErr w:type="spellStart"/>
      <w:r w:rsidRPr="006532B4">
        <w:rPr>
          <w:i/>
          <w:iCs/>
        </w:rPr>
        <w:t>Behavior</w:t>
      </w:r>
      <w:proofErr w:type="spellEnd"/>
      <w:r w:rsidRPr="006532B4">
        <w:t xml:space="preserve">, </w:t>
      </w:r>
      <w:r w:rsidRPr="006532B4">
        <w:rPr>
          <w:i/>
          <w:iCs/>
        </w:rPr>
        <w:t>115</w:t>
      </w:r>
      <w:r w:rsidRPr="006532B4">
        <w:t>(1), 21–30. https://doi.org/10.1002/jeab.640</w:t>
      </w:r>
    </w:p>
    <w:p w14:paraId="6F176D1D" w14:textId="77777777" w:rsidR="006532B4" w:rsidRPr="006532B4" w:rsidRDefault="006532B4" w:rsidP="006532B4">
      <w:pPr>
        <w:pStyle w:val="Bibliography"/>
      </w:pPr>
      <w:proofErr w:type="spellStart"/>
      <w:r w:rsidRPr="006532B4">
        <w:t>Leichsenring</w:t>
      </w:r>
      <w:proofErr w:type="spellEnd"/>
      <w:r w:rsidRPr="006532B4">
        <w:t xml:space="preserve">, F., </w:t>
      </w:r>
      <w:proofErr w:type="spellStart"/>
      <w:r w:rsidRPr="006532B4">
        <w:t>Abbass</w:t>
      </w:r>
      <w:proofErr w:type="spellEnd"/>
      <w:r w:rsidRPr="006532B4">
        <w:t xml:space="preserve">, A., </w:t>
      </w:r>
      <w:proofErr w:type="spellStart"/>
      <w:r w:rsidRPr="006532B4">
        <w:t>Hilsenroth</w:t>
      </w:r>
      <w:proofErr w:type="spellEnd"/>
      <w:r w:rsidRPr="006532B4">
        <w:t xml:space="preserve">, M. J., </w:t>
      </w:r>
      <w:proofErr w:type="spellStart"/>
      <w:r w:rsidRPr="006532B4">
        <w:t>Leweke</w:t>
      </w:r>
      <w:proofErr w:type="spellEnd"/>
      <w:r w:rsidRPr="006532B4">
        <w:t xml:space="preserve">, F., </w:t>
      </w:r>
      <w:proofErr w:type="spellStart"/>
      <w:r w:rsidRPr="006532B4">
        <w:t>Luyten</w:t>
      </w:r>
      <w:proofErr w:type="spellEnd"/>
      <w:r w:rsidRPr="006532B4">
        <w:t xml:space="preserve">, P., Keefe, J. R., Midgley, N., </w:t>
      </w:r>
      <w:proofErr w:type="spellStart"/>
      <w:r w:rsidRPr="006532B4">
        <w:t>Rabung</w:t>
      </w:r>
      <w:proofErr w:type="spellEnd"/>
      <w:r w:rsidRPr="006532B4">
        <w:t xml:space="preserve">, S., </w:t>
      </w:r>
      <w:proofErr w:type="spellStart"/>
      <w:r w:rsidRPr="006532B4">
        <w:t>Salzer</w:t>
      </w:r>
      <w:proofErr w:type="spellEnd"/>
      <w:r w:rsidRPr="006532B4">
        <w:t xml:space="preserve">, S., &amp; Steinert, C. (2017). Biases in research: Risk factors for non-replicability in psychotherapy and pharmacotherapy research. </w:t>
      </w:r>
      <w:r w:rsidRPr="006532B4">
        <w:rPr>
          <w:i/>
          <w:iCs/>
        </w:rPr>
        <w:t>Psychological Medicine</w:t>
      </w:r>
      <w:r w:rsidRPr="006532B4">
        <w:t xml:space="preserve">, </w:t>
      </w:r>
      <w:r w:rsidRPr="006532B4">
        <w:rPr>
          <w:i/>
          <w:iCs/>
        </w:rPr>
        <w:t>47</w:t>
      </w:r>
      <w:r w:rsidRPr="006532B4">
        <w:t>(6), 1000–1011. https://doi.org/10.1017/S003329171600324X</w:t>
      </w:r>
    </w:p>
    <w:p w14:paraId="70C1E55F" w14:textId="77777777" w:rsidR="006532B4" w:rsidRPr="006532B4" w:rsidRDefault="006532B4" w:rsidP="006532B4">
      <w:pPr>
        <w:pStyle w:val="Bibliography"/>
      </w:pPr>
      <w:r w:rsidRPr="006532B4">
        <w:t xml:space="preserve">Luciano, C., Ruiz, F. J., Torres, R. M. V., &amp; Mar, V. S. (2011). A Relational Frame Analysis of </w:t>
      </w:r>
      <w:proofErr w:type="spellStart"/>
      <w:r w:rsidRPr="006532B4">
        <w:t>Defusion</w:t>
      </w:r>
      <w:proofErr w:type="spellEnd"/>
      <w:r w:rsidRPr="006532B4">
        <w:t xml:space="preserve"> Interactions in Acceptance and Commitment Therapy. A Preliminary and Quasi-Experimental Study with At-Risk Adolescents. </w:t>
      </w:r>
      <w:r w:rsidRPr="006532B4">
        <w:rPr>
          <w:i/>
          <w:iCs/>
        </w:rPr>
        <w:t>International Journal of Psychology</w:t>
      </w:r>
      <w:r w:rsidRPr="006532B4">
        <w:t>.</w:t>
      </w:r>
    </w:p>
    <w:p w14:paraId="598966AB" w14:textId="77777777" w:rsidR="006532B4" w:rsidRPr="006532B4" w:rsidRDefault="006532B4" w:rsidP="006532B4">
      <w:pPr>
        <w:pStyle w:val="Bibliography"/>
      </w:pPr>
      <w:r w:rsidRPr="006532B4">
        <w:t xml:space="preserve">Luciano, C., </w:t>
      </w:r>
      <w:proofErr w:type="spellStart"/>
      <w:r w:rsidRPr="006532B4">
        <w:t>Törneke</w:t>
      </w:r>
      <w:proofErr w:type="spellEnd"/>
      <w:r w:rsidRPr="006532B4">
        <w:t xml:space="preserve">, N., &amp; Ruiz, F. J. (2022). Clinical </w:t>
      </w:r>
      <w:proofErr w:type="spellStart"/>
      <w:r w:rsidRPr="006532B4">
        <w:t>Behavior</w:t>
      </w:r>
      <w:proofErr w:type="spellEnd"/>
      <w:r w:rsidRPr="006532B4">
        <w:t xml:space="preserve"> Analysis and RFT: Conceptualizing Psychopathology and Its Treatment. In M. P. Twohig, M. E. Levin, &amp; J. M. Petersen (Eds.), </w:t>
      </w:r>
      <w:r w:rsidRPr="006532B4">
        <w:rPr>
          <w:i/>
          <w:iCs/>
        </w:rPr>
        <w:t>The Oxford Handbook of Acceptance and Commitment Therapy</w:t>
      </w:r>
      <w:r w:rsidRPr="006532B4">
        <w:t xml:space="preserve"> (1st ed., pp. 109–142). Oxford University Press. https://doi.org/10.1093/oxfordhb/9780197550076.013.5</w:t>
      </w:r>
    </w:p>
    <w:p w14:paraId="0734A363" w14:textId="77777777" w:rsidR="006532B4" w:rsidRPr="006532B4" w:rsidRDefault="006532B4" w:rsidP="006532B4">
      <w:pPr>
        <w:pStyle w:val="Bibliography"/>
      </w:pPr>
      <w:r w:rsidRPr="006532B4">
        <w:lastRenderedPageBreak/>
        <w:t xml:space="preserve">Marin, F., Rohatgi, A., &amp; </w:t>
      </w:r>
      <w:proofErr w:type="spellStart"/>
      <w:r w:rsidRPr="006532B4">
        <w:t>Charlot</w:t>
      </w:r>
      <w:proofErr w:type="spellEnd"/>
      <w:r w:rsidRPr="006532B4">
        <w:t xml:space="preserve">, S. (2017). </w:t>
      </w:r>
      <w:proofErr w:type="spellStart"/>
      <w:r w:rsidRPr="006532B4">
        <w:rPr>
          <w:i/>
          <w:iCs/>
        </w:rPr>
        <w:t>WebPlotDigitizer</w:t>
      </w:r>
      <w:proofErr w:type="spellEnd"/>
      <w:r w:rsidRPr="006532B4">
        <w:rPr>
          <w:i/>
          <w:iCs/>
        </w:rPr>
        <w:t xml:space="preserve">, a polyvalent and free software to extract spectra from old astronomical publications: Application to ultraviolet </w:t>
      </w:r>
      <w:proofErr w:type="spellStart"/>
      <w:r w:rsidRPr="006532B4">
        <w:rPr>
          <w:i/>
          <w:iCs/>
        </w:rPr>
        <w:t>spectropolarimetry</w:t>
      </w:r>
      <w:proofErr w:type="spellEnd"/>
      <w:r w:rsidRPr="006532B4">
        <w:t xml:space="preserve"> (arXiv:1708.02025). </w:t>
      </w:r>
      <w:proofErr w:type="spellStart"/>
      <w:r w:rsidRPr="006532B4">
        <w:t>arXiv</w:t>
      </w:r>
      <w:proofErr w:type="spellEnd"/>
      <w:r w:rsidRPr="006532B4">
        <w:t>. http://arxiv.org/abs/1708.02025</w:t>
      </w:r>
    </w:p>
    <w:p w14:paraId="096CCAB6" w14:textId="77777777" w:rsidR="006532B4" w:rsidRPr="006532B4" w:rsidRDefault="006532B4" w:rsidP="006532B4">
      <w:pPr>
        <w:pStyle w:val="Bibliography"/>
      </w:pPr>
      <w:r w:rsidRPr="006532B4">
        <w:t xml:space="preserve">McLoughlin, S., &amp; Roche, B. T. (2022). ACT: A Process-Based Therapy in search of a process. </w:t>
      </w:r>
      <w:proofErr w:type="spellStart"/>
      <w:r w:rsidRPr="006532B4">
        <w:rPr>
          <w:i/>
          <w:iCs/>
        </w:rPr>
        <w:t>Behavior</w:t>
      </w:r>
      <w:proofErr w:type="spellEnd"/>
      <w:r w:rsidRPr="006532B4">
        <w:rPr>
          <w:i/>
          <w:iCs/>
        </w:rPr>
        <w:t xml:space="preserve"> Therapy</w:t>
      </w:r>
      <w:r w:rsidRPr="006532B4">
        <w:t>, S0005789422001022. https://doi.org/10.1016/j.beth.2022.07.010</w:t>
      </w:r>
    </w:p>
    <w:p w14:paraId="2DA94F02" w14:textId="77777777" w:rsidR="006532B4" w:rsidRPr="006532B4" w:rsidRDefault="006532B4" w:rsidP="006532B4">
      <w:pPr>
        <w:pStyle w:val="Bibliography"/>
      </w:pPr>
      <w:proofErr w:type="spellStart"/>
      <w:r w:rsidRPr="006532B4">
        <w:t>Pendrous</w:t>
      </w:r>
      <w:proofErr w:type="spellEnd"/>
      <w:r w:rsidRPr="006532B4">
        <w:t xml:space="preserve">, R., Hulbert-Williams, L., </w:t>
      </w:r>
      <w:proofErr w:type="spellStart"/>
      <w:r w:rsidRPr="006532B4">
        <w:t>Hochard</w:t>
      </w:r>
      <w:proofErr w:type="spellEnd"/>
      <w:r w:rsidRPr="006532B4">
        <w:t xml:space="preserve">, K. D., &amp; Hulbert-Williams, N. J. (2020). Appetitive </w:t>
      </w:r>
      <w:proofErr w:type="spellStart"/>
      <w:r w:rsidRPr="006532B4">
        <w:t>augmental</w:t>
      </w:r>
      <w:proofErr w:type="spellEnd"/>
      <w:r w:rsidRPr="006532B4">
        <w:t xml:space="preserve"> functions and common physical properties in a pain-tolerance metaphor: An extended replication. </w:t>
      </w:r>
      <w:r w:rsidRPr="006532B4">
        <w:rPr>
          <w:i/>
          <w:iCs/>
        </w:rPr>
        <w:t xml:space="preserve">Journal of Contextual </w:t>
      </w:r>
      <w:proofErr w:type="spellStart"/>
      <w:r w:rsidRPr="006532B4">
        <w:rPr>
          <w:i/>
          <w:iCs/>
        </w:rPr>
        <w:t>Behavioral</w:t>
      </w:r>
      <w:proofErr w:type="spellEnd"/>
      <w:r w:rsidRPr="006532B4">
        <w:rPr>
          <w:i/>
          <w:iCs/>
        </w:rPr>
        <w:t xml:space="preserve"> Science</w:t>
      </w:r>
      <w:r w:rsidRPr="006532B4">
        <w:t xml:space="preserve">, </w:t>
      </w:r>
      <w:r w:rsidRPr="006532B4">
        <w:rPr>
          <w:i/>
          <w:iCs/>
        </w:rPr>
        <w:t>16</w:t>
      </w:r>
      <w:r w:rsidRPr="006532B4">
        <w:t>, 17–24. https://doi.org/10.1016/j.jcbs.2020.02.003</w:t>
      </w:r>
    </w:p>
    <w:p w14:paraId="5348BD9E" w14:textId="77777777" w:rsidR="006532B4" w:rsidRPr="006532B4" w:rsidRDefault="006532B4" w:rsidP="006532B4">
      <w:pPr>
        <w:pStyle w:val="Bibliography"/>
      </w:pPr>
      <w:proofErr w:type="spellStart"/>
      <w:r w:rsidRPr="006532B4">
        <w:t>Rachman</w:t>
      </w:r>
      <w:proofErr w:type="spellEnd"/>
      <w:r w:rsidRPr="006532B4">
        <w:t xml:space="preserve">, S., </w:t>
      </w:r>
      <w:proofErr w:type="spellStart"/>
      <w:r w:rsidRPr="006532B4">
        <w:t>Shafran</w:t>
      </w:r>
      <w:proofErr w:type="spellEnd"/>
      <w:r w:rsidRPr="006532B4">
        <w:t xml:space="preserve">, R., Mitchell, D., </w:t>
      </w:r>
      <w:proofErr w:type="spellStart"/>
      <w:r w:rsidRPr="006532B4">
        <w:t>Trant</w:t>
      </w:r>
      <w:proofErr w:type="spellEnd"/>
      <w:r w:rsidRPr="006532B4">
        <w:t xml:space="preserve">, J., &amp; </w:t>
      </w:r>
      <w:proofErr w:type="spellStart"/>
      <w:r w:rsidRPr="006532B4">
        <w:t>Teachman</w:t>
      </w:r>
      <w:proofErr w:type="spellEnd"/>
      <w:r w:rsidRPr="006532B4">
        <w:t xml:space="preserve">, B. (1996). How to remain neutral: An experimental analysis of neutralization. </w:t>
      </w:r>
      <w:r w:rsidRPr="006532B4">
        <w:rPr>
          <w:i/>
          <w:iCs/>
        </w:rPr>
        <w:t>Behaviour Research and Therapy</w:t>
      </w:r>
      <w:r w:rsidRPr="006532B4">
        <w:t xml:space="preserve">, </w:t>
      </w:r>
      <w:r w:rsidRPr="006532B4">
        <w:rPr>
          <w:i/>
          <w:iCs/>
        </w:rPr>
        <w:t>34</w:t>
      </w:r>
      <w:r w:rsidRPr="006532B4">
        <w:t>(11–12), 889–898. https://doi.org/10.1016/S0005-7967(96)00051-4</w:t>
      </w:r>
    </w:p>
    <w:p w14:paraId="289F3197" w14:textId="77777777" w:rsidR="006532B4" w:rsidRPr="006532B4" w:rsidRDefault="006532B4" w:rsidP="006532B4">
      <w:pPr>
        <w:pStyle w:val="Bibliography"/>
      </w:pPr>
      <w:r w:rsidRPr="006532B4">
        <w:t xml:space="preserve">Ruiz, F. J., Gil-Luciano, B., &amp; Segura-Vargas, M. A. (2021). Cognitive </w:t>
      </w:r>
      <w:proofErr w:type="spellStart"/>
      <w:r w:rsidRPr="006532B4">
        <w:t>defusion</w:t>
      </w:r>
      <w:proofErr w:type="spellEnd"/>
      <w:r w:rsidRPr="006532B4">
        <w:t xml:space="preserve">. In M. P. Twohig, M. E. Levin, &amp; J. M. Petersen (Eds.), </w:t>
      </w:r>
      <w:r w:rsidRPr="006532B4">
        <w:rPr>
          <w:i/>
          <w:iCs/>
        </w:rPr>
        <w:t>The Oxford Handbook of Acceptance and Commitment Therapy</w:t>
      </w:r>
      <w:r w:rsidRPr="006532B4">
        <w:t>. Oxford University Press. https://doi.org/10.1093/oxfordhb/9780197550076.001.0001</w:t>
      </w:r>
    </w:p>
    <w:p w14:paraId="7E3E2380" w14:textId="77777777" w:rsidR="006532B4" w:rsidRPr="006532B4" w:rsidRDefault="006532B4" w:rsidP="006532B4">
      <w:pPr>
        <w:pStyle w:val="Bibliography"/>
      </w:pPr>
      <w:r w:rsidRPr="006532B4">
        <w:t xml:space="preserve">Ruiz, F. J., Luciano, C., &amp; Sierra, M. A. (2020). A systematic and critical response to </w:t>
      </w:r>
      <w:proofErr w:type="spellStart"/>
      <w:r w:rsidRPr="006532B4">
        <w:t>Pendrous</w:t>
      </w:r>
      <w:proofErr w:type="spellEnd"/>
      <w:r w:rsidRPr="006532B4">
        <w:t xml:space="preserve"> et al. (2020) replication study. </w:t>
      </w:r>
      <w:r w:rsidRPr="006532B4">
        <w:rPr>
          <w:i/>
          <w:iCs/>
        </w:rPr>
        <w:t xml:space="preserve">Journal of Contextual </w:t>
      </w:r>
      <w:proofErr w:type="spellStart"/>
      <w:r w:rsidRPr="006532B4">
        <w:rPr>
          <w:i/>
          <w:iCs/>
        </w:rPr>
        <w:t>Behavioral</w:t>
      </w:r>
      <w:proofErr w:type="spellEnd"/>
      <w:r w:rsidRPr="006532B4">
        <w:rPr>
          <w:i/>
          <w:iCs/>
        </w:rPr>
        <w:t xml:space="preserve"> Science</w:t>
      </w:r>
      <w:r w:rsidRPr="006532B4">
        <w:t>. https://doi.org/10.1016/j.jcbs.2020.04.011</w:t>
      </w:r>
    </w:p>
    <w:p w14:paraId="30E4E7CD" w14:textId="77777777" w:rsidR="006532B4" w:rsidRPr="006532B4" w:rsidRDefault="006532B4" w:rsidP="006532B4">
      <w:pPr>
        <w:pStyle w:val="Bibliography"/>
      </w:pPr>
      <w:r w:rsidRPr="006532B4">
        <w:t xml:space="preserve">Sierra, M. A., Ruiz, F. J., </w:t>
      </w:r>
      <w:proofErr w:type="spellStart"/>
      <w:r w:rsidRPr="006532B4">
        <w:t>Flórez</w:t>
      </w:r>
      <w:proofErr w:type="spellEnd"/>
      <w:r w:rsidRPr="006532B4">
        <w:t xml:space="preserve">, C. L., Hernández, D. R., &amp; Luciano, C. (2016). The Role of Common Physical Properties and </w:t>
      </w:r>
      <w:proofErr w:type="spellStart"/>
      <w:r w:rsidRPr="006532B4">
        <w:t>Augmental</w:t>
      </w:r>
      <w:proofErr w:type="spellEnd"/>
      <w:r w:rsidRPr="006532B4">
        <w:t xml:space="preserve"> Functions in Metaphor Effect. </w:t>
      </w:r>
      <w:r w:rsidRPr="006532B4">
        <w:rPr>
          <w:i/>
          <w:iCs/>
        </w:rPr>
        <w:t>International Journal of Psychology</w:t>
      </w:r>
      <w:r w:rsidRPr="006532B4">
        <w:t>, 15.</w:t>
      </w:r>
    </w:p>
    <w:p w14:paraId="589D7884" w14:textId="77777777" w:rsidR="006532B4" w:rsidRPr="006532B4" w:rsidRDefault="006532B4" w:rsidP="006532B4">
      <w:pPr>
        <w:pStyle w:val="Bibliography"/>
      </w:pPr>
      <w:r w:rsidRPr="006532B4">
        <w:t xml:space="preserve">Spellman, B. A. (2015). A short (personal) future history of revolution 2.0. </w:t>
      </w:r>
      <w:r w:rsidRPr="006532B4">
        <w:rPr>
          <w:i/>
          <w:iCs/>
        </w:rPr>
        <w:t>Perspectives on Psychological Science</w:t>
      </w:r>
      <w:r w:rsidRPr="006532B4">
        <w:t xml:space="preserve">, </w:t>
      </w:r>
      <w:r w:rsidRPr="006532B4">
        <w:rPr>
          <w:i/>
          <w:iCs/>
        </w:rPr>
        <w:t>10</w:t>
      </w:r>
      <w:r w:rsidRPr="006532B4">
        <w:t>(6), 886–899. https://doi.org/10.1177/1745691615609918</w:t>
      </w:r>
    </w:p>
    <w:p w14:paraId="2C254003" w14:textId="77777777" w:rsidR="006532B4" w:rsidRPr="006532B4" w:rsidRDefault="006532B4" w:rsidP="006532B4">
      <w:pPr>
        <w:pStyle w:val="Bibliography"/>
      </w:pPr>
      <w:r w:rsidRPr="006532B4">
        <w:t xml:space="preserve">Tackett, J. L., </w:t>
      </w:r>
      <w:proofErr w:type="spellStart"/>
      <w:r w:rsidRPr="006532B4">
        <w:t>Brandes</w:t>
      </w:r>
      <w:proofErr w:type="spellEnd"/>
      <w:r w:rsidRPr="006532B4">
        <w:t xml:space="preserve">, C. M., King, K. M., &amp; </w:t>
      </w:r>
      <w:proofErr w:type="spellStart"/>
      <w:r w:rsidRPr="006532B4">
        <w:t>Markon</w:t>
      </w:r>
      <w:proofErr w:type="spellEnd"/>
      <w:r w:rsidRPr="006532B4">
        <w:t xml:space="preserve">, K. E. (2019). Psychology’s Replication Crisis and Clinical Psychological Science. </w:t>
      </w:r>
      <w:r w:rsidRPr="006532B4">
        <w:rPr>
          <w:i/>
          <w:iCs/>
        </w:rPr>
        <w:t>Annual Review of Clinical Psychology</w:t>
      </w:r>
      <w:r w:rsidRPr="006532B4">
        <w:t xml:space="preserve">, </w:t>
      </w:r>
      <w:r w:rsidRPr="006532B4">
        <w:rPr>
          <w:i/>
          <w:iCs/>
        </w:rPr>
        <w:t>15</w:t>
      </w:r>
      <w:r w:rsidRPr="006532B4">
        <w:t>(1), 579–604. https://doi.org/10.1146/annurev-clinpsy-050718-095710</w:t>
      </w:r>
    </w:p>
    <w:p w14:paraId="2C1587AF" w14:textId="77777777" w:rsidR="006532B4" w:rsidRPr="006532B4" w:rsidRDefault="006532B4" w:rsidP="006532B4">
      <w:pPr>
        <w:pStyle w:val="Bibliography"/>
      </w:pPr>
      <w:r w:rsidRPr="006532B4">
        <w:t xml:space="preserve">Task Force on the Strategies and Tactics of Contextual </w:t>
      </w:r>
      <w:proofErr w:type="spellStart"/>
      <w:r w:rsidRPr="006532B4">
        <w:t>Behavioral</w:t>
      </w:r>
      <w:proofErr w:type="spellEnd"/>
      <w:r w:rsidRPr="006532B4">
        <w:t xml:space="preserve"> Science Research. (2021). </w:t>
      </w:r>
      <w:r w:rsidRPr="006532B4">
        <w:rPr>
          <w:i/>
          <w:iCs/>
        </w:rPr>
        <w:t xml:space="preserve">Adoption of Open Science Recommendations | Association for Contextual </w:t>
      </w:r>
      <w:proofErr w:type="spellStart"/>
      <w:r w:rsidRPr="006532B4">
        <w:rPr>
          <w:i/>
          <w:iCs/>
        </w:rPr>
        <w:t>Behavioral</w:t>
      </w:r>
      <w:proofErr w:type="spellEnd"/>
      <w:r w:rsidRPr="006532B4">
        <w:rPr>
          <w:i/>
          <w:iCs/>
        </w:rPr>
        <w:t xml:space="preserve"> Science</w:t>
      </w:r>
      <w:r w:rsidRPr="006532B4">
        <w:t>. https://contextualscience.org/news/adoption_of_open_science_recommendations</w:t>
      </w:r>
    </w:p>
    <w:p w14:paraId="5103212F" w14:textId="77777777" w:rsidR="006532B4" w:rsidRPr="006532B4" w:rsidRDefault="006532B4" w:rsidP="006532B4">
      <w:pPr>
        <w:pStyle w:val="Bibliography"/>
      </w:pPr>
      <w:r w:rsidRPr="006532B4">
        <w:t xml:space="preserve">van den Hout, M., </w:t>
      </w:r>
      <w:proofErr w:type="spellStart"/>
      <w:r w:rsidRPr="006532B4">
        <w:t>Kindt</w:t>
      </w:r>
      <w:proofErr w:type="spellEnd"/>
      <w:r w:rsidRPr="006532B4">
        <w:t xml:space="preserve">, M., Weiland, T., &amp; Peters, M. (2002). Instructed neutralization, spontaneous neutralization and prevented neutralization after an obsession-like thought. </w:t>
      </w:r>
      <w:r w:rsidRPr="006532B4">
        <w:rPr>
          <w:i/>
          <w:iCs/>
        </w:rPr>
        <w:t xml:space="preserve">Journal of </w:t>
      </w:r>
      <w:proofErr w:type="spellStart"/>
      <w:r w:rsidRPr="006532B4">
        <w:rPr>
          <w:i/>
          <w:iCs/>
        </w:rPr>
        <w:t>Behavior</w:t>
      </w:r>
      <w:proofErr w:type="spellEnd"/>
      <w:r w:rsidRPr="006532B4">
        <w:rPr>
          <w:i/>
          <w:iCs/>
        </w:rPr>
        <w:t xml:space="preserve"> Therapy and Experimental Psychiatry</w:t>
      </w:r>
      <w:r w:rsidRPr="006532B4">
        <w:t xml:space="preserve">, </w:t>
      </w:r>
      <w:r w:rsidRPr="006532B4">
        <w:rPr>
          <w:i/>
          <w:iCs/>
        </w:rPr>
        <w:t>33</w:t>
      </w:r>
      <w:r w:rsidRPr="006532B4">
        <w:t>(3–4), 177–189. https://doi.org/10.1016/S0005-7916(02)00048-4</w:t>
      </w:r>
    </w:p>
    <w:p w14:paraId="001CF566" w14:textId="77777777" w:rsidR="006532B4" w:rsidRPr="006532B4" w:rsidRDefault="006532B4" w:rsidP="006532B4">
      <w:pPr>
        <w:pStyle w:val="Bibliography"/>
      </w:pPr>
      <w:proofErr w:type="spellStart"/>
      <w:r w:rsidRPr="006532B4">
        <w:t>Zettle</w:t>
      </w:r>
      <w:proofErr w:type="spellEnd"/>
      <w:r w:rsidRPr="006532B4">
        <w:t xml:space="preserve">, R. D., &amp; Masuda, A. (2022). The Future of Third Wave Cognitive </w:t>
      </w:r>
      <w:proofErr w:type="spellStart"/>
      <w:r w:rsidRPr="006532B4">
        <w:t>Behavior</w:t>
      </w:r>
      <w:proofErr w:type="spellEnd"/>
      <w:r w:rsidRPr="006532B4">
        <w:t xml:space="preserve"> Therapies. In W. </w:t>
      </w:r>
      <w:proofErr w:type="spellStart"/>
      <w:r w:rsidRPr="006532B4">
        <w:t>O’Donohue</w:t>
      </w:r>
      <w:proofErr w:type="spellEnd"/>
      <w:r w:rsidRPr="006532B4">
        <w:t xml:space="preserve"> &amp; A. </w:t>
      </w:r>
      <w:proofErr w:type="spellStart"/>
      <w:r w:rsidRPr="006532B4">
        <w:t>Masdua</w:t>
      </w:r>
      <w:proofErr w:type="spellEnd"/>
      <w:r w:rsidRPr="006532B4">
        <w:t xml:space="preserve"> (Eds.), </w:t>
      </w:r>
      <w:proofErr w:type="spellStart"/>
      <w:r w:rsidRPr="006532B4">
        <w:rPr>
          <w:i/>
          <w:iCs/>
        </w:rPr>
        <w:t>Behavior</w:t>
      </w:r>
      <w:proofErr w:type="spellEnd"/>
      <w:r w:rsidRPr="006532B4">
        <w:rPr>
          <w:i/>
          <w:iCs/>
        </w:rPr>
        <w:t xml:space="preserve"> Therapy</w:t>
      </w:r>
      <w:r w:rsidRPr="006532B4">
        <w:t>. https://doi.org/10.1007/978-3-031-11677-3_34</w:t>
      </w:r>
    </w:p>
    <w:p w14:paraId="3E4543E4" w14:textId="77777777" w:rsidR="001353FE" w:rsidRDefault="00F572DD" w:rsidP="00F572DD">
      <w:pPr>
        <w:ind w:firstLine="0"/>
        <w:sectPr w:rsidR="001353FE" w:rsidSect="001353FE">
          <w:type w:val="continuous"/>
          <w:pgSz w:w="11900" w:h="16840"/>
          <w:pgMar w:top="1440" w:right="1440" w:bottom="1440" w:left="1440" w:header="708" w:footer="708" w:gutter="0"/>
          <w:cols w:num="2" w:space="366"/>
          <w:docGrid w:linePitch="360"/>
        </w:sectPr>
      </w:pPr>
      <w:r>
        <w:fldChar w:fldCharType="end"/>
      </w:r>
    </w:p>
    <w:p w14:paraId="264CEDEB" w14:textId="7371E76D" w:rsidR="00C37C3A" w:rsidRPr="00F676B9" w:rsidRDefault="00C37C3A" w:rsidP="00F572DD">
      <w:pPr>
        <w:ind w:firstLine="0"/>
      </w:pPr>
    </w:p>
    <w:sectPr w:rsidR="00C37C3A" w:rsidRPr="00F676B9" w:rsidSect="005F5196">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9-05T19:23:00Z" w:initials="IH">
    <w:p w14:paraId="3DB407AF" w14:textId="77777777" w:rsidR="00EE15FE" w:rsidRDefault="00EE15FE" w:rsidP="00EE15FE">
      <w:pPr>
        <w:jc w:val="left"/>
      </w:pPr>
      <w:r>
        <w:rPr>
          <w:rStyle w:val="CommentReference"/>
        </w:rPr>
        <w:annotationRef/>
      </w:r>
      <w:r>
        <w:rPr>
          <w:sz w:val="20"/>
          <w:szCs w:val="20"/>
        </w:rPr>
        <w:t>Early draft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3DB40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0A245136" w16cex:dateUtc="2024-09-05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3DB407AF" w16cid:durableId="0A245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E3C45" w14:textId="77777777" w:rsidR="00753A25" w:rsidRDefault="00753A25" w:rsidP="00127167">
      <w:r>
        <w:separator/>
      </w:r>
    </w:p>
  </w:endnote>
  <w:endnote w:type="continuationSeparator" w:id="0">
    <w:p w14:paraId="727F981F" w14:textId="77777777" w:rsidR="00753A25" w:rsidRDefault="00753A25" w:rsidP="00127167">
      <w:r>
        <w:continuationSeparator/>
      </w:r>
    </w:p>
  </w:endnote>
  <w:endnote w:type="continuationNotice" w:id="1">
    <w:p w14:paraId="0F693B9F" w14:textId="77777777" w:rsidR="00753A25" w:rsidRDefault="00753A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C280B" w14:textId="77777777" w:rsidR="00753A25" w:rsidRDefault="00753A25" w:rsidP="00127167">
      <w:r>
        <w:separator/>
      </w:r>
    </w:p>
  </w:footnote>
  <w:footnote w:type="continuationSeparator" w:id="0">
    <w:p w14:paraId="7EC1693D" w14:textId="77777777" w:rsidR="00753A25" w:rsidRDefault="00753A25" w:rsidP="00127167">
      <w:r>
        <w:continuationSeparator/>
      </w:r>
    </w:p>
  </w:footnote>
  <w:footnote w:type="continuationNotice" w:id="1">
    <w:p w14:paraId="61181AF7" w14:textId="77777777" w:rsidR="00753A25" w:rsidRDefault="00753A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1CEB"/>
    <w:rsid w:val="000070F8"/>
    <w:rsid w:val="0000723C"/>
    <w:rsid w:val="000072A6"/>
    <w:rsid w:val="000129E9"/>
    <w:rsid w:val="00013A8A"/>
    <w:rsid w:val="00013C1A"/>
    <w:rsid w:val="0001413F"/>
    <w:rsid w:val="0001416E"/>
    <w:rsid w:val="00015BED"/>
    <w:rsid w:val="00016688"/>
    <w:rsid w:val="0002051C"/>
    <w:rsid w:val="00020BB7"/>
    <w:rsid w:val="000212C1"/>
    <w:rsid w:val="00024D94"/>
    <w:rsid w:val="00025577"/>
    <w:rsid w:val="0002622D"/>
    <w:rsid w:val="00027EDC"/>
    <w:rsid w:val="00027F51"/>
    <w:rsid w:val="000308DC"/>
    <w:rsid w:val="000314D4"/>
    <w:rsid w:val="000316AC"/>
    <w:rsid w:val="00032214"/>
    <w:rsid w:val="000322D0"/>
    <w:rsid w:val="00034469"/>
    <w:rsid w:val="00034F46"/>
    <w:rsid w:val="000351E4"/>
    <w:rsid w:val="0003554D"/>
    <w:rsid w:val="00036BB8"/>
    <w:rsid w:val="00037072"/>
    <w:rsid w:val="00037EC6"/>
    <w:rsid w:val="0004118C"/>
    <w:rsid w:val="00042F0C"/>
    <w:rsid w:val="0004489D"/>
    <w:rsid w:val="00045803"/>
    <w:rsid w:val="00047227"/>
    <w:rsid w:val="00050DED"/>
    <w:rsid w:val="00052A35"/>
    <w:rsid w:val="000530BE"/>
    <w:rsid w:val="000531B0"/>
    <w:rsid w:val="00057ED8"/>
    <w:rsid w:val="000628E2"/>
    <w:rsid w:val="000642FF"/>
    <w:rsid w:val="00065B19"/>
    <w:rsid w:val="00067FB6"/>
    <w:rsid w:val="00070E62"/>
    <w:rsid w:val="00071179"/>
    <w:rsid w:val="00071E6F"/>
    <w:rsid w:val="000734E5"/>
    <w:rsid w:val="00073F28"/>
    <w:rsid w:val="00074139"/>
    <w:rsid w:val="00074E6C"/>
    <w:rsid w:val="00075ADB"/>
    <w:rsid w:val="000774A6"/>
    <w:rsid w:val="000813F5"/>
    <w:rsid w:val="000820DB"/>
    <w:rsid w:val="00082277"/>
    <w:rsid w:val="0008331D"/>
    <w:rsid w:val="00084374"/>
    <w:rsid w:val="000845C5"/>
    <w:rsid w:val="000852C5"/>
    <w:rsid w:val="000857C4"/>
    <w:rsid w:val="00087B7A"/>
    <w:rsid w:val="00091762"/>
    <w:rsid w:val="00091900"/>
    <w:rsid w:val="000939B2"/>
    <w:rsid w:val="00094EB6"/>
    <w:rsid w:val="000A1E5D"/>
    <w:rsid w:val="000A3D48"/>
    <w:rsid w:val="000A43A1"/>
    <w:rsid w:val="000A5BFB"/>
    <w:rsid w:val="000B1CF8"/>
    <w:rsid w:val="000B2449"/>
    <w:rsid w:val="000B467B"/>
    <w:rsid w:val="000B4BD9"/>
    <w:rsid w:val="000B6450"/>
    <w:rsid w:val="000C1608"/>
    <w:rsid w:val="000C4713"/>
    <w:rsid w:val="000C4EC2"/>
    <w:rsid w:val="000C5861"/>
    <w:rsid w:val="000C6781"/>
    <w:rsid w:val="000C6AC9"/>
    <w:rsid w:val="000C712C"/>
    <w:rsid w:val="000C7F61"/>
    <w:rsid w:val="000D029A"/>
    <w:rsid w:val="000D2013"/>
    <w:rsid w:val="000D4160"/>
    <w:rsid w:val="000E2083"/>
    <w:rsid w:val="000E2CC5"/>
    <w:rsid w:val="000E4430"/>
    <w:rsid w:val="000E4D23"/>
    <w:rsid w:val="000F065F"/>
    <w:rsid w:val="000F195D"/>
    <w:rsid w:val="000F1A3D"/>
    <w:rsid w:val="000F1C03"/>
    <w:rsid w:val="000F233C"/>
    <w:rsid w:val="000F277D"/>
    <w:rsid w:val="000F3C82"/>
    <w:rsid w:val="000F702E"/>
    <w:rsid w:val="0010013A"/>
    <w:rsid w:val="0010033D"/>
    <w:rsid w:val="00101217"/>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46C8"/>
    <w:rsid w:val="001353F0"/>
    <w:rsid w:val="001353FE"/>
    <w:rsid w:val="001359F0"/>
    <w:rsid w:val="001364C3"/>
    <w:rsid w:val="00137218"/>
    <w:rsid w:val="00137EB8"/>
    <w:rsid w:val="001400C5"/>
    <w:rsid w:val="00140D67"/>
    <w:rsid w:val="00142FA5"/>
    <w:rsid w:val="001468CD"/>
    <w:rsid w:val="00147454"/>
    <w:rsid w:val="001476A3"/>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63D"/>
    <w:rsid w:val="00174D94"/>
    <w:rsid w:val="001753E5"/>
    <w:rsid w:val="001774E0"/>
    <w:rsid w:val="00180886"/>
    <w:rsid w:val="001843D1"/>
    <w:rsid w:val="00185948"/>
    <w:rsid w:val="0018740A"/>
    <w:rsid w:val="00187DA5"/>
    <w:rsid w:val="00191937"/>
    <w:rsid w:val="00196A9E"/>
    <w:rsid w:val="001A03A7"/>
    <w:rsid w:val="001A141D"/>
    <w:rsid w:val="001A2CBA"/>
    <w:rsid w:val="001A4299"/>
    <w:rsid w:val="001A4517"/>
    <w:rsid w:val="001A5315"/>
    <w:rsid w:val="001A5BF6"/>
    <w:rsid w:val="001B05B6"/>
    <w:rsid w:val="001B1984"/>
    <w:rsid w:val="001B3DA5"/>
    <w:rsid w:val="001B6EE9"/>
    <w:rsid w:val="001C0B0C"/>
    <w:rsid w:val="001C155B"/>
    <w:rsid w:val="001C1FE1"/>
    <w:rsid w:val="001C2503"/>
    <w:rsid w:val="001C354B"/>
    <w:rsid w:val="001C382A"/>
    <w:rsid w:val="001C5109"/>
    <w:rsid w:val="001C7A92"/>
    <w:rsid w:val="001D1514"/>
    <w:rsid w:val="001D1A1F"/>
    <w:rsid w:val="001D25DC"/>
    <w:rsid w:val="001D2B7E"/>
    <w:rsid w:val="001D3A44"/>
    <w:rsid w:val="001D4CE1"/>
    <w:rsid w:val="001D5F22"/>
    <w:rsid w:val="001D6693"/>
    <w:rsid w:val="001D6802"/>
    <w:rsid w:val="001D793C"/>
    <w:rsid w:val="001E0902"/>
    <w:rsid w:val="001E0AFA"/>
    <w:rsid w:val="001E0C2B"/>
    <w:rsid w:val="001E3D52"/>
    <w:rsid w:val="001E5494"/>
    <w:rsid w:val="001E5DFF"/>
    <w:rsid w:val="001F0DE2"/>
    <w:rsid w:val="001F166F"/>
    <w:rsid w:val="001F64A0"/>
    <w:rsid w:val="001F6C8F"/>
    <w:rsid w:val="002001DB"/>
    <w:rsid w:val="002035F8"/>
    <w:rsid w:val="002046D9"/>
    <w:rsid w:val="00204E92"/>
    <w:rsid w:val="0020506D"/>
    <w:rsid w:val="002072EE"/>
    <w:rsid w:val="00210732"/>
    <w:rsid w:val="00211D20"/>
    <w:rsid w:val="00213DC5"/>
    <w:rsid w:val="00215700"/>
    <w:rsid w:val="00216865"/>
    <w:rsid w:val="00217548"/>
    <w:rsid w:val="00217633"/>
    <w:rsid w:val="00217635"/>
    <w:rsid w:val="00217A60"/>
    <w:rsid w:val="002213F4"/>
    <w:rsid w:val="00221538"/>
    <w:rsid w:val="00222767"/>
    <w:rsid w:val="00222C56"/>
    <w:rsid w:val="002231EC"/>
    <w:rsid w:val="002233D2"/>
    <w:rsid w:val="00224726"/>
    <w:rsid w:val="00225AF7"/>
    <w:rsid w:val="002301CC"/>
    <w:rsid w:val="002312FA"/>
    <w:rsid w:val="00231489"/>
    <w:rsid w:val="00231883"/>
    <w:rsid w:val="002318D5"/>
    <w:rsid w:val="00232C4A"/>
    <w:rsid w:val="00240984"/>
    <w:rsid w:val="002415D3"/>
    <w:rsid w:val="00243C45"/>
    <w:rsid w:val="00244D0C"/>
    <w:rsid w:val="00245D3F"/>
    <w:rsid w:val="0024698A"/>
    <w:rsid w:val="002502E8"/>
    <w:rsid w:val="00255262"/>
    <w:rsid w:val="00256D3B"/>
    <w:rsid w:val="00262425"/>
    <w:rsid w:val="00263198"/>
    <w:rsid w:val="002638C2"/>
    <w:rsid w:val="0026399E"/>
    <w:rsid w:val="00263BBE"/>
    <w:rsid w:val="00264FE8"/>
    <w:rsid w:val="0026548E"/>
    <w:rsid w:val="0026556E"/>
    <w:rsid w:val="00265645"/>
    <w:rsid w:val="002656AF"/>
    <w:rsid w:val="002667B1"/>
    <w:rsid w:val="00266F49"/>
    <w:rsid w:val="002675E9"/>
    <w:rsid w:val="00267EF1"/>
    <w:rsid w:val="002701DE"/>
    <w:rsid w:val="00270411"/>
    <w:rsid w:val="00271C78"/>
    <w:rsid w:val="00271D3D"/>
    <w:rsid w:val="002722A0"/>
    <w:rsid w:val="00272DA6"/>
    <w:rsid w:val="00274099"/>
    <w:rsid w:val="00274E30"/>
    <w:rsid w:val="00280E6C"/>
    <w:rsid w:val="002811AD"/>
    <w:rsid w:val="002815DC"/>
    <w:rsid w:val="00282581"/>
    <w:rsid w:val="002836CC"/>
    <w:rsid w:val="002843B0"/>
    <w:rsid w:val="00287C5E"/>
    <w:rsid w:val="0029356D"/>
    <w:rsid w:val="00294759"/>
    <w:rsid w:val="00294907"/>
    <w:rsid w:val="002979F3"/>
    <w:rsid w:val="002A10F5"/>
    <w:rsid w:val="002A3E05"/>
    <w:rsid w:val="002A3F2B"/>
    <w:rsid w:val="002A4A55"/>
    <w:rsid w:val="002A5C6A"/>
    <w:rsid w:val="002A6C5F"/>
    <w:rsid w:val="002A7137"/>
    <w:rsid w:val="002B021F"/>
    <w:rsid w:val="002B127D"/>
    <w:rsid w:val="002B2BEF"/>
    <w:rsid w:val="002B2F3A"/>
    <w:rsid w:val="002B708D"/>
    <w:rsid w:val="002C02AC"/>
    <w:rsid w:val="002C2349"/>
    <w:rsid w:val="002C3730"/>
    <w:rsid w:val="002C4695"/>
    <w:rsid w:val="002D1CB4"/>
    <w:rsid w:val="002D28E7"/>
    <w:rsid w:val="002D5635"/>
    <w:rsid w:val="002D5DB3"/>
    <w:rsid w:val="002E0C70"/>
    <w:rsid w:val="002E1601"/>
    <w:rsid w:val="002E1FE6"/>
    <w:rsid w:val="002E25CB"/>
    <w:rsid w:val="002E347F"/>
    <w:rsid w:val="002E5064"/>
    <w:rsid w:val="002E50E8"/>
    <w:rsid w:val="002E708B"/>
    <w:rsid w:val="002E7C30"/>
    <w:rsid w:val="002F0C0A"/>
    <w:rsid w:val="002F161B"/>
    <w:rsid w:val="002F2362"/>
    <w:rsid w:val="002F3608"/>
    <w:rsid w:val="002F37F1"/>
    <w:rsid w:val="002F5EDC"/>
    <w:rsid w:val="00301982"/>
    <w:rsid w:val="00305A24"/>
    <w:rsid w:val="003066A7"/>
    <w:rsid w:val="0031089E"/>
    <w:rsid w:val="00312155"/>
    <w:rsid w:val="00314177"/>
    <w:rsid w:val="0031785B"/>
    <w:rsid w:val="00322ECF"/>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57F46"/>
    <w:rsid w:val="00361FCE"/>
    <w:rsid w:val="00362794"/>
    <w:rsid w:val="00363599"/>
    <w:rsid w:val="003640EB"/>
    <w:rsid w:val="00364AE9"/>
    <w:rsid w:val="003656C9"/>
    <w:rsid w:val="003708D2"/>
    <w:rsid w:val="00371C38"/>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A44"/>
    <w:rsid w:val="00393AC4"/>
    <w:rsid w:val="00395CD4"/>
    <w:rsid w:val="00396C9F"/>
    <w:rsid w:val="003A4074"/>
    <w:rsid w:val="003A49A0"/>
    <w:rsid w:val="003B0886"/>
    <w:rsid w:val="003B2E01"/>
    <w:rsid w:val="003B631A"/>
    <w:rsid w:val="003B675C"/>
    <w:rsid w:val="003B6A27"/>
    <w:rsid w:val="003B72CF"/>
    <w:rsid w:val="003B7547"/>
    <w:rsid w:val="003B7E83"/>
    <w:rsid w:val="003C00AB"/>
    <w:rsid w:val="003C1842"/>
    <w:rsid w:val="003C1F10"/>
    <w:rsid w:val="003C2FCE"/>
    <w:rsid w:val="003C43B5"/>
    <w:rsid w:val="003C6DFC"/>
    <w:rsid w:val="003D1270"/>
    <w:rsid w:val="003D4D11"/>
    <w:rsid w:val="003D50A2"/>
    <w:rsid w:val="003D591A"/>
    <w:rsid w:val="003D5AC0"/>
    <w:rsid w:val="003D72B9"/>
    <w:rsid w:val="003D77B3"/>
    <w:rsid w:val="003D7BDF"/>
    <w:rsid w:val="003E12C8"/>
    <w:rsid w:val="003E14FD"/>
    <w:rsid w:val="003E199B"/>
    <w:rsid w:val="003E2F08"/>
    <w:rsid w:val="003E3209"/>
    <w:rsid w:val="003E5936"/>
    <w:rsid w:val="003E672F"/>
    <w:rsid w:val="003E7D46"/>
    <w:rsid w:val="003E7D53"/>
    <w:rsid w:val="003F1268"/>
    <w:rsid w:val="003F4DE4"/>
    <w:rsid w:val="003F5AC7"/>
    <w:rsid w:val="00400E63"/>
    <w:rsid w:val="00401CA3"/>
    <w:rsid w:val="0040271C"/>
    <w:rsid w:val="00402DB9"/>
    <w:rsid w:val="00404623"/>
    <w:rsid w:val="00404BE1"/>
    <w:rsid w:val="0040560D"/>
    <w:rsid w:val="00405A25"/>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1769"/>
    <w:rsid w:val="00442092"/>
    <w:rsid w:val="0044292C"/>
    <w:rsid w:val="00444195"/>
    <w:rsid w:val="0044431E"/>
    <w:rsid w:val="00445BCF"/>
    <w:rsid w:val="00446BA1"/>
    <w:rsid w:val="004472F4"/>
    <w:rsid w:val="004479EF"/>
    <w:rsid w:val="00447B7A"/>
    <w:rsid w:val="00450788"/>
    <w:rsid w:val="00450A53"/>
    <w:rsid w:val="00450FB9"/>
    <w:rsid w:val="00452163"/>
    <w:rsid w:val="00455855"/>
    <w:rsid w:val="0045643F"/>
    <w:rsid w:val="0045646B"/>
    <w:rsid w:val="00457933"/>
    <w:rsid w:val="00457C90"/>
    <w:rsid w:val="004605F5"/>
    <w:rsid w:val="004618E0"/>
    <w:rsid w:val="004632B7"/>
    <w:rsid w:val="004649F9"/>
    <w:rsid w:val="004660F4"/>
    <w:rsid w:val="004700BC"/>
    <w:rsid w:val="00472966"/>
    <w:rsid w:val="00475562"/>
    <w:rsid w:val="004755BF"/>
    <w:rsid w:val="004779C4"/>
    <w:rsid w:val="0048097C"/>
    <w:rsid w:val="00483C36"/>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3DB"/>
    <w:rsid w:val="004B248E"/>
    <w:rsid w:val="004B48A4"/>
    <w:rsid w:val="004B591A"/>
    <w:rsid w:val="004B6C22"/>
    <w:rsid w:val="004C12BC"/>
    <w:rsid w:val="004C1AF6"/>
    <w:rsid w:val="004C345E"/>
    <w:rsid w:val="004C4EF3"/>
    <w:rsid w:val="004C614F"/>
    <w:rsid w:val="004C7C8A"/>
    <w:rsid w:val="004D15E6"/>
    <w:rsid w:val="004D1970"/>
    <w:rsid w:val="004D1CB5"/>
    <w:rsid w:val="004D1F86"/>
    <w:rsid w:val="004D25F4"/>
    <w:rsid w:val="004D2D40"/>
    <w:rsid w:val="004D568E"/>
    <w:rsid w:val="004D5D9A"/>
    <w:rsid w:val="004D7392"/>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0921"/>
    <w:rsid w:val="0050563E"/>
    <w:rsid w:val="0050592F"/>
    <w:rsid w:val="00505AFD"/>
    <w:rsid w:val="0050688B"/>
    <w:rsid w:val="00507F33"/>
    <w:rsid w:val="00510748"/>
    <w:rsid w:val="00511485"/>
    <w:rsid w:val="0051211E"/>
    <w:rsid w:val="00512F14"/>
    <w:rsid w:val="00514787"/>
    <w:rsid w:val="00515E4F"/>
    <w:rsid w:val="005161B8"/>
    <w:rsid w:val="00516960"/>
    <w:rsid w:val="0052020C"/>
    <w:rsid w:val="00520D0D"/>
    <w:rsid w:val="00520FFD"/>
    <w:rsid w:val="00521291"/>
    <w:rsid w:val="00521DC7"/>
    <w:rsid w:val="005231F8"/>
    <w:rsid w:val="005252F7"/>
    <w:rsid w:val="0052532F"/>
    <w:rsid w:val="0052784E"/>
    <w:rsid w:val="00530EEB"/>
    <w:rsid w:val="005318C1"/>
    <w:rsid w:val="00531C68"/>
    <w:rsid w:val="0053385F"/>
    <w:rsid w:val="00533ABF"/>
    <w:rsid w:val="00533D91"/>
    <w:rsid w:val="00540982"/>
    <w:rsid w:val="00541248"/>
    <w:rsid w:val="005432B8"/>
    <w:rsid w:val="0054354F"/>
    <w:rsid w:val="00543A6E"/>
    <w:rsid w:val="00544462"/>
    <w:rsid w:val="005462CE"/>
    <w:rsid w:val="00550658"/>
    <w:rsid w:val="00551451"/>
    <w:rsid w:val="00551D97"/>
    <w:rsid w:val="00553CAC"/>
    <w:rsid w:val="00553E2C"/>
    <w:rsid w:val="00554582"/>
    <w:rsid w:val="0055546B"/>
    <w:rsid w:val="00555D7D"/>
    <w:rsid w:val="00556ED2"/>
    <w:rsid w:val="00560A85"/>
    <w:rsid w:val="00561F22"/>
    <w:rsid w:val="00564044"/>
    <w:rsid w:val="005642EB"/>
    <w:rsid w:val="0056495B"/>
    <w:rsid w:val="00564D44"/>
    <w:rsid w:val="005651CF"/>
    <w:rsid w:val="00565B70"/>
    <w:rsid w:val="00566BFB"/>
    <w:rsid w:val="0056734B"/>
    <w:rsid w:val="00567F2A"/>
    <w:rsid w:val="005700F9"/>
    <w:rsid w:val="00570ABE"/>
    <w:rsid w:val="00571AA0"/>
    <w:rsid w:val="00574C59"/>
    <w:rsid w:val="00575EF6"/>
    <w:rsid w:val="005763D0"/>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609C"/>
    <w:rsid w:val="005979D4"/>
    <w:rsid w:val="005A0826"/>
    <w:rsid w:val="005A0EF9"/>
    <w:rsid w:val="005A3114"/>
    <w:rsid w:val="005A4EDE"/>
    <w:rsid w:val="005A6D22"/>
    <w:rsid w:val="005A7917"/>
    <w:rsid w:val="005B1F58"/>
    <w:rsid w:val="005B5C47"/>
    <w:rsid w:val="005B6369"/>
    <w:rsid w:val="005B7799"/>
    <w:rsid w:val="005B78FB"/>
    <w:rsid w:val="005C0EBA"/>
    <w:rsid w:val="005C48D0"/>
    <w:rsid w:val="005C7986"/>
    <w:rsid w:val="005C7C53"/>
    <w:rsid w:val="005D298E"/>
    <w:rsid w:val="005D46BD"/>
    <w:rsid w:val="005D5D00"/>
    <w:rsid w:val="005D7E93"/>
    <w:rsid w:val="005E2077"/>
    <w:rsid w:val="005E3E38"/>
    <w:rsid w:val="005E3F9D"/>
    <w:rsid w:val="005E6633"/>
    <w:rsid w:val="005E6BFC"/>
    <w:rsid w:val="005E6D03"/>
    <w:rsid w:val="005E6DFD"/>
    <w:rsid w:val="005E6FA8"/>
    <w:rsid w:val="005F14EA"/>
    <w:rsid w:val="005F20EB"/>
    <w:rsid w:val="005F3944"/>
    <w:rsid w:val="005F5196"/>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38E9"/>
    <w:rsid w:val="00624439"/>
    <w:rsid w:val="00624E40"/>
    <w:rsid w:val="00626EB0"/>
    <w:rsid w:val="00626F71"/>
    <w:rsid w:val="0063077C"/>
    <w:rsid w:val="00632382"/>
    <w:rsid w:val="00633E5D"/>
    <w:rsid w:val="00634025"/>
    <w:rsid w:val="00635265"/>
    <w:rsid w:val="00637ACB"/>
    <w:rsid w:val="00640553"/>
    <w:rsid w:val="0064088D"/>
    <w:rsid w:val="00641074"/>
    <w:rsid w:val="00645B80"/>
    <w:rsid w:val="00645EC1"/>
    <w:rsid w:val="00646F58"/>
    <w:rsid w:val="00650CE4"/>
    <w:rsid w:val="006532B4"/>
    <w:rsid w:val="00654950"/>
    <w:rsid w:val="006552D1"/>
    <w:rsid w:val="006566A3"/>
    <w:rsid w:val="00657373"/>
    <w:rsid w:val="00660483"/>
    <w:rsid w:val="006606FA"/>
    <w:rsid w:val="006614DF"/>
    <w:rsid w:val="00662231"/>
    <w:rsid w:val="00662436"/>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4622"/>
    <w:rsid w:val="00695AAB"/>
    <w:rsid w:val="0069712B"/>
    <w:rsid w:val="006A0C02"/>
    <w:rsid w:val="006A353F"/>
    <w:rsid w:val="006A355A"/>
    <w:rsid w:val="006A39AD"/>
    <w:rsid w:val="006A3B96"/>
    <w:rsid w:val="006A60B1"/>
    <w:rsid w:val="006A6236"/>
    <w:rsid w:val="006A6635"/>
    <w:rsid w:val="006A6734"/>
    <w:rsid w:val="006A6CE3"/>
    <w:rsid w:val="006A6EE2"/>
    <w:rsid w:val="006A7460"/>
    <w:rsid w:val="006B2182"/>
    <w:rsid w:val="006B2402"/>
    <w:rsid w:val="006B27AC"/>
    <w:rsid w:val="006B5009"/>
    <w:rsid w:val="006B518B"/>
    <w:rsid w:val="006B5E62"/>
    <w:rsid w:val="006B5F72"/>
    <w:rsid w:val="006C2526"/>
    <w:rsid w:val="006C2C1A"/>
    <w:rsid w:val="006C2D2D"/>
    <w:rsid w:val="006C3058"/>
    <w:rsid w:val="006C5FF9"/>
    <w:rsid w:val="006C660B"/>
    <w:rsid w:val="006C6A32"/>
    <w:rsid w:val="006D0046"/>
    <w:rsid w:val="006D1724"/>
    <w:rsid w:val="006D1F1B"/>
    <w:rsid w:val="006D2895"/>
    <w:rsid w:val="006D2CD8"/>
    <w:rsid w:val="006D6B63"/>
    <w:rsid w:val="006E0043"/>
    <w:rsid w:val="006E02F0"/>
    <w:rsid w:val="006E0802"/>
    <w:rsid w:val="006E0849"/>
    <w:rsid w:val="006E1DF7"/>
    <w:rsid w:val="006E3E81"/>
    <w:rsid w:val="006F068D"/>
    <w:rsid w:val="006F078C"/>
    <w:rsid w:val="006F10BE"/>
    <w:rsid w:val="006F1EF7"/>
    <w:rsid w:val="006F2940"/>
    <w:rsid w:val="006F3043"/>
    <w:rsid w:val="006F3134"/>
    <w:rsid w:val="006F3B2D"/>
    <w:rsid w:val="006F4D5F"/>
    <w:rsid w:val="006F77CB"/>
    <w:rsid w:val="006F7EFA"/>
    <w:rsid w:val="00701F5F"/>
    <w:rsid w:val="00704908"/>
    <w:rsid w:val="00704D99"/>
    <w:rsid w:val="00706883"/>
    <w:rsid w:val="0070781D"/>
    <w:rsid w:val="00707C41"/>
    <w:rsid w:val="00711D21"/>
    <w:rsid w:val="007131A8"/>
    <w:rsid w:val="007132CD"/>
    <w:rsid w:val="00717AFA"/>
    <w:rsid w:val="00717B69"/>
    <w:rsid w:val="00720FEE"/>
    <w:rsid w:val="00721002"/>
    <w:rsid w:val="00722320"/>
    <w:rsid w:val="0072341B"/>
    <w:rsid w:val="007260B1"/>
    <w:rsid w:val="00730189"/>
    <w:rsid w:val="00732AFB"/>
    <w:rsid w:val="0073490F"/>
    <w:rsid w:val="00735D1F"/>
    <w:rsid w:val="007365B8"/>
    <w:rsid w:val="00737FE4"/>
    <w:rsid w:val="007408C4"/>
    <w:rsid w:val="00740EEE"/>
    <w:rsid w:val="00741D0D"/>
    <w:rsid w:val="007420FC"/>
    <w:rsid w:val="00742B1C"/>
    <w:rsid w:val="00744350"/>
    <w:rsid w:val="007456F6"/>
    <w:rsid w:val="0074623A"/>
    <w:rsid w:val="00747122"/>
    <w:rsid w:val="00751774"/>
    <w:rsid w:val="00752940"/>
    <w:rsid w:val="00753331"/>
    <w:rsid w:val="00753A25"/>
    <w:rsid w:val="00754C94"/>
    <w:rsid w:val="00755B9F"/>
    <w:rsid w:val="00755F8A"/>
    <w:rsid w:val="00761B0B"/>
    <w:rsid w:val="0076307D"/>
    <w:rsid w:val="00765A39"/>
    <w:rsid w:val="00765FD3"/>
    <w:rsid w:val="0076656C"/>
    <w:rsid w:val="007674CD"/>
    <w:rsid w:val="00771383"/>
    <w:rsid w:val="007736A0"/>
    <w:rsid w:val="00773E40"/>
    <w:rsid w:val="00774319"/>
    <w:rsid w:val="00774530"/>
    <w:rsid w:val="007746DE"/>
    <w:rsid w:val="00775409"/>
    <w:rsid w:val="00780464"/>
    <w:rsid w:val="00780883"/>
    <w:rsid w:val="00781B54"/>
    <w:rsid w:val="00781CFE"/>
    <w:rsid w:val="00783499"/>
    <w:rsid w:val="0078502F"/>
    <w:rsid w:val="0078581A"/>
    <w:rsid w:val="00785C49"/>
    <w:rsid w:val="00787E1A"/>
    <w:rsid w:val="00792E6B"/>
    <w:rsid w:val="0079339F"/>
    <w:rsid w:val="00793902"/>
    <w:rsid w:val="00793D13"/>
    <w:rsid w:val="00796005"/>
    <w:rsid w:val="00797CE5"/>
    <w:rsid w:val="007A04AE"/>
    <w:rsid w:val="007A1B38"/>
    <w:rsid w:val="007A4BCA"/>
    <w:rsid w:val="007A68E5"/>
    <w:rsid w:val="007A6E11"/>
    <w:rsid w:val="007A70F6"/>
    <w:rsid w:val="007A7E24"/>
    <w:rsid w:val="007B05A3"/>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E6A38"/>
    <w:rsid w:val="007F0BF8"/>
    <w:rsid w:val="007F1365"/>
    <w:rsid w:val="007F29AF"/>
    <w:rsid w:val="007F3079"/>
    <w:rsid w:val="007F3624"/>
    <w:rsid w:val="007F51C0"/>
    <w:rsid w:val="007F54C1"/>
    <w:rsid w:val="007F61E4"/>
    <w:rsid w:val="007F6C9E"/>
    <w:rsid w:val="007F71CD"/>
    <w:rsid w:val="00800459"/>
    <w:rsid w:val="0080163C"/>
    <w:rsid w:val="00803126"/>
    <w:rsid w:val="00803AC2"/>
    <w:rsid w:val="00803CA0"/>
    <w:rsid w:val="00803FF6"/>
    <w:rsid w:val="008063C6"/>
    <w:rsid w:val="008070A9"/>
    <w:rsid w:val="008109F5"/>
    <w:rsid w:val="008144B8"/>
    <w:rsid w:val="0081466A"/>
    <w:rsid w:val="008150DF"/>
    <w:rsid w:val="0081523A"/>
    <w:rsid w:val="00816752"/>
    <w:rsid w:val="00817F02"/>
    <w:rsid w:val="008205E9"/>
    <w:rsid w:val="00821385"/>
    <w:rsid w:val="00822887"/>
    <w:rsid w:val="00825D39"/>
    <w:rsid w:val="00827CFC"/>
    <w:rsid w:val="00831F0A"/>
    <w:rsid w:val="008323C4"/>
    <w:rsid w:val="00832EB7"/>
    <w:rsid w:val="00835E25"/>
    <w:rsid w:val="00841AA4"/>
    <w:rsid w:val="00842452"/>
    <w:rsid w:val="00843107"/>
    <w:rsid w:val="00844463"/>
    <w:rsid w:val="00844499"/>
    <w:rsid w:val="0084479F"/>
    <w:rsid w:val="0084511C"/>
    <w:rsid w:val="00846674"/>
    <w:rsid w:val="00847927"/>
    <w:rsid w:val="008504A9"/>
    <w:rsid w:val="008506B1"/>
    <w:rsid w:val="00851AF7"/>
    <w:rsid w:val="00856518"/>
    <w:rsid w:val="00856DD9"/>
    <w:rsid w:val="00857884"/>
    <w:rsid w:val="00864138"/>
    <w:rsid w:val="00865A0E"/>
    <w:rsid w:val="008678D0"/>
    <w:rsid w:val="00870878"/>
    <w:rsid w:val="0087146E"/>
    <w:rsid w:val="008767FE"/>
    <w:rsid w:val="00876A5A"/>
    <w:rsid w:val="00877A4C"/>
    <w:rsid w:val="008817DC"/>
    <w:rsid w:val="00883D1A"/>
    <w:rsid w:val="00886003"/>
    <w:rsid w:val="00886363"/>
    <w:rsid w:val="00887AB3"/>
    <w:rsid w:val="00891988"/>
    <w:rsid w:val="00891A57"/>
    <w:rsid w:val="008935D1"/>
    <w:rsid w:val="00894FE4"/>
    <w:rsid w:val="0089643F"/>
    <w:rsid w:val="00897D2F"/>
    <w:rsid w:val="008A08AA"/>
    <w:rsid w:val="008A0E66"/>
    <w:rsid w:val="008A253E"/>
    <w:rsid w:val="008A3141"/>
    <w:rsid w:val="008A3458"/>
    <w:rsid w:val="008A39AF"/>
    <w:rsid w:val="008A431C"/>
    <w:rsid w:val="008A4D36"/>
    <w:rsid w:val="008A5898"/>
    <w:rsid w:val="008A6210"/>
    <w:rsid w:val="008A693B"/>
    <w:rsid w:val="008A6E79"/>
    <w:rsid w:val="008B0D1A"/>
    <w:rsid w:val="008B3186"/>
    <w:rsid w:val="008B3562"/>
    <w:rsid w:val="008B4C2A"/>
    <w:rsid w:val="008B5E03"/>
    <w:rsid w:val="008B61AE"/>
    <w:rsid w:val="008C00A2"/>
    <w:rsid w:val="008C272E"/>
    <w:rsid w:val="008C288D"/>
    <w:rsid w:val="008C2F39"/>
    <w:rsid w:val="008C3953"/>
    <w:rsid w:val="008C3B67"/>
    <w:rsid w:val="008C5112"/>
    <w:rsid w:val="008C5BC8"/>
    <w:rsid w:val="008C6CD0"/>
    <w:rsid w:val="008C6E1E"/>
    <w:rsid w:val="008C7A5B"/>
    <w:rsid w:val="008D379C"/>
    <w:rsid w:val="008D5FEC"/>
    <w:rsid w:val="008D76C7"/>
    <w:rsid w:val="008D778B"/>
    <w:rsid w:val="008D77F9"/>
    <w:rsid w:val="008D7B0A"/>
    <w:rsid w:val="008E03B4"/>
    <w:rsid w:val="008E0B95"/>
    <w:rsid w:val="008E3889"/>
    <w:rsid w:val="008E41FE"/>
    <w:rsid w:val="008E5CE0"/>
    <w:rsid w:val="008E6690"/>
    <w:rsid w:val="008E6ABD"/>
    <w:rsid w:val="008F02AD"/>
    <w:rsid w:val="008F0C0C"/>
    <w:rsid w:val="008F18F4"/>
    <w:rsid w:val="008F1E97"/>
    <w:rsid w:val="008F4C8B"/>
    <w:rsid w:val="008F4E1E"/>
    <w:rsid w:val="008F5B8E"/>
    <w:rsid w:val="008F63F6"/>
    <w:rsid w:val="009001BC"/>
    <w:rsid w:val="009005AC"/>
    <w:rsid w:val="0090064B"/>
    <w:rsid w:val="00900C53"/>
    <w:rsid w:val="009011FF"/>
    <w:rsid w:val="00902666"/>
    <w:rsid w:val="0090380D"/>
    <w:rsid w:val="00905A9C"/>
    <w:rsid w:val="009067A2"/>
    <w:rsid w:val="00910F14"/>
    <w:rsid w:val="009112E3"/>
    <w:rsid w:val="00913A2E"/>
    <w:rsid w:val="00913DAF"/>
    <w:rsid w:val="00916A47"/>
    <w:rsid w:val="00927BCF"/>
    <w:rsid w:val="0093120E"/>
    <w:rsid w:val="0093217E"/>
    <w:rsid w:val="00932609"/>
    <w:rsid w:val="00933ED0"/>
    <w:rsid w:val="00935DE1"/>
    <w:rsid w:val="0093752E"/>
    <w:rsid w:val="00941330"/>
    <w:rsid w:val="009413BA"/>
    <w:rsid w:val="009416C2"/>
    <w:rsid w:val="0094173B"/>
    <w:rsid w:val="00941AF7"/>
    <w:rsid w:val="00941EF6"/>
    <w:rsid w:val="00943221"/>
    <w:rsid w:val="009435E0"/>
    <w:rsid w:val="0094405D"/>
    <w:rsid w:val="00944399"/>
    <w:rsid w:val="00944BDD"/>
    <w:rsid w:val="00944E6B"/>
    <w:rsid w:val="00945AD9"/>
    <w:rsid w:val="00950416"/>
    <w:rsid w:val="009507A4"/>
    <w:rsid w:val="0095083D"/>
    <w:rsid w:val="009529F1"/>
    <w:rsid w:val="009536B4"/>
    <w:rsid w:val="00957550"/>
    <w:rsid w:val="009576F4"/>
    <w:rsid w:val="00957758"/>
    <w:rsid w:val="009604EB"/>
    <w:rsid w:val="00960DF3"/>
    <w:rsid w:val="00961118"/>
    <w:rsid w:val="0096369F"/>
    <w:rsid w:val="009676C9"/>
    <w:rsid w:val="00971FCB"/>
    <w:rsid w:val="00972E37"/>
    <w:rsid w:val="00974399"/>
    <w:rsid w:val="009755AC"/>
    <w:rsid w:val="00976749"/>
    <w:rsid w:val="00976A9F"/>
    <w:rsid w:val="00980F7C"/>
    <w:rsid w:val="00983E57"/>
    <w:rsid w:val="00984EB9"/>
    <w:rsid w:val="009874FC"/>
    <w:rsid w:val="0099017C"/>
    <w:rsid w:val="009901D6"/>
    <w:rsid w:val="009906B0"/>
    <w:rsid w:val="00991169"/>
    <w:rsid w:val="00992CFB"/>
    <w:rsid w:val="0099343F"/>
    <w:rsid w:val="00996969"/>
    <w:rsid w:val="009A06BB"/>
    <w:rsid w:val="009A14B9"/>
    <w:rsid w:val="009A1602"/>
    <w:rsid w:val="009A38DE"/>
    <w:rsid w:val="009A38FF"/>
    <w:rsid w:val="009A4BB7"/>
    <w:rsid w:val="009B0F50"/>
    <w:rsid w:val="009B1239"/>
    <w:rsid w:val="009B27F8"/>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B77"/>
    <w:rsid w:val="009D6FB7"/>
    <w:rsid w:val="009D780A"/>
    <w:rsid w:val="009E2840"/>
    <w:rsid w:val="009E4469"/>
    <w:rsid w:val="009E4E4E"/>
    <w:rsid w:val="009F2B11"/>
    <w:rsid w:val="009F395D"/>
    <w:rsid w:val="009F6B62"/>
    <w:rsid w:val="009F714B"/>
    <w:rsid w:val="009F7278"/>
    <w:rsid w:val="00A01933"/>
    <w:rsid w:val="00A02F78"/>
    <w:rsid w:val="00A034C2"/>
    <w:rsid w:val="00A0378A"/>
    <w:rsid w:val="00A057AD"/>
    <w:rsid w:val="00A05932"/>
    <w:rsid w:val="00A079E9"/>
    <w:rsid w:val="00A11590"/>
    <w:rsid w:val="00A12D3B"/>
    <w:rsid w:val="00A13EC9"/>
    <w:rsid w:val="00A15BBB"/>
    <w:rsid w:val="00A1689E"/>
    <w:rsid w:val="00A20E32"/>
    <w:rsid w:val="00A21020"/>
    <w:rsid w:val="00A21197"/>
    <w:rsid w:val="00A233FD"/>
    <w:rsid w:val="00A25B61"/>
    <w:rsid w:val="00A261BF"/>
    <w:rsid w:val="00A26777"/>
    <w:rsid w:val="00A3098F"/>
    <w:rsid w:val="00A3130A"/>
    <w:rsid w:val="00A3141D"/>
    <w:rsid w:val="00A32C37"/>
    <w:rsid w:val="00A34B06"/>
    <w:rsid w:val="00A35CD1"/>
    <w:rsid w:val="00A363C6"/>
    <w:rsid w:val="00A369F2"/>
    <w:rsid w:val="00A402C9"/>
    <w:rsid w:val="00A41135"/>
    <w:rsid w:val="00A448D4"/>
    <w:rsid w:val="00A450C9"/>
    <w:rsid w:val="00A469AE"/>
    <w:rsid w:val="00A46FF1"/>
    <w:rsid w:val="00A4773F"/>
    <w:rsid w:val="00A503B0"/>
    <w:rsid w:val="00A53C08"/>
    <w:rsid w:val="00A53C7B"/>
    <w:rsid w:val="00A565AF"/>
    <w:rsid w:val="00A60AA2"/>
    <w:rsid w:val="00A70B32"/>
    <w:rsid w:val="00A7114C"/>
    <w:rsid w:val="00A721D6"/>
    <w:rsid w:val="00A72C16"/>
    <w:rsid w:val="00A759C5"/>
    <w:rsid w:val="00A81268"/>
    <w:rsid w:val="00A82BA0"/>
    <w:rsid w:val="00A838FB"/>
    <w:rsid w:val="00A8490A"/>
    <w:rsid w:val="00A87D4B"/>
    <w:rsid w:val="00A932E5"/>
    <w:rsid w:val="00A95530"/>
    <w:rsid w:val="00A96F16"/>
    <w:rsid w:val="00A96F55"/>
    <w:rsid w:val="00AA0317"/>
    <w:rsid w:val="00AA322D"/>
    <w:rsid w:val="00AA5B5C"/>
    <w:rsid w:val="00AA647B"/>
    <w:rsid w:val="00AA764A"/>
    <w:rsid w:val="00AB0CFD"/>
    <w:rsid w:val="00AB1A84"/>
    <w:rsid w:val="00AB1AC9"/>
    <w:rsid w:val="00AB431E"/>
    <w:rsid w:val="00AB4C88"/>
    <w:rsid w:val="00AB5AF3"/>
    <w:rsid w:val="00AC1E43"/>
    <w:rsid w:val="00AC21A0"/>
    <w:rsid w:val="00AC2293"/>
    <w:rsid w:val="00AC347D"/>
    <w:rsid w:val="00AC4A92"/>
    <w:rsid w:val="00AC4B61"/>
    <w:rsid w:val="00AC5183"/>
    <w:rsid w:val="00AC72D1"/>
    <w:rsid w:val="00AC7A7C"/>
    <w:rsid w:val="00AD25E8"/>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51BA"/>
    <w:rsid w:val="00B167BE"/>
    <w:rsid w:val="00B1733C"/>
    <w:rsid w:val="00B21285"/>
    <w:rsid w:val="00B21AF5"/>
    <w:rsid w:val="00B2276A"/>
    <w:rsid w:val="00B23474"/>
    <w:rsid w:val="00B26578"/>
    <w:rsid w:val="00B306FD"/>
    <w:rsid w:val="00B31079"/>
    <w:rsid w:val="00B321A4"/>
    <w:rsid w:val="00B33947"/>
    <w:rsid w:val="00B34EF1"/>
    <w:rsid w:val="00B40A87"/>
    <w:rsid w:val="00B40E38"/>
    <w:rsid w:val="00B41145"/>
    <w:rsid w:val="00B41C0C"/>
    <w:rsid w:val="00B431B2"/>
    <w:rsid w:val="00B4483E"/>
    <w:rsid w:val="00B44AFE"/>
    <w:rsid w:val="00B44BAC"/>
    <w:rsid w:val="00B45362"/>
    <w:rsid w:val="00B4707D"/>
    <w:rsid w:val="00B47E3B"/>
    <w:rsid w:val="00B500D2"/>
    <w:rsid w:val="00B5171A"/>
    <w:rsid w:val="00B51886"/>
    <w:rsid w:val="00B51BC0"/>
    <w:rsid w:val="00B5354F"/>
    <w:rsid w:val="00B5669C"/>
    <w:rsid w:val="00B575FA"/>
    <w:rsid w:val="00B61FE3"/>
    <w:rsid w:val="00B6317E"/>
    <w:rsid w:val="00B6454E"/>
    <w:rsid w:val="00B65573"/>
    <w:rsid w:val="00B70C0E"/>
    <w:rsid w:val="00B71A44"/>
    <w:rsid w:val="00B72259"/>
    <w:rsid w:val="00B73787"/>
    <w:rsid w:val="00B7442B"/>
    <w:rsid w:val="00B7479C"/>
    <w:rsid w:val="00B80693"/>
    <w:rsid w:val="00B8321C"/>
    <w:rsid w:val="00B83E68"/>
    <w:rsid w:val="00B841C8"/>
    <w:rsid w:val="00B857A0"/>
    <w:rsid w:val="00B87640"/>
    <w:rsid w:val="00B90805"/>
    <w:rsid w:val="00B921E0"/>
    <w:rsid w:val="00B94F83"/>
    <w:rsid w:val="00B94FF5"/>
    <w:rsid w:val="00B95298"/>
    <w:rsid w:val="00BA4500"/>
    <w:rsid w:val="00BA7CA4"/>
    <w:rsid w:val="00BB0502"/>
    <w:rsid w:val="00BB4AF6"/>
    <w:rsid w:val="00BB4FD0"/>
    <w:rsid w:val="00BB52F9"/>
    <w:rsid w:val="00BB568D"/>
    <w:rsid w:val="00BB5E6E"/>
    <w:rsid w:val="00BB743D"/>
    <w:rsid w:val="00BC177C"/>
    <w:rsid w:val="00BC195C"/>
    <w:rsid w:val="00BC3106"/>
    <w:rsid w:val="00BC3227"/>
    <w:rsid w:val="00BC4F15"/>
    <w:rsid w:val="00BC5240"/>
    <w:rsid w:val="00BC6219"/>
    <w:rsid w:val="00BC7C21"/>
    <w:rsid w:val="00BD0CFE"/>
    <w:rsid w:val="00BD122C"/>
    <w:rsid w:val="00BD1B7A"/>
    <w:rsid w:val="00BD1F48"/>
    <w:rsid w:val="00BD370C"/>
    <w:rsid w:val="00BD4764"/>
    <w:rsid w:val="00BD4DF5"/>
    <w:rsid w:val="00BD56CE"/>
    <w:rsid w:val="00BD6742"/>
    <w:rsid w:val="00BD6D8F"/>
    <w:rsid w:val="00BD7FED"/>
    <w:rsid w:val="00BE09C0"/>
    <w:rsid w:val="00BE47C2"/>
    <w:rsid w:val="00BE4E43"/>
    <w:rsid w:val="00BE609E"/>
    <w:rsid w:val="00BF05CD"/>
    <w:rsid w:val="00BF0C69"/>
    <w:rsid w:val="00BF2599"/>
    <w:rsid w:val="00BF3E8A"/>
    <w:rsid w:val="00BF4181"/>
    <w:rsid w:val="00BF43D6"/>
    <w:rsid w:val="00BF5748"/>
    <w:rsid w:val="00BF602E"/>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39BA"/>
    <w:rsid w:val="00C1400F"/>
    <w:rsid w:val="00C1438C"/>
    <w:rsid w:val="00C15256"/>
    <w:rsid w:val="00C15B99"/>
    <w:rsid w:val="00C15C28"/>
    <w:rsid w:val="00C172DD"/>
    <w:rsid w:val="00C2005A"/>
    <w:rsid w:val="00C2023E"/>
    <w:rsid w:val="00C240E0"/>
    <w:rsid w:val="00C241C5"/>
    <w:rsid w:val="00C24732"/>
    <w:rsid w:val="00C24FBC"/>
    <w:rsid w:val="00C272ED"/>
    <w:rsid w:val="00C27D9B"/>
    <w:rsid w:val="00C3395C"/>
    <w:rsid w:val="00C34EAD"/>
    <w:rsid w:val="00C359D8"/>
    <w:rsid w:val="00C370DE"/>
    <w:rsid w:val="00C37C3A"/>
    <w:rsid w:val="00C40305"/>
    <w:rsid w:val="00C43929"/>
    <w:rsid w:val="00C43954"/>
    <w:rsid w:val="00C43F53"/>
    <w:rsid w:val="00C4510B"/>
    <w:rsid w:val="00C45ABE"/>
    <w:rsid w:val="00C46B52"/>
    <w:rsid w:val="00C5011A"/>
    <w:rsid w:val="00C54B15"/>
    <w:rsid w:val="00C55AFC"/>
    <w:rsid w:val="00C60C14"/>
    <w:rsid w:val="00C60CE3"/>
    <w:rsid w:val="00C62276"/>
    <w:rsid w:val="00C62D58"/>
    <w:rsid w:val="00C644F3"/>
    <w:rsid w:val="00C6496E"/>
    <w:rsid w:val="00C64E50"/>
    <w:rsid w:val="00C67018"/>
    <w:rsid w:val="00C718FD"/>
    <w:rsid w:val="00C71CC5"/>
    <w:rsid w:val="00C75EA9"/>
    <w:rsid w:val="00C77A42"/>
    <w:rsid w:val="00C77D87"/>
    <w:rsid w:val="00C847BB"/>
    <w:rsid w:val="00C879B1"/>
    <w:rsid w:val="00C87FC2"/>
    <w:rsid w:val="00C911C2"/>
    <w:rsid w:val="00C91BC2"/>
    <w:rsid w:val="00C92520"/>
    <w:rsid w:val="00C934AC"/>
    <w:rsid w:val="00C93EC9"/>
    <w:rsid w:val="00C94ACE"/>
    <w:rsid w:val="00C95217"/>
    <w:rsid w:val="00C955BE"/>
    <w:rsid w:val="00C95FF2"/>
    <w:rsid w:val="00C972B6"/>
    <w:rsid w:val="00CA005D"/>
    <w:rsid w:val="00CA1338"/>
    <w:rsid w:val="00CA3E5B"/>
    <w:rsid w:val="00CA5743"/>
    <w:rsid w:val="00CA5953"/>
    <w:rsid w:val="00CA5F2F"/>
    <w:rsid w:val="00CB764F"/>
    <w:rsid w:val="00CC0BDB"/>
    <w:rsid w:val="00CC2C60"/>
    <w:rsid w:val="00CC4951"/>
    <w:rsid w:val="00CC551D"/>
    <w:rsid w:val="00CC66AB"/>
    <w:rsid w:val="00CD1367"/>
    <w:rsid w:val="00CD41D8"/>
    <w:rsid w:val="00CD43DC"/>
    <w:rsid w:val="00CD5964"/>
    <w:rsid w:val="00CE1F20"/>
    <w:rsid w:val="00CE2382"/>
    <w:rsid w:val="00CE38C2"/>
    <w:rsid w:val="00CE5CAC"/>
    <w:rsid w:val="00CE5D73"/>
    <w:rsid w:val="00CE7043"/>
    <w:rsid w:val="00CF02C1"/>
    <w:rsid w:val="00CF19BA"/>
    <w:rsid w:val="00CF33F8"/>
    <w:rsid w:val="00D0103C"/>
    <w:rsid w:val="00D01BBB"/>
    <w:rsid w:val="00D050C7"/>
    <w:rsid w:val="00D069E9"/>
    <w:rsid w:val="00D123EB"/>
    <w:rsid w:val="00D130B0"/>
    <w:rsid w:val="00D14494"/>
    <w:rsid w:val="00D14C67"/>
    <w:rsid w:val="00D15A4C"/>
    <w:rsid w:val="00D15FF3"/>
    <w:rsid w:val="00D2051F"/>
    <w:rsid w:val="00D235AD"/>
    <w:rsid w:val="00D24BA0"/>
    <w:rsid w:val="00D2515B"/>
    <w:rsid w:val="00D25B7F"/>
    <w:rsid w:val="00D2612D"/>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56D8F"/>
    <w:rsid w:val="00D606F3"/>
    <w:rsid w:val="00D61AE4"/>
    <w:rsid w:val="00D61FB0"/>
    <w:rsid w:val="00D65AC9"/>
    <w:rsid w:val="00D65C09"/>
    <w:rsid w:val="00D670A0"/>
    <w:rsid w:val="00D73C1B"/>
    <w:rsid w:val="00D748EB"/>
    <w:rsid w:val="00D7608D"/>
    <w:rsid w:val="00D77357"/>
    <w:rsid w:val="00D77554"/>
    <w:rsid w:val="00D8038A"/>
    <w:rsid w:val="00D81054"/>
    <w:rsid w:val="00D8480D"/>
    <w:rsid w:val="00D84FC6"/>
    <w:rsid w:val="00D85DFE"/>
    <w:rsid w:val="00D86737"/>
    <w:rsid w:val="00D90863"/>
    <w:rsid w:val="00D90E35"/>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02B1"/>
    <w:rsid w:val="00DC0373"/>
    <w:rsid w:val="00DC1754"/>
    <w:rsid w:val="00DC28D8"/>
    <w:rsid w:val="00DC3229"/>
    <w:rsid w:val="00DC35E5"/>
    <w:rsid w:val="00DC41E1"/>
    <w:rsid w:val="00DC64D6"/>
    <w:rsid w:val="00DD0701"/>
    <w:rsid w:val="00DD2073"/>
    <w:rsid w:val="00DD3463"/>
    <w:rsid w:val="00DD46A7"/>
    <w:rsid w:val="00DD48F1"/>
    <w:rsid w:val="00DD4B22"/>
    <w:rsid w:val="00DD579A"/>
    <w:rsid w:val="00DE1119"/>
    <w:rsid w:val="00DE1434"/>
    <w:rsid w:val="00DE14D6"/>
    <w:rsid w:val="00DE2F4E"/>
    <w:rsid w:val="00DE338D"/>
    <w:rsid w:val="00DF0E07"/>
    <w:rsid w:val="00DF16D8"/>
    <w:rsid w:val="00DF23B0"/>
    <w:rsid w:val="00DF324C"/>
    <w:rsid w:val="00E009E3"/>
    <w:rsid w:val="00E01595"/>
    <w:rsid w:val="00E01720"/>
    <w:rsid w:val="00E0195B"/>
    <w:rsid w:val="00E02C0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311D7"/>
    <w:rsid w:val="00E319E9"/>
    <w:rsid w:val="00E35A48"/>
    <w:rsid w:val="00E37538"/>
    <w:rsid w:val="00E41314"/>
    <w:rsid w:val="00E4263E"/>
    <w:rsid w:val="00E43CAD"/>
    <w:rsid w:val="00E469C9"/>
    <w:rsid w:val="00E50698"/>
    <w:rsid w:val="00E50B36"/>
    <w:rsid w:val="00E51EF6"/>
    <w:rsid w:val="00E527D5"/>
    <w:rsid w:val="00E53DAE"/>
    <w:rsid w:val="00E54047"/>
    <w:rsid w:val="00E5459C"/>
    <w:rsid w:val="00E548AE"/>
    <w:rsid w:val="00E56253"/>
    <w:rsid w:val="00E56F1A"/>
    <w:rsid w:val="00E606C2"/>
    <w:rsid w:val="00E61322"/>
    <w:rsid w:val="00E62273"/>
    <w:rsid w:val="00E627B4"/>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2B63"/>
    <w:rsid w:val="00E839B8"/>
    <w:rsid w:val="00E83F91"/>
    <w:rsid w:val="00E851C7"/>
    <w:rsid w:val="00E854C9"/>
    <w:rsid w:val="00E85C0D"/>
    <w:rsid w:val="00E86232"/>
    <w:rsid w:val="00E91192"/>
    <w:rsid w:val="00E92724"/>
    <w:rsid w:val="00E92D0A"/>
    <w:rsid w:val="00E93345"/>
    <w:rsid w:val="00E976A2"/>
    <w:rsid w:val="00EA1832"/>
    <w:rsid w:val="00EA1F96"/>
    <w:rsid w:val="00EA4591"/>
    <w:rsid w:val="00EA4D4B"/>
    <w:rsid w:val="00EA4F4A"/>
    <w:rsid w:val="00EA559D"/>
    <w:rsid w:val="00EA5EE3"/>
    <w:rsid w:val="00EA7F75"/>
    <w:rsid w:val="00EB1D20"/>
    <w:rsid w:val="00EB49C3"/>
    <w:rsid w:val="00EB5054"/>
    <w:rsid w:val="00EB63EE"/>
    <w:rsid w:val="00EB6622"/>
    <w:rsid w:val="00EB6D24"/>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D759E"/>
    <w:rsid w:val="00EE02CD"/>
    <w:rsid w:val="00EE15FE"/>
    <w:rsid w:val="00EE2030"/>
    <w:rsid w:val="00EE358E"/>
    <w:rsid w:val="00EE5AD7"/>
    <w:rsid w:val="00EE5FBC"/>
    <w:rsid w:val="00EE78FA"/>
    <w:rsid w:val="00EF2438"/>
    <w:rsid w:val="00EF2897"/>
    <w:rsid w:val="00EF3E25"/>
    <w:rsid w:val="00EF59F1"/>
    <w:rsid w:val="00F0174D"/>
    <w:rsid w:val="00F01DD4"/>
    <w:rsid w:val="00F02B51"/>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25F69"/>
    <w:rsid w:val="00F3010F"/>
    <w:rsid w:val="00F317BD"/>
    <w:rsid w:val="00F31C2E"/>
    <w:rsid w:val="00F32AD3"/>
    <w:rsid w:val="00F32F67"/>
    <w:rsid w:val="00F3567D"/>
    <w:rsid w:val="00F36DDD"/>
    <w:rsid w:val="00F412D6"/>
    <w:rsid w:val="00F42C1D"/>
    <w:rsid w:val="00F441CB"/>
    <w:rsid w:val="00F45679"/>
    <w:rsid w:val="00F53B25"/>
    <w:rsid w:val="00F56B3D"/>
    <w:rsid w:val="00F572DD"/>
    <w:rsid w:val="00F573A9"/>
    <w:rsid w:val="00F6325A"/>
    <w:rsid w:val="00F65EEF"/>
    <w:rsid w:val="00F66D7C"/>
    <w:rsid w:val="00F676B9"/>
    <w:rsid w:val="00F679BE"/>
    <w:rsid w:val="00F7042F"/>
    <w:rsid w:val="00F714DC"/>
    <w:rsid w:val="00F728E6"/>
    <w:rsid w:val="00F73E62"/>
    <w:rsid w:val="00F754D4"/>
    <w:rsid w:val="00F7635D"/>
    <w:rsid w:val="00F823FE"/>
    <w:rsid w:val="00F83A48"/>
    <w:rsid w:val="00F83BBE"/>
    <w:rsid w:val="00F84013"/>
    <w:rsid w:val="00F85EEF"/>
    <w:rsid w:val="00F87639"/>
    <w:rsid w:val="00F90D48"/>
    <w:rsid w:val="00F9405B"/>
    <w:rsid w:val="00F956EA"/>
    <w:rsid w:val="00F95C5C"/>
    <w:rsid w:val="00FA08B4"/>
    <w:rsid w:val="00FA0962"/>
    <w:rsid w:val="00FA2434"/>
    <w:rsid w:val="00FA2B87"/>
    <w:rsid w:val="00FA32B7"/>
    <w:rsid w:val="00FA69F0"/>
    <w:rsid w:val="00FA6E62"/>
    <w:rsid w:val="00FB0752"/>
    <w:rsid w:val="00FB3AA0"/>
    <w:rsid w:val="00FB46B8"/>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paragraph" w:styleId="Heading5">
    <w:name w:val="heading 5"/>
    <w:basedOn w:val="Normal"/>
    <w:next w:val="Normal"/>
    <w:link w:val="Heading5Char"/>
    <w:uiPriority w:val="9"/>
    <w:unhideWhenUsed/>
    <w:qFormat/>
    <w:rsid w:val="008152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 w:type="character" w:customStyle="1" w:styleId="Heading5Char">
    <w:name w:val="Heading 5 Char"/>
    <w:basedOn w:val="DefaultParagraphFont"/>
    <w:link w:val="Heading5"/>
    <w:uiPriority w:val="9"/>
    <w:rsid w:val="0081523A"/>
    <w:rPr>
      <w:rFonts w:asciiTheme="majorHAnsi" w:eastAsiaTheme="majorEastAsia" w:hAnsiTheme="majorHAnsi" w:cstheme="majorBidi"/>
      <w:color w:val="2F5496" w:themeColor="accent1" w:themeShade="BF"/>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11</Pages>
  <Words>15405</Words>
  <Characters>87813</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1889</cp:revision>
  <dcterms:created xsi:type="dcterms:W3CDTF">2023-02-24T11:09:00Z</dcterms:created>
  <dcterms:modified xsi:type="dcterms:W3CDTF">2024-09-05T17:35:00Z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id="dwm50bcq"/&gt;&lt;style id="http://www.zotero.org/styles/apa" locale="en-US" hasBibliography="1" bibliographyStyleHasBeenSet="1"/&gt;&lt;prefs&gt;&lt;pref name="fieldType" value="Field"/&gt;&lt;/prefs&gt;&lt;/data&gt;</vt:lpwstr>
  </property>
</Properties>
</file>