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erReference w:type="even" r:id="rId7"/>
          <w:footerReference w:type="default" r:id="rId8"/>
          <w:footnotePr>
            <w:numFmt w:val="chicago"/>
          </w:footnotePr>
          <w:pgSz w:w="11900" w:h="16840"/>
          <w:pgMar w:top="1440" w:right="1440" w:bottom="1440" w:left="1440" w:header="708" w:footer="708" w:gutter="0"/>
          <w:cols w:space="708"/>
          <w:docGrid w:linePitch="360"/>
          <w15:footnoteColumns w:val="1"/>
        </w:sectPr>
      </w:pPr>
    </w:p>
    <w:p w14:paraId="5A24B964" w14:textId="11B05D24" w:rsidR="000A43A1" w:rsidRPr="003935D6" w:rsidRDefault="000E677C" w:rsidP="000E677C">
      <w:pPr>
        <w:ind w:firstLine="0"/>
        <w:rPr>
          <w:lang w:val="en-US"/>
        </w:rPr>
      </w:pPr>
      <w:r>
        <w:rPr>
          <w:lang w:val="en-US"/>
        </w:rPr>
        <w:t xml:space="preserve">This article presents a critical reanalysis of a study published in the field of psychology, specifically clinical psychology and more specifically Acceptance and Commitment Therapy </w:t>
      </w:r>
      <w:r w:rsidR="008030D8">
        <w:rPr>
          <w:lang w:val="en-US"/>
        </w:rPr>
        <w:fldChar w:fldCharType="begin"/>
      </w:r>
      <w:r w:rsidR="008030D8">
        <w:rPr>
          <w:lang w:val="en-US"/>
        </w:rPr>
        <w:instrText xml:space="preserve"> ADDIN ZOTERO_ITEM CSL_CITATION {"citationID":"2dGs8WzI","properties":{"formattedCitation":"(Hayes et al., 1999)","plainCitation":"(Hayes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G."}],"issued":{"date-parts":[["1999"]]}}}],"schema":"https://github.com/citation-style-language/schema/raw/master/csl-citation.json"} </w:instrText>
      </w:r>
      <w:r w:rsidR="008030D8">
        <w:rPr>
          <w:lang w:val="en-US"/>
        </w:rPr>
        <w:fldChar w:fldCharType="separate"/>
      </w:r>
      <w:r w:rsidR="008030D8">
        <w:rPr>
          <w:noProof/>
          <w:lang w:val="en-US"/>
        </w:rPr>
        <w:t>(Hayes et al., 1999)</w:t>
      </w:r>
      <w:r w:rsidR="008030D8">
        <w:rPr>
          <w:lang w:val="en-US"/>
        </w:rPr>
        <w:fldChar w:fldCharType="end"/>
      </w:r>
      <w:r>
        <w:rPr>
          <w:lang w:val="en-US"/>
        </w:rPr>
        <w:t xml:space="preserve">. (ACT). </w:t>
      </w:r>
      <w:r w:rsidRPr="003935D6">
        <w:rPr>
          <w:lang w:val="en-US"/>
        </w:rPr>
        <w:t xml:space="preserve">A long-standing debate within </w:t>
      </w:r>
      <w:r>
        <w:rPr>
          <w:lang w:val="en-US"/>
        </w:rPr>
        <w:t>this literature</w:t>
      </w:r>
      <w:r w:rsidR="00357F46"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72B6F">
        <w:rPr>
          <w:lang w:val="en-US"/>
        </w:rPr>
        <w:instrText xml:space="preserve"> ADDIN ZOTERO_ITEM CSL_CITATION {"citationID":"KVKyC7JF","properties":{"unsorted":false,"formattedCitation":"(RFT: Hayes et al., 2001)","plainCitation":"(RFT: Hayes et al., 2001)","noteIndex":0},"citationItems":[{"id":1834,"uris":["http://zotero.org/users/1687755/items/97BA6F6P"],"itemData":{"id":1834,"type":"book","publisher":"Kluwer Academic/Plenum Press","publisher-place":"New York","title":"Relational frame theory: A post-Skinnerian account of human language and cognition","title-short":"Relational frame theory","author":[{"family":"Hayes","given":"Steven C."},{"family":"Barnes-Holmes","given":"Dermot"},{"family":"Roche","given":"Bryan"}],"issued":{"date-parts":[["2001"]]}},"prefix":"RFT: "}],"schema":"https://github.com/citation-style-language/schema/raw/master/csl-citation.json"} </w:instrText>
      </w:r>
      <w:r w:rsidR="008030D8">
        <w:rPr>
          <w:lang w:val="en-US"/>
        </w:rPr>
        <w:fldChar w:fldCharType="separate"/>
      </w:r>
      <w:r w:rsidR="00872B6F">
        <w:rPr>
          <w:noProof/>
          <w:lang w:val="en-US"/>
        </w:rPr>
        <w:t>(RFT: Hayes et al., 2001)</w:t>
      </w:r>
      <w:r w:rsidR="008030D8">
        <w:rPr>
          <w:lang w:val="en-US"/>
        </w:rPr>
        <w:fldChar w:fldCharType="end"/>
      </w:r>
      <w:r w:rsidR="00872B6F">
        <w:rPr>
          <w:lang w:val="en-US"/>
        </w:rPr>
        <w:t>. RFT is a modern behaviorist account of language and higher cognition in terms of human</w:t>
      </w:r>
      <w:r w:rsidR="003B5439">
        <w:rPr>
          <w:lang w:val="en-US"/>
        </w:rPr>
        <w:t xml:space="preserve">s’ </w:t>
      </w:r>
      <w:r w:rsidR="00872B6F">
        <w:rPr>
          <w:lang w:val="en-US"/>
        </w:rPr>
        <w:t xml:space="preserve">ability to relate stimuli in complex ways. An introduction to </w:t>
      </w:r>
      <w:r w:rsidR="003B5439">
        <w:rPr>
          <w:lang w:val="en-US"/>
        </w:rPr>
        <w:t xml:space="preserve">ACT and </w:t>
      </w:r>
      <w:r w:rsidR="00872B6F">
        <w:rPr>
          <w:lang w:val="en-US"/>
        </w:rPr>
        <w:t>RFT</w:t>
      </w:r>
      <w:r w:rsidR="003B5439">
        <w:rPr>
          <w:lang w:val="en-US"/>
        </w:rPr>
        <w:t xml:space="preserve">, and the long-debated link between the two, </w:t>
      </w:r>
      <w:r w:rsidR="00872B6F">
        <w:rPr>
          <w:lang w:val="en-US"/>
        </w:rPr>
        <w:t xml:space="preserve">is beyond the scope of this article, but readers </w:t>
      </w:r>
      <w:r w:rsidR="003B5439">
        <w:rPr>
          <w:lang w:val="en-US"/>
        </w:rPr>
        <w:t xml:space="preserve">can find longer treatments of these issues in Barnes-Holmes et al., </w:t>
      </w:r>
      <w:r w:rsidR="003B5439">
        <w:rPr>
          <w:lang w:val="en-US"/>
        </w:rPr>
        <w:fldChar w:fldCharType="begin"/>
      </w:r>
      <w:r w:rsidR="003B5439">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003B5439">
        <w:rPr>
          <w:lang w:val="en-US"/>
        </w:rPr>
        <w:fldChar w:fldCharType="separate"/>
      </w:r>
      <w:r w:rsidR="003B5439">
        <w:rPr>
          <w:noProof/>
          <w:lang w:val="en-US"/>
        </w:rPr>
        <w:t>(2015)</w:t>
      </w:r>
      <w:r w:rsidR="003B5439">
        <w:rPr>
          <w:lang w:val="en-US"/>
        </w:rPr>
        <w:fldChar w:fldCharType="end"/>
      </w:r>
      <w:r w:rsidR="003B5439">
        <w:rPr>
          <w:lang w:val="en-US"/>
        </w:rPr>
        <w:t xml:space="preserve"> and McLoughlin and Roche </w:t>
      </w:r>
      <w:r w:rsidR="003B5439">
        <w:rPr>
          <w:lang w:val="en-US"/>
        </w:rPr>
        <w:fldChar w:fldCharType="begin"/>
      </w:r>
      <w:r w:rsidR="005D7D33">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T."}],"issued":{"date-parts":[["2022",8]]}},"suppress-author":true}],"schema":"https://github.com/citation-style-language/schema/raw/master/csl-citation.json"} </w:instrText>
      </w:r>
      <w:r w:rsidR="003B5439">
        <w:rPr>
          <w:lang w:val="en-US"/>
        </w:rPr>
        <w:fldChar w:fldCharType="separate"/>
      </w:r>
      <w:r w:rsidR="003B5439">
        <w:rPr>
          <w:noProof/>
          <w:lang w:val="en-US"/>
        </w:rPr>
        <w:t>(2022)</w:t>
      </w:r>
      <w:r w:rsidR="003B5439">
        <w:rPr>
          <w:lang w:val="en-US"/>
        </w:rPr>
        <w:fldChar w:fldCharType="end"/>
      </w:r>
      <w:r w:rsidR="003B5439">
        <w:rPr>
          <w:lang w:val="en-US"/>
        </w:rPr>
        <w:t xml:space="preserve">. </w:t>
      </w:r>
      <w:r w:rsidR="00872B6F">
        <w:rPr>
          <w:lang w:val="en-US"/>
        </w:rPr>
        <w:t xml:space="preserve">For the purposes of the current article, it is suffice to say that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C45EC7">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Psychology","issue":"3","language":"en","page":"373-388","source":"Zotero","title":"An Empirical Investigation of Hierarchical versus Distinction Relations in a Self-based ACT Exercise","volume":"13","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w:t>
      </w:r>
      <w:r w:rsidR="00A7114C" w:rsidRPr="003935D6">
        <w:rPr>
          <w:lang w:val="en-US"/>
        </w:rPr>
        <w:t xml:space="preserve">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70D508D2" w14:textId="1FBF4E98" w:rsidR="005618B9"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00FD7D67">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Med","language":"eng","page":"1000-1011","PMID":"27955715","source":"PubMed","title":"Biases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Psychology","DOI":"10.1146/annurev-clinpsy-050718-095710","issue":"1","page":"579-604","PMID":"30673512","source":"Annual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xml:space="preserve">.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w:t>
      </w:r>
      <w:r w:rsidRPr="003935D6">
        <w:rPr>
          <w:lang w:val="en-US"/>
        </w:rPr>
        <w:lastRenderedPageBreak/>
        <w:t>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claims. </w:t>
      </w:r>
    </w:p>
    <w:p w14:paraId="165BC0E3" w14:textId="6D2F5BFE" w:rsidR="005C5AC0" w:rsidRDefault="005618B9" w:rsidP="005618B9">
      <w:pPr>
        <w:rPr>
          <w:lang w:val="en-US"/>
        </w:rPr>
      </w:pPr>
      <w:r>
        <w:rPr>
          <w:lang w:val="en-US"/>
        </w:rPr>
        <w:t xml:space="preserve">To this end, a number of studies have examined the replicability and studies that </w:t>
      </w:r>
      <w:r w:rsidRPr="003935D6">
        <w:rPr>
          <w:lang w:val="en-US"/>
        </w:rPr>
        <w:t>attempt</w:t>
      </w:r>
      <w:r>
        <w:rPr>
          <w:lang w:val="en-US"/>
        </w:rPr>
        <w:t xml:space="preserve"> </w:t>
      </w:r>
      <w:r w:rsidRPr="003935D6">
        <w:rPr>
          <w:lang w:val="en-US"/>
        </w:rPr>
        <w:t>to tie RFT principles to ACT practices, such as the use of metaphor in therapy</w:t>
      </w:r>
      <w:r>
        <w:rPr>
          <w:lang w:val="en-US"/>
        </w:rPr>
        <w:t xml:space="preserve"> </w:t>
      </w:r>
      <w:r w:rsidRPr="003935D6">
        <w:rPr>
          <w:lang w:val="en-US"/>
        </w:rPr>
        <w:fldChar w:fldCharType="begin"/>
      </w:r>
      <w:r w:rsidR="00160EA4">
        <w:rPr>
          <w:lang w:val="en-US"/>
        </w:rPr>
        <w:instrText xml:space="preserve"> ADDIN ZOTERO_ITEM CSL_CITATION {"citationID":"6V04ZGMd","properties":{"formattedCitation":"(e.g., Sierra et al., 2016)","plainCitation":"(e.g., 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Riaño"},{"family":"Luciano","given":"Carmen"}],"issued":{"date-parts":[["2016"]]}},"prefix":"e.g., "}],"schema":"https://github.com/citation-style-language/schema/raw/master/csl-citation.json"} </w:instrText>
      </w:r>
      <w:r w:rsidRPr="003935D6">
        <w:rPr>
          <w:lang w:val="en-US"/>
        </w:rPr>
        <w:fldChar w:fldCharType="separate"/>
      </w:r>
      <w:r>
        <w:rPr>
          <w:lang w:val="en-US"/>
        </w:rPr>
        <w:t>(e.g., Sierra et al., 2016)</w:t>
      </w:r>
      <w:r w:rsidRPr="003935D6">
        <w:rPr>
          <w:lang w:val="en-US"/>
        </w:rPr>
        <w:fldChar w:fldCharType="end"/>
      </w:r>
      <w:r w:rsidRPr="003935D6">
        <w:rPr>
          <w:lang w:val="en-US"/>
        </w:rPr>
        <w:t xml:space="preserve"> but have failed to replicate </w:t>
      </w:r>
      <w:r w:rsidRPr="003935D6">
        <w:rPr>
          <w:lang w:val="en-US"/>
        </w:rPr>
        <w:fldChar w:fldCharType="begin"/>
      </w:r>
      <w:r w:rsidR="00160EA4">
        <w:rPr>
          <w:lang w:val="en-US"/>
        </w:rPr>
        <w:instrText xml:space="preserve"> ADDIN ZOTERO_ITEM CSL_CITATION {"citationID":"RSCFH2N9","properties":{"unsorted":true,"formattedCitation":"(see Pendrous et al., 2020; for a series of replies, in order of publication, see: Hussey, 2020; Hulbert-Williams et al., 2020; Ruiz et al., 2020)","plainCitation":"(see 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J."}],"issued":{"date-parts":[["2020",4,1]]}},"prefix":"see "},{"id":140,"uris":["http://zotero.org/users/1687755/items/BEYEEZDB"],"itemData":{"id":140,"type":"article","abstract":"Recent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(see Pendrous et al., 2020; for a series of replies, in order of publication, see: Hussey, 2020; Hulbert-Williams et al., 2020; Ruiz et al., 2020)</w:t>
      </w:r>
      <w:r w:rsidRPr="003935D6">
        <w:rPr>
          <w:lang w:val="en-US"/>
        </w:rPr>
        <w:fldChar w:fldCharType="end"/>
      </w:r>
      <w:r w:rsidRPr="003935D6">
        <w:rPr>
          <w:lang w:val="en-US"/>
        </w:rPr>
        <w:t>.</w:t>
      </w:r>
      <w:r>
        <w:rPr>
          <w:lang w:val="en-US"/>
        </w:rPr>
        <w:t xml:space="preserve"> </w:t>
      </w:r>
      <w:r w:rsidR="000A43A1" w:rsidRPr="003935D6">
        <w:rPr>
          <w:lang w:val="en-US"/>
        </w:rPr>
        <w:t xml:space="preserve">As such, it </w:t>
      </w:r>
      <w:r>
        <w:rPr>
          <w:lang w:val="en-US"/>
        </w:rPr>
        <w:t xml:space="preserve">also </w:t>
      </w:r>
      <w:r w:rsidR="000A43A1" w:rsidRPr="003935D6">
        <w:rPr>
          <w:lang w:val="en-US"/>
        </w:rPr>
        <w:t xml:space="preserve">seems important to reexamine the </w:t>
      </w:r>
      <w:r w:rsidR="00C872BD">
        <w:rPr>
          <w:lang w:val="en-US"/>
        </w:rPr>
        <w:t xml:space="preserve">credibility of similar </w:t>
      </w:r>
      <w:r w:rsidR="000A43A1" w:rsidRPr="003935D6">
        <w:rPr>
          <w:lang w:val="en-US"/>
        </w:rPr>
        <w:t>claims</w:t>
      </w:r>
      <w:r w:rsidR="00C872BD">
        <w:rPr>
          <w:lang w:val="en-US"/>
        </w:rPr>
        <w:t xml:space="preserve"> in this literature</w:t>
      </w:r>
      <w:r w:rsidR="000A43A1" w:rsidRPr="003935D6">
        <w:rPr>
          <w:lang w:val="en-US"/>
        </w:rPr>
        <w:t>.</w:t>
      </w:r>
    </w:p>
    <w:p w14:paraId="6170D6B1" w14:textId="77777777" w:rsidR="00FB5823" w:rsidRPr="00FB5823" w:rsidRDefault="00FB5823" w:rsidP="00FB5823">
      <w:pPr>
        <w:rPr>
          <w:rStyle w:val="citation"/>
          <w:lang w:val="en-US"/>
        </w:rPr>
      </w:pPr>
    </w:p>
    <w:p w14:paraId="4373C27F" w14:textId="35F1D771"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proofErr w:type="gramStart"/>
      <w:r w:rsidR="002E1FE6" w:rsidRPr="003935D6">
        <w:rPr>
          <w:rStyle w:val="citation"/>
          <w:lang w:val="en-US"/>
        </w:rPr>
        <w:t xml:space="preserve">, </w:t>
      </w:r>
      <w:r w:rsidR="009043AF">
        <w:rPr>
          <w:rStyle w:val="citation"/>
          <w:lang w:val="en-US"/>
        </w:rPr>
        <w:t>,</w:t>
      </w:r>
      <w:proofErr w:type="gramEnd"/>
      <w:r w:rsidR="009043AF">
        <w:rPr>
          <w:rStyle w:val="citation"/>
          <w:lang w:val="en-US"/>
        </w:rPr>
        <w:t xml:space="preserve"> 2015</w:t>
      </w:r>
      <w:r w:rsidR="002C4695" w:rsidRPr="003935D6">
        <w:rPr>
          <w:rStyle w:val="citation"/>
          <w:lang w:val="en-US"/>
        </w:rPr>
        <w:t>)</w:t>
      </w:r>
    </w:p>
    <w:p w14:paraId="2F2623CF" w14:textId="3DD7FFE1"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5D7D33">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022494">
        <w:rPr>
          <w:lang w:val="en-US"/>
        </w:rPr>
        <w:t xml:space="preserve">, and is itself stated to be a conceptual replication of previous study by </w:t>
      </w:r>
      <w:r w:rsidR="00022494" w:rsidRPr="00022494">
        <w:rPr>
          <w:lang w:val="en-US"/>
        </w:rPr>
        <w:t xml:space="preserve">Luciano et al. (2011).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5FA210D4"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r w:rsidR="00144589">
        <w:rPr>
          <w:lang w:val="en-US"/>
        </w:rPr>
        <w:t xml:space="preserve">The nature of this failed replication is obscured by the fact that Foody et al. (2015) state in their abstract that the results “somewhat support” </w:t>
      </w:r>
      <w:r w:rsidR="004C4378">
        <w:rPr>
          <w:lang w:val="en-US"/>
        </w:rPr>
        <w:t xml:space="preserve">(Foody et al., 2015, p. 231) for </w:t>
      </w:r>
      <w:r w:rsidR="00144589">
        <w:rPr>
          <w:lang w:val="en-US"/>
        </w:rPr>
        <w:t xml:space="preserve">differential efficacy and elsewhere </w:t>
      </w:r>
      <w:r w:rsidR="00E30195">
        <w:rPr>
          <w:lang w:val="en-US"/>
        </w:rPr>
        <w:t>in their discussion that the</w:t>
      </w:r>
      <w:r w:rsidR="00144589">
        <w:rPr>
          <w:lang w:val="en-US"/>
        </w:rPr>
        <w:t xml:space="preserve"> “</w:t>
      </w:r>
      <w:r w:rsidR="00144589" w:rsidRPr="00144589">
        <w:rPr>
          <w:lang w:val="en-US"/>
        </w:rPr>
        <w:t>current data concord almost entirely with those outcomes</w:t>
      </w:r>
      <w:r w:rsidR="00144589">
        <w:rPr>
          <w:lang w:val="en-US"/>
        </w:rPr>
        <w:t xml:space="preserve"> [in Foody et al. (2013)]” (Foody et al., 2015, p. 241), when in fact the results of the RM-ANOVAs </w:t>
      </w:r>
      <w:r w:rsidR="003F59FD" w:rsidRPr="003F59FD">
        <w:rPr>
          <w:lang w:val="en-US"/>
        </w:rPr>
        <w:t xml:space="preserve">in Foody et al. (2015) </w:t>
      </w:r>
      <w:r w:rsidR="00144589">
        <w:rPr>
          <w:lang w:val="en-US"/>
        </w:rPr>
        <w:t>are all non-significant. I return to this point later.</w:t>
      </w:r>
    </w:p>
    <w:p w14:paraId="25F600AE" w14:textId="0A55C5E3"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FD7D67">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foundations.","DOI":"10.1093/oxfordhb/9780197550076.001.0001","edition":"1","ISBN":"978-0-19-755007-6","language":"en","publisher":"Oxford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3935D6" w:rsidRPr="003935D6">
        <w:rPr>
          <w:rStyle w:val="highlight"/>
          <w:lang w:val="en-US"/>
        </w:rPr>
        <w:t>mischaracterizes</w:t>
      </w:r>
      <w:r w:rsidRPr="003935D6">
        <w:rPr>
          <w:rStyle w:val="highlight"/>
          <w:lang w:val="en-US"/>
        </w:rPr>
        <w:t xml:space="preserve"> the null results found by Foody et al. (2015) as if they support the claim.</w:t>
      </w:r>
    </w:p>
    <w:p w14:paraId="1CCC5DF0" w14:textId="3402F6B1"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FD7D67">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w:t>
      </w:r>
      <w:proofErr w:type="gramStart"/>
      <w:r w:rsidR="00EA1832" w:rsidRPr="003935D6">
        <w:rPr>
          <w:lang w:val="en-US"/>
        </w:rPr>
        <w:t>actually provides</w:t>
      </w:r>
      <w:proofErr w:type="gramEnd"/>
      <w:r w:rsidR="00EA1832" w:rsidRPr="003935D6">
        <w:rPr>
          <w:lang w:val="en-US"/>
        </w:rPr>
        <w:t xml:space="preserve">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00263E84"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r w:rsidR="00835E25" w:rsidRPr="003935D6">
        <w:rPr>
          <w:lang w:val="en-US"/>
        </w:rPr>
        <w:t xml:space="preserve">It is important to </w:t>
      </w:r>
      <w:r w:rsidR="003935D6" w:rsidRPr="003935D6">
        <w:rPr>
          <w:lang w:val="en-US"/>
        </w:rPr>
        <w:t>recognize</w:t>
      </w:r>
      <w:r w:rsidR="00835E25" w:rsidRPr="003935D6">
        <w:rPr>
          <w:lang w:val="en-US"/>
        </w:rPr>
        <w:t xml:space="preserve"> that there is significant overlap in authorship between these publications, so mere unawareness of the failed replication is implausible.</w:t>
      </w:r>
    </w:p>
    <w:p w14:paraId="1A794DC1" w14:textId="19E5C659"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FD7D67">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160EA4">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w:t>
      </w:r>
      <w:proofErr w:type="spellStart"/>
      <w:r w:rsidR="00E77DF0" w:rsidRPr="003935D6">
        <w:rPr>
          <w:rStyle w:val="citation"/>
          <w:lang w:val="en-US"/>
        </w:rPr>
        <w:t>Pendrous</w:t>
      </w:r>
      <w:proofErr w:type="spellEnd"/>
      <w:r w:rsidR="00E77DF0" w:rsidRPr="003935D6">
        <w:rPr>
          <w:rStyle w:val="citation"/>
          <w:lang w:val="en-US"/>
        </w:rPr>
        <w:t xml:space="preserve">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08812704"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00FD7D67">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1","page":"43-54","publisher":"Springer","source":"link.springer.com","title":"Acceptance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5D7D33">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International","page":"1-7","publisher":"Springer","source":"link.springer.com","title":"On the Disruptive Effects of Behavior Analysis on Behavior Analysis: The High Cost of Keeping Out Acceptance and Commitment Therapy and Training","title-short":"On the Disruptive Effects of Behavior Analysis on Behavior Analysis","volume":"18","author":[{"family":"Dixon","given":"Mark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celebrating the contributions of Murray Sidman, Law &amp; Hayes </w:t>
      </w:r>
      <w:r w:rsidR="002318D5" w:rsidRPr="003935D6">
        <w:rPr>
          <w:lang w:val="en-US"/>
        </w:rPr>
        <w:fldChar w:fldCharType="begin"/>
      </w:r>
      <w:r w:rsidR="00160EA4">
        <w:rPr>
          <w:lang w:val="en-US"/>
        </w:rPr>
        <w:instrText xml:space="preserve"> ADDIN ZOTERO_ITEM CSL_CITATION {"citationID":"KDRIARiQ","properties":{"formattedCitation":"(2021)","plainCitation":"(2021)","noteIndex":0},"citationItems":[{"id":"pAsreFDD/5Zx7PLlN","uris":["http://zotero.org/users/1687755/items/U3GURHZR"],"itemData":{"id":29229,"type":"article-journal","abstract":"The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 xml:space="preserve">“understanding how to foster </w:t>
      </w:r>
      <w:r w:rsidR="002318D5" w:rsidRPr="003935D6">
        <w:rPr>
          <w:i/>
          <w:iCs/>
          <w:lang w:val="en-US"/>
        </w:rPr>
        <w:lastRenderedPageBreak/>
        <w:t>healthy perspective-taking seems central to establishing self-direction, independence, and values-based actions (Foody et al., 2015)”</w:t>
      </w:r>
      <w:r w:rsidR="002318D5" w:rsidRPr="003935D6">
        <w:rPr>
          <w:lang w:val="en-US"/>
        </w:rPr>
        <w:t xml:space="preserve">, which not only </w:t>
      </w:r>
      <w:r w:rsidR="003935D6" w:rsidRPr="003935D6">
        <w:rPr>
          <w:lang w:val="en-US"/>
        </w:rPr>
        <w:t>mischaracterizes</w:t>
      </w:r>
      <w:r w:rsidR="002318D5" w:rsidRPr="003935D6">
        <w:rPr>
          <w:lang w:val="en-US"/>
        </w:rPr>
        <w:t xml:space="preserve"> the nature of this failed replication but also 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C45EC7">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Psychologist","DOI":"10.1037/amp0001138","ISSN":"1935-990X","issue":"2","note":"publisher-place: US","page":"299–311","publisher":"American Psychological Association","source":"APA PsycNet","title":"The problem of miscitation in psychological science: Righting the ship","title-short":"The problem of miscitation in psychological science","volume":"79","author":[{"family":"Cobb","given":"Cory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2DBDB2C2" w:rsidR="00EE5AD7" w:rsidRPr="003935D6" w:rsidRDefault="003708D2" w:rsidP="00796005">
      <w:pPr>
        <w:rPr>
          <w:b/>
          <w:bCs/>
          <w:i/>
          <w:iCs/>
          <w:lang w:val="en-US"/>
        </w:rPr>
      </w:pPr>
      <w:r w:rsidRPr="003935D6">
        <w:rPr>
          <w:lang w:val="en-US"/>
        </w:rPr>
        <w:t xml:space="preserve">Of course, it is possible to find examples of more critical readings of Foody et al. (2013). Often, these come from researchers and journals that are not already strongly aligned with ACT and RFT. For example, Godbee &amp; Kangas </w:t>
      </w:r>
      <w:r w:rsidRPr="003935D6">
        <w:rPr>
          <w:lang w:val="en-US"/>
        </w:rPr>
        <w:fldChar w:fldCharType="begin"/>
      </w:r>
      <w:r w:rsidR="00FD7D67">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Coping","DOI":"10.1080/10615806.2021.1985472","ISSN":"1061-5806","issue":"5","page":"557-573","publisher":"Routledge","source":"tandfonline.com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“Although the differences between hierarchical [Self-as-Context] (“I am more than my experiences”) and distinction [Self-as-Context] (“I am not my 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4A9922E8" w14:textId="77777777" w:rsidR="00A25633" w:rsidRDefault="00A25633" w:rsidP="000E677C">
      <w:pPr>
        <w:pStyle w:val="Heading2"/>
        <w:rPr>
          <w:highlight w:val="yellow"/>
        </w:rPr>
      </w:pPr>
    </w:p>
    <w:p w14:paraId="3C0A546B" w14:textId="2CE0E40A" w:rsidR="000E677C" w:rsidRDefault="000E677C" w:rsidP="000E677C">
      <w:pPr>
        <w:pStyle w:val="Heading2"/>
        <w:rPr>
          <w:highlight w:val="yellow"/>
        </w:rPr>
      </w:pPr>
      <w:r w:rsidRPr="000329E5">
        <w:t>Social Impact &amp; Responsibility</w:t>
      </w:r>
    </w:p>
    <w:p w14:paraId="5CA9BFC8" w14:textId="1E4BDE73" w:rsidR="000E677C" w:rsidRDefault="004C2AE2" w:rsidP="000319B5">
      <w:r w:rsidRPr="004C2AE2">
        <w:t>The studies reanalysed here inform clinical practice: Acceptance and Commitment Therapy is a widely disseminated psychotherapy, and the claim that hierarchical framing relieves distress better than distinction framing has shaped how clinicians are trained</w:t>
      </w:r>
      <w:r w:rsidR="000319B5">
        <w:t xml:space="preserve"> or how they practice</w:t>
      </w:r>
      <w:r w:rsidRPr="004C2AE2">
        <w:t xml:space="preserve">, with patients in distress as the indirectly affected and vulnerable party. </w:t>
      </w:r>
      <w:r w:rsidR="000319B5">
        <w:t xml:space="preserve">Insofar as the original studies being verified are relevant to </w:t>
      </w:r>
      <w:r w:rsidR="000319B5" w:rsidRPr="00C45EC7">
        <w:t xml:space="preserve">clinical practice </w:t>
      </w:r>
      <w:r w:rsidR="000319B5">
        <w:t>and</w:t>
      </w:r>
      <w:r w:rsidR="000319B5" w:rsidRPr="00C45EC7">
        <w:t xml:space="preserve"> psychotherapists, </w:t>
      </w:r>
      <w:r w:rsidR="000319B5">
        <w:t xml:space="preserve">and therefore </w:t>
      </w:r>
      <w:r w:rsidR="000319B5" w:rsidRPr="00C45EC7">
        <w:t xml:space="preserve">patients as indirectly affected group, </w:t>
      </w:r>
      <w:r w:rsidR="000319B5">
        <w:t xml:space="preserve">so too are the results of this reanalysis. </w:t>
      </w:r>
      <w:r w:rsidRPr="004C2AE2">
        <w:t>The social value of this reanalysis is in helping such training rest on credible evidence. It is equally important, however, to bound the claim: I do not show that ACT is ineffective, that self-as-context is invalid, or that those who report benefiting from these exercises are mistaken</w:t>
      </w:r>
      <w:r w:rsidR="000319B5">
        <w:t>,</w:t>
      </w:r>
      <w:r w:rsidRPr="004C2AE2">
        <w:t xml:space="preserve"> only that the specific data in Foody et al. (2013, 2015) do not support the specific claim examined</w:t>
      </w:r>
      <w:r w:rsidR="000319B5">
        <w:t xml:space="preserve">. These studies form only one line of inquiry into using RFT to inform ACT. </w:t>
      </w:r>
    </w:p>
    <w:p w14:paraId="65627F79" w14:textId="31037092" w:rsidR="00391E8F" w:rsidRPr="003935D6" w:rsidRDefault="00AF68E7" w:rsidP="001C354B">
      <w:pPr>
        <w:pStyle w:val="Heading2"/>
        <w:rPr>
          <w:lang w:val="en-US"/>
        </w:rPr>
      </w:pPr>
      <w:r w:rsidRPr="003935D6">
        <w:rPr>
          <w:lang w:val="en-US"/>
        </w:rPr>
        <w:t>D</w:t>
      </w:r>
      <w:r w:rsidR="00391E8F" w:rsidRPr="003935D6">
        <w:rPr>
          <w:lang w:val="en-US"/>
        </w:rPr>
        <w:t>esign and method</w:t>
      </w:r>
    </w:p>
    <w:p w14:paraId="226EB3E3" w14:textId="77777777" w:rsidR="004C0211" w:rsidRDefault="00747122" w:rsidP="004C0211">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1976D328" w14:textId="6C617484" w:rsidR="009043AF" w:rsidRDefault="009043AF" w:rsidP="004C0211">
      <w:pPr>
        <w:rPr>
          <w:lang w:val="en-US"/>
        </w:rPr>
      </w:pPr>
      <w:r>
        <w:rPr>
          <w:lang w:val="en-US"/>
        </w:rPr>
        <w:t>Foody et al. (2015) replicate and extend the original study</w:t>
      </w:r>
      <w:r w:rsidR="000E32AE">
        <w:rPr>
          <w:lang w:val="en-US"/>
        </w:rPr>
        <w:t xml:space="preserve">. In addition to the self-focused distinction and hierarchy conditions present in the first study, they add a variation of each that is other-focused to create four conditions </w:t>
      </w:r>
      <w:r>
        <w:rPr>
          <w:lang w:val="en-US"/>
        </w:rPr>
        <w:t>(self-distinction, self-hierarchy, object-distinction, and object-hierarchy)</w:t>
      </w:r>
      <w:r w:rsidR="000E32AE">
        <w:rPr>
          <w:lang w:val="en-US"/>
        </w:rPr>
        <w:t xml:space="preserve">. In addition to this, </w:t>
      </w:r>
      <w:r>
        <w:rPr>
          <w:lang w:val="en-US"/>
        </w:rPr>
        <w:t xml:space="preserve">participants each received two cycles of baseline measurement, distress induction, post induction measurement, intervention, and post intervention measurement. The study reports twelve participants per </w:t>
      </w:r>
      <w:r w:rsidR="008206D2">
        <w:rPr>
          <w:lang w:val="en-US"/>
        </w:rPr>
        <w:t>condition</w:t>
      </w:r>
      <w:r w:rsidR="00830755">
        <w:rPr>
          <w:lang w:val="en-US"/>
        </w:rPr>
        <w:t xml:space="preserve"> after exclusions</w:t>
      </w:r>
      <w:r>
        <w:rPr>
          <w:lang w:val="en-US"/>
        </w:rPr>
        <w:t>.</w:t>
      </w:r>
      <w:r w:rsidR="004E7506">
        <w:rPr>
          <w:lang w:val="en-US"/>
        </w:rPr>
        <w:t xml:space="preserve"> Data was analyzed both </w:t>
      </w:r>
      <w:r w:rsidR="00F66D40">
        <w:rPr>
          <w:lang w:val="en-US"/>
        </w:rPr>
        <w:t>between the</w:t>
      </w:r>
      <w:r w:rsidR="004E7506">
        <w:rPr>
          <w:lang w:val="en-US"/>
        </w:rPr>
        <w:t xml:space="preserve"> four conditions, </w:t>
      </w:r>
      <w:proofErr w:type="gramStart"/>
      <w:r w:rsidR="004E7506">
        <w:rPr>
          <w:lang w:val="en-US"/>
        </w:rPr>
        <w:t xml:space="preserve">and </w:t>
      </w:r>
      <w:r w:rsidR="00F66D40">
        <w:rPr>
          <w:lang w:val="en-US"/>
        </w:rPr>
        <w:t>also</w:t>
      </w:r>
      <w:proofErr w:type="gramEnd"/>
      <w:r w:rsidR="00F66D40">
        <w:rPr>
          <w:lang w:val="en-US"/>
        </w:rPr>
        <w:t xml:space="preserve"> </w:t>
      </w:r>
      <w:r w:rsidR="004E7506">
        <w:rPr>
          <w:lang w:val="en-US"/>
        </w:rPr>
        <w:t xml:space="preserve">by collapsing the self </w:t>
      </w:r>
      <w:r w:rsidR="00F66D40">
        <w:rPr>
          <w:lang w:val="en-US"/>
        </w:rPr>
        <w:t xml:space="preserve">and other conditions </w:t>
      </w:r>
      <w:r w:rsidR="004E7506">
        <w:rPr>
          <w:lang w:val="en-US"/>
        </w:rPr>
        <w:t xml:space="preserve">to make a </w:t>
      </w:r>
      <w:r w:rsidR="00F66D40">
        <w:rPr>
          <w:lang w:val="en-US"/>
        </w:rPr>
        <w:lastRenderedPageBreak/>
        <w:t xml:space="preserve">general </w:t>
      </w:r>
      <w:r w:rsidR="004E7506">
        <w:rPr>
          <w:lang w:val="en-US"/>
        </w:rPr>
        <w:t>distinction-hierarchy comparison.</w:t>
      </w:r>
      <w:r w:rsidR="00B24921">
        <w:rPr>
          <w:lang w:val="en-US"/>
        </w:rPr>
        <w:t xml:space="preserve"> The direct replication of the first study would be comparison between self-distinction versus self-hierarchy conditions during the first induction and intervention cycle only, although this analysis is not reported.</w:t>
      </w:r>
    </w:p>
    <w:p w14:paraId="3A735494" w14:textId="77777777" w:rsidR="004C0211" w:rsidRDefault="004C0211" w:rsidP="004C0211">
      <w:pPr>
        <w:rPr>
          <w:lang w:val="en-US"/>
        </w:rPr>
      </w:pPr>
    </w:p>
    <w:p w14:paraId="42F5BE50" w14:textId="0BF7BF52" w:rsidR="00747122" w:rsidRPr="003935D6" w:rsidRDefault="00594A10" w:rsidP="004C0211">
      <w:pPr>
        <w:pStyle w:val="Heading2"/>
        <w:rPr>
          <w:lang w:val="en-US"/>
        </w:rPr>
      </w:pPr>
      <w:r w:rsidRPr="003935D6">
        <w:rPr>
          <w:lang w:val="en-US"/>
        </w:rPr>
        <w:t xml:space="preserve">Hypothesis </w:t>
      </w:r>
      <w:r w:rsidR="00E527D5" w:rsidRPr="003935D6">
        <w:rPr>
          <w:lang w:val="en-US"/>
        </w:rPr>
        <w:t>and</w:t>
      </w:r>
      <w:r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36D940F4"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w:t>
      </w:r>
      <w:r w:rsidR="007F1753" w:rsidRPr="007F1753">
        <w:rPr>
          <w:lang w:val="en-US"/>
        </w:rPr>
        <w:t xml:space="preserve">Foody et al., 2013, </w:t>
      </w:r>
      <w:r w:rsidR="008C2F39" w:rsidRPr="003935D6">
        <w:rPr>
          <w:lang w:val="en-US"/>
        </w:rPr>
        <w:t>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48788A3A" w14:textId="4057D039" w:rsidR="00C57851" w:rsidRDefault="00C57851" w:rsidP="00127167">
      <w:pPr>
        <w:rPr>
          <w:rStyle w:val="citation"/>
          <w:lang w:val="en-US"/>
        </w:rPr>
      </w:pPr>
      <w:r>
        <w:rPr>
          <w:rStyle w:val="citation"/>
          <w:lang w:val="en-US"/>
        </w:rPr>
        <w:t xml:space="preserve">Foody et al. (2015) are inconsistent in their claims about successful replication and </w:t>
      </w:r>
      <w:proofErr w:type="gramStart"/>
      <w:r>
        <w:rPr>
          <w:rStyle w:val="citation"/>
          <w:lang w:val="en-US"/>
        </w:rPr>
        <w:t>extension, and</w:t>
      </w:r>
      <w:proofErr w:type="gramEnd"/>
      <w:r>
        <w:rPr>
          <w:rStyle w:val="citation"/>
          <w:lang w:val="en-US"/>
        </w:rPr>
        <w:t xml:space="preserve"> indeed do not use the phrase replication despite there being very strong overlaps with Foody et al. (2013) and arguably weak overlaps between Foody et al. (2013) and Luciano et al. (2011). I return to this status as a replication later.</w:t>
      </w:r>
      <w:r w:rsidR="00540B04">
        <w:rPr>
          <w:rStyle w:val="citation"/>
          <w:lang w:val="en-US"/>
        </w:rPr>
        <w:t xml:space="preserve"> </w:t>
      </w:r>
    </w:p>
    <w:p w14:paraId="6915938A" w14:textId="0E0B78F4" w:rsidR="00540B04" w:rsidRDefault="00540B04" w:rsidP="00127167">
      <w:pPr>
        <w:rPr>
          <w:rStyle w:val="citation"/>
          <w:lang w:val="en-US"/>
        </w:rPr>
      </w:pPr>
      <w:r>
        <w:rPr>
          <w:rStyle w:val="citation"/>
          <w:lang w:val="en-US"/>
        </w:rPr>
        <w:t>Foody et al. (2015) state in their discussion that their study “</w:t>
      </w:r>
      <w:r w:rsidRPr="00540B04">
        <w:rPr>
          <w:rStyle w:val="citation"/>
          <w:lang w:val="en-US"/>
        </w:rPr>
        <w:t xml:space="preserve">found little or no differences between the hierarchical and distinction interventions on discomfort and anxiety. However, the results suggest that the hierarchical interventions are of more benefit </w:t>
      </w:r>
      <w:proofErr w:type="gramStart"/>
      <w:r w:rsidRPr="00540B04">
        <w:rPr>
          <w:rStyle w:val="citation"/>
          <w:lang w:val="en-US"/>
        </w:rPr>
        <w:t>with regard to</w:t>
      </w:r>
      <w:proofErr w:type="gramEnd"/>
      <w:r w:rsidRPr="00540B04">
        <w:rPr>
          <w:rStyle w:val="citation"/>
          <w:lang w:val="en-US"/>
        </w:rPr>
        <w:t xml:space="preserve"> the stress measure.”</w:t>
      </w:r>
      <w:r>
        <w:rPr>
          <w:rStyle w:val="citation"/>
          <w:lang w:val="en-US"/>
        </w:rPr>
        <w:t xml:space="preserve"> (Foody et al., 2015, p. 241). In this sense, the claim is the same as that stated in Foody et al. (2013), i.e., effects are only found on the stress outcome measure. </w:t>
      </w:r>
      <w:r w:rsidR="00FC52CD">
        <w:rPr>
          <w:rStyle w:val="citation"/>
          <w:lang w:val="en-US"/>
        </w:rPr>
        <w:t>However, as I discuss later, these claims are not compatible with the reported statistical results</w:t>
      </w:r>
      <w:r w:rsidR="001F4D42">
        <w:rPr>
          <w:rStyle w:val="citation"/>
          <w:lang w:val="en-US"/>
        </w:rPr>
        <w:t xml:space="preserve"> from the RM-ANOVAs</w:t>
      </w:r>
      <w:r w:rsidR="00A57417">
        <w:rPr>
          <w:rStyle w:val="citation"/>
          <w:lang w:val="en-US"/>
        </w:rPr>
        <w:t>, which were all non-significant.</w:t>
      </w:r>
      <w:r w:rsidR="00F52181">
        <w:rPr>
          <w:rStyle w:val="citation"/>
          <w:lang w:val="en-US"/>
        </w:rPr>
        <w:t xml:space="preserve"> I return to this point later.</w:t>
      </w:r>
    </w:p>
    <w:p w14:paraId="3123A136" w14:textId="77777777" w:rsidR="00FB5823" w:rsidRPr="003935D6" w:rsidRDefault="00FB5823" w:rsidP="00127167">
      <w:pPr>
        <w:rPr>
          <w:rStyle w:val="citation"/>
          <w:lang w:val="en-US"/>
        </w:rPr>
      </w:pPr>
    </w:p>
    <w:p w14:paraId="42796B57" w14:textId="77777777" w:rsidR="00554A16" w:rsidRDefault="00554A16" w:rsidP="001C354B">
      <w:pPr>
        <w:pStyle w:val="Heading1"/>
        <w:rPr>
          <w:lang w:val="en-US"/>
        </w:rPr>
      </w:pPr>
    </w:p>
    <w:p w14:paraId="4040A3EB" w14:textId="77777777" w:rsidR="00554A16" w:rsidRDefault="00554A16" w:rsidP="001C354B">
      <w:pPr>
        <w:pStyle w:val="Heading1"/>
        <w:rPr>
          <w:lang w:val="en-US"/>
        </w:rPr>
      </w:pPr>
    </w:p>
    <w:p w14:paraId="2249FAB1" w14:textId="77777777" w:rsidR="00554A16" w:rsidRDefault="00554A16" w:rsidP="001C354B">
      <w:pPr>
        <w:pStyle w:val="Heading1"/>
        <w:rPr>
          <w:lang w:val="en-US"/>
        </w:rPr>
      </w:pPr>
    </w:p>
    <w:p w14:paraId="5F820C75" w14:textId="77777777" w:rsidR="00554A16" w:rsidRDefault="00554A16" w:rsidP="001C354B">
      <w:pPr>
        <w:pStyle w:val="Heading1"/>
        <w:rPr>
          <w:lang w:val="en-US"/>
        </w:rPr>
      </w:pPr>
    </w:p>
    <w:p w14:paraId="435D2415" w14:textId="17457ABB"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685021CC" w14:textId="19EE7B61" w:rsidR="00992BDB" w:rsidRPr="00992BDB" w:rsidRDefault="006532B4" w:rsidP="00992BDB">
      <w:r w:rsidRPr="003935D6">
        <w:rPr>
          <w:lang w:val="en-US"/>
        </w:rPr>
        <w:t>Foo</w:t>
      </w:r>
      <w:r w:rsidR="00992BDB">
        <w:rPr>
          <w:lang w:val="en-US"/>
        </w:rPr>
        <w:t>d</w:t>
      </w:r>
      <w:r w:rsidRPr="003935D6">
        <w:rPr>
          <w:lang w:val="en-US"/>
        </w:rPr>
        <w:t>y et al. (2013) state that “the research was a replication of a previous study by Luciano et al. (2011)”</w:t>
      </w:r>
      <w:r w:rsidR="00992BDB">
        <w:rPr>
          <w:lang w:val="en-US"/>
        </w:rPr>
        <w:t xml:space="preserve"> </w:t>
      </w:r>
      <w:r w:rsidR="00992BDB">
        <w:t>(p. 384)</w:t>
      </w:r>
      <w:r w:rsidRPr="003935D6">
        <w:rPr>
          <w:lang w:val="en-US"/>
        </w:rPr>
        <w:t xml:space="preserve">. </w:t>
      </w:r>
      <w:r w:rsidR="00992BDB" w:rsidRPr="00992BDB">
        <w:t xml:space="preserve">In order to assess whether “replication” is an appropriate to label for Foody et al.’s (2013) study or not – a distinction which influences the evidentiary value it represents for the underlying claim – it is therefore useful to examine the overlap between Foody et al. (2013) and Luciano et al. (2011). </w:t>
      </w:r>
    </w:p>
    <w:p w14:paraId="0B8DA421" w14:textId="4AE60D64" w:rsidR="00992BDB" w:rsidRDefault="00992BDB" w:rsidP="00992BDB">
      <w:pPr>
        <w:rPr>
          <w:lang w:val="en-US"/>
        </w:rPr>
      </w:pPr>
      <w:r>
        <w:t xml:space="preserve">Foody et al. (2013) do acknowledge one important difference between their work and Luciano et al. (2011) when self-identifying the work as a replication: </w:t>
      </w:r>
      <w:r w:rsidRPr="00992BDB">
        <w:rPr>
          <w:i/>
          <w:iCs/>
        </w:rPr>
        <w:t>“the research was a replication … except that we were able to use less intensive interventions with our non-clinical sample”</w:t>
      </w:r>
      <w:r w:rsidRPr="00A95530">
        <w:t xml:space="preserve"> (p. 384)</w:t>
      </w:r>
      <w:r>
        <w:t xml:space="preserve">. </w:t>
      </w:r>
      <w:r w:rsidRPr="00992BDB">
        <w:rPr>
          <w:lang w:val="en-US"/>
        </w:rPr>
        <w:t xml:space="preserve">However, many other differences between the study exist but were not acknowledged in Foody et al. (2013), including the sample, design, number of follow up periods, outcome measures, and analytic strategy (see Table 1). </w:t>
      </w:r>
    </w:p>
    <w:p w14:paraId="6BD63E87" w14:textId="2484113D" w:rsidR="00554A16" w:rsidRDefault="00554A16" w:rsidP="00554A16">
      <w:pPr>
        <w:rPr>
          <w:lang w:val="en-US"/>
        </w:rPr>
      </w:pPr>
      <w:r w:rsidRPr="00992BDB">
        <w:rPr>
          <w:lang w:val="en-US"/>
        </w:rPr>
        <w:t xml:space="preserve">There is no single universally accepted definition of a replication, and there is ongoing debate about what nomenclature and taxonomy is useful in distinguishing between subtypes such as conceptual versus direct replications </w:t>
      </w:r>
      <w:r w:rsidRPr="00992BDB">
        <w:rPr>
          <w:lang w:val="en-US"/>
        </w:rPr>
        <w:fldChar w:fldCharType="begin"/>
      </w:r>
      <w:r>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Sci","language":"EN","page":"1490-1505","publisher":"SAGE Publications Inc","source":"SAGE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Pr="00992BDB">
        <w:rPr>
          <w:lang w:val="en-US"/>
        </w:rPr>
        <w:fldChar w:fldCharType="separate"/>
      </w:r>
      <w:r w:rsidRPr="00992BDB">
        <w:rPr>
          <w:lang w:val="en-US"/>
        </w:rPr>
        <w:t>(e.g., Derksen &amp; Morawski, 2022)</w:t>
      </w:r>
      <w:r w:rsidRPr="00992BDB">
        <w:rPr>
          <w:lang w:val="en-US"/>
        </w:rPr>
        <w:fldChar w:fldCharType="end"/>
      </w:r>
      <w:r>
        <w:rPr>
          <w:lang w:val="en-US"/>
        </w:rPr>
        <w:t xml:space="preserve">. Regardless of the specific framework used, the very low overlap in the details of the design, method and analyses of </w:t>
      </w:r>
      <w:r w:rsidRPr="00992BDB">
        <w:rPr>
          <w:lang w:val="en-US"/>
        </w:rPr>
        <w:t xml:space="preserve">Luciano et al. </w:t>
      </w:r>
      <w:r w:rsidRPr="00992BDB">
        <w:rPr>
          <w:lang w:val="en-US"/>
        </w:rPr>
        <w:fldChar w:fldCharType="begin"/>
      </w:r>
      <w:r w:rsidR="005D7D33">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Psychology","issue":"2","language":"en","page":"165-182","source":"Zotero","title":"A Relational Frame Analysis of Defusion Interactions in Acceptance and Commitment Therapy. A Preliminary and Quasi-Experimental Study with At-Risk Adolescents","volume":"11","author":[{"family":"Luciano","given":"Carmen"},{"family":"Ruiz","given":"Francisco J"},{"family":"Torres","given":"Rosa M Vizcaíno"},{"family":"Mar","given":"Vanessa Sánchez"}],"issued":{"date-parts":[["2011"]]}},"label":"page","suppress-author":true}],"schema":"https://github.com/citation-style-language/schema/raw/master/csl-citation.json"} </w:instrText>
      </w:r>
      <w:r w:rsidRPr="00992BDB">
        <w:rPr>
          <w:lang w:val="en-US"/>
        </w:rPr>
        <w:fldChar w:fldCharType="separate"/>
      </w:r>
      <w:r w:rsidRPr="00992BDB">
        <w:rPr>
          <w:lang w:val="en-US"/>
        </w:rPr>
        <w:t>(2011)</w:t>
      </w:r>
      <w:r w:rsidRPr="00992BDB">
        <w:rPr>
          <w:lang w:val="en-US"/>
        </w:rPr>
        <w:fldChar w:fldCharType="end"/>
      </w:r>
      <w:r w:rsidRPr="00992BDB">
        <w:rPr>
          <w:lang w:val="en-US"/>
        </w:rPr>
        <w:t xml:space="preserve"> and Foody et al. (2013)</w:t>
      </w:r>
      <w:r>
        <w:rPr>
          <w:lang w:val="en-US"/>
        </w:rPr>
        <w:t xml:space="preserve"> suggests that the latter cannot be confidently described as a replication of the same underlying claim.</w:t>
      </w:r>
    </w:p>
    <w:p w14:paraId="1529A094" w14:textId="77777777" w:rsidR="00554A16" w:rsidRDefault="00554A16" w:rsidP="00554A16">
      <w:pPr>
        <w:pStyle w:val="Heading2"/>
        <w:rPr>
          <w:lang w:val="en-US"/>
        </w:rPr>
      </w:pPr>
    </w:p>
    <w:p w14:paraId="79021804" w14:textId="77777777" w:rsidR="00554A16" w:rsidRPr="003935D6" w:rsidRDefault="00554A16" w:rsidP="00554A16">
      <w:pPr>
        <w:pStyle w:val="Heading2"/>
        <w:rPr>
          <w:lang w:val="en-US"/>
        </w:rPr>
      </w:pPr>
      <w:r w:rsidRPr="003935D6">
        <w:rPr>
          <w:lang w:val="en-US"/>
        </w:rPr>
        <w:t>Inconsistent descriptions of the methods</w:t>
      </w:r>
    </w:p>
    <w:p w14:paraId="606051E1" w14:textId="77777777" w:rsidR="00554A16" w:rsidRPr="003935D6" w:rsidRDefault="00554A16" w:rsidP="00554A16">
      <w:pPr>
        <w:rPr>
          <w:lang w:val="en-US"/>
        </w:rPr>
      </w:pPr>
      <w:r w:rsidRPr="003935D6">
        <w:rPr>
          <w:lang w:val="en-US"/>
        </w:rPr>
        <w:t xml:space="preserve">Both Foody et al. (2013) and Foody et al. (2015) report </w:t>
      </w:r>
      <w:proofErr w:type="gramStart"/>
      <w:r w:rsidRPr="003935D6">
        <w:rPr>
          <w:lang w:val="en-US"/>
        </w:rPr>
        <w:t>results</w:t>
      </w:r>
      <w:proofErr w:type="gramEnd"/>
      <w:r w:rsidRPr="003935D6">
        <w:rPr>
          <w:lang w:val="en-US"/>
        </w:rPr>
        <w:t xml:space="preserve"> from a Reactions Questionnaire that includes references to a car accident, e.g., “Please rate how vivid your thoughts and images were of the car accident” (</w:t>
      </w:r>
      <w:r>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Pr>
          <w:lang w:val="en-US"/>
        </w:rPr>
        <w:t>y-pasted</w:t>
      </w:r>
      <w:r w:rsidRPr="003935D6">
        <w:rPr>
          <w:lang w:val="en-US"/>
        </w:rPr>
        <w:t xml:space="preserve"> into the wrong manuscripts. For example, a previous publication by Foody et al. (2012) compare</w:t>
      </w:r>
      <w:r>
        <w:rPr>
          <w:lang w:val="en-US"/>
        </w:rPr>
        <w:t>d</w:t>
      </w:r>
      <w:r w:rsidRPr="003935D6">
        <w:rPr>
          <w:lang w:val="en-US"/>
        </w:rPr>
        <w:t xml:space="preserve"> two versions of a different distress induction procedure that involved having the participant write the sentence “I hope [participants’ loved one] is in a car accident” (</w:t>
      </w:r>
      <w:r>
        <w:rPr>
          <w:lang w:val="en-US"/>
        </w:rPr>
        <w:t>p. 128</w:t>
      </w:r>
      <w:r w:rsidRPr="003935D6">
        <w:rPr>
          <w:lang w:val="en-US"/>
        </w:rPr>
        <w:t xml:space="preserve">). </w:t>
      </w:r>
      <w:r>
        <w:rPr>
          <w:lang w:val="en-US"/>
        </w:rPr>
        <w:t>Another possibility is that the induction did not occur as stated in the texts of Foody et al. (2013, 2015</w:t>
      </w:r>
      <w:proofErr w:type="gramStart"/>
      <w:r>
        <w:rPr>
          <w:lang w:val="en-US"/>
        </w:rPr>
        <w:t>), and</w:t>
      </w:r>
      <w:proofErr w:type="gramEnd"/>
      <w:r>
        <w:rPr>
          <w:lang w:val="en-US"/>
        </w:rPr>
        <w:t xml:space="preserve"> did in fact use the car crash induction from Foody et al. (2012). </w:t>
      </w:r>
      <w:r w:rsidRPr="003935D6">
        <w:rPr>
          <w:lang w:val="en-US"/>
        </w:rPr>
        <w:t>It is unfortunate that these unexplained references to car accidents got through peer review at two different journals apparently without being detected or corrected.</w:t>
      </w:r>
    </w:p>
    <w:p w14:paraId="5390B6D2" w14:textId="77777777" w:rsidR="00554A16" w:rsidRPr="00992BDB" w:rsidRDefault="00554A16" w:rsidP="00992BDB">
      <w:pPr>
        <w:rPr>
          <w:lang w:val="en-US"/>
        </w:rPr>
      </w:pPr>
    </w:p>
    <w:p w14:paraId="3B22E0AA" w14:textId="77777777" w:rsidR="006325AB" w:rsidRDefault="006325AB">
      <w:pPr>
        <w:ind w:firstLine="0"/>
        <w:jc w:val="left"/>
        <w:rPr>
          <w:lang w:val="en-US"/>
        </w:rPr>
      </w:pPr>
      <w:r>
        <w:rPr>
          <w:lang w:val="en-US"/>
        </w:rPr>
        <w:br w:type="page"/>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Default="006532B4" w:rsidP="00DF7542">
      <w:pPr>
        <w:pStyle w:val="figureandtabletitle"/>
        <w:rPr>
          <w:b w:val="0"/>
          <w:bCs w:val="0"/>
        </w:rPr>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p w14:paraId="0607970A" w14:textId="77777777" w:rsidR="00C82A54" w:rsidRPr="003935D6" w:rsidRDefault="00C82A54" w:rsidP="00DF7542">
      <w:pPr>
        <w:pStyle w:val="figureandtabletitle"/>
      </w:pP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591"/>
        <w:gridCol w:w="3867"/>
      </w:tblGrid>
      <w:tr w:rsidR="006532B4" w:rsidRPr="003935D6" w14:paraId="06A8119B" w14:textId="77777777" w:rsidTr="000710F5">
        <w:trPr>
          <w:trHeight w:val="246"/>
          <w:jc w:val="center"/>
        </w:trPr>
        <w:tc>
          <w:tcPr>
            <w:tcW w:w="1800"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591"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0710F5">
        <w:trPr>
          <w:trHeight w:val="277"/>
          <w:jc w:val="center"/>
        </w:trPr>
        <w:tc>
          <w:tcPr>
            <w:tcW w:w="1800" w:type="dxa"/>
            <w:tcBorders>
              <w:top w:val="single" w:sz="4" w:space="0" w:color="auto"/>
              <w:bottom w:val="nil"/>
            </w:tcBorders>
          </w:tcPr>
          <w:p w14:paraId="78B8292B" w14:textId="45161CD6" w:rsidR="006532B4" w:rsidRPr="003935D6" w:rsidRDefault="00992BDB" w:rsidP="000710F5">
            <w:pPr>
              <w:pStyle w:val="table"/>
              <w:ind w:left="157" w:hanging="157"/>
              <w:jc w:val="left"/>
              <w:rPr>
                <w:lang w:val="en-US"/>
              </w:rPr>
            </w:pPr>
            <w:r>
              <w:rPr>
                <w:lang w:val="en-US"/>
              </w:rPr>
              <w:t xml:space="preserve">Component of the ACT </w:t>
            </w:r>
            <w:proofErr w:type="spellStart"/>
            <w:r>
              <w:rPr>
                <w:lang w:val="en-US"/>
              </w:rPr>
              <w:t>hexaflex</w:t>
            </w:r>
            <w:proofErr w:type="spellEnd"/>
            <w:r>
              <w:rPr>
                <w:lang w:val="en-US"/>
              </w:rPr>
              <w:t xml:space="preserve"> model </w:t>
            </w:r>
          </w:p>
        </w:tc>
        <w:tc>
          <w:tcPr>
            <w:tcW w:w="3591" w:type="dxa"/>
            <w:tcBorders>
              <w:top w:val="single" w:sz="4" w:space="0" w:color="auto"/>
              <w:bottom w:val="nil"/>
            </w:tcBorders>
          </w:tcPr>
          <w:p w14:paraId="4C1049DC" w14:textId="5D13FB17" w:rsidR="006532B4" w:rsidRPr="003935D6" w:rsidRDefault="00992BDB" w:rsidP="00755F8A">
            <w:pPr>
              <w:pStyle w:val="table"/>
              <w:ind w:firstLine="0"/>
              <w:jc w:val="left"/>
              <w:rPr>
                <w:lang w:val="en-US"/>
              </w:rPr>
            </w:pPr>
            <w:r>
              <w:rPr>
                <w:lang w:val="en-US"/>
              </w:rPr>
              <w:t>Cognitive fusion</w:t>
            </w:r>
            <w:r w:rsidR="00A60AA2" w:rsidRPr="003935D6">
              <w:rPr>
                <w:lang w:val="en-US"/>
              </w:rPr>
              <w:t xml:space="preserve"> </w:t>
            </w:r>
          </w:p>
        </w:tc>
        <w:tc>
          <w:tcPr>
            <w:tcW w:w="3867" w:type="dxa"/>
            <w:tcBorders>
              <w:top w:val="single" w:sz="4" w:space="0" w:color="auto"/>
              <w:bottom w:val="nil"/>
            </w:tcBorders>
          </w:tcPr>
          <w:p w14:paraId="27EE64B3" w14:textId="379493CC" w:rsidR="006532B4" w:rsidRPr="003935D6" w:rsidRDefault="00992BDB" w:rsidP="00755F8A">
            <w:pPr>
              <w:pStyle w:val="table"/>
              <w:ind w:firstLine="0"/>
              <w:jc w:val="left"/>
              <w:rPr>
                <w:lang w:val="en-US"/>
              </w:rPr>
            </w:pPr>
            <w:r>
              <w:rPr>
                <w:lang w:val="en-US"/>
              </w:rPr>
              <w:t>Self-as-context</w:t>
            </w:r>
          </w:p>
        </w:tc>
      </w:tr>
      <w:tr w:rsidR="000710F5" w:rsidRPr="003935D6" w14:paraId="5FB40475" w14:textId="77777777" w:rsidTr="000710F5">
        <w:trPr>
          <w:trHeight w:val="277"/>
          <w:jc w:val="center"/>
        </w:trPr>
        <w:tc>
          <w:tcPr>
            <w:tcW w:w="1800" w:type="dxa"/>
            <w:tcBorders>
              <w:top w:val="nil"/>
              <w:bottom w:val="nil"/>
            </w:tcBorders>
          </w:tcPr>
          <w:p w14:paraId="72F2F6B7" w14:textId="0A55F2A6" w:rsidR="000710F5" w:rsidRDefault="000710F5" w:rsidP="000710F5">
            <w:pPr>
              <w:pStyle w:val="table"/>
              <w:ind w:left="157" w:hanging="157"/>
              <w:jc w:val="left"/>
              <w:rPr>
                <w:lang w:val="en-US"/>
              </w:rPr>
            </w:pPr>
            <w:r>
              <w:rPr>
                <w:lang w:val="en-US"/>
              </w:rPr>
              <w:t>Relational responses targeted by intervention</w:t>
            </w:r>
          </w:p>
        </w:tc>
        <w:tc>
          <w:tcPr>
            <w:tcW w:w="3591" w:type="dxa"/>
            <w:tcBorders>
              <w:top w:val="nil"/>
              <w:bottom w:val="nil"/>
            </w:tcBorders>
          </w:tcPr>
          <w:p w14:paraId="6DEFB3E7" w14:textId="7B05716B" w:rsidR="000710F5" w:rsidRDefault="000710F5" w:rsidP="000710F5">
            <w:pPr>
              <w:pStyle w:val="table"/>
              <w:ind w:firstLine="0"/>
              <w:jc w:val="left"/>
              <w:rPr>
                <w:lang w:val="en-US"/>
              </w:rPr>
            </w:pPr>
            <w:r>
              <w:rPr>
                <w:lang w:val="en-US"/>
              </w:rPr>
              <w:t>Deictic (here/there) vs. hierarchical (containment)</w:t>
            </w:r>
          </w:p>
        </w:tc>
        <w:tc>
          <w:tcPr>
            <w:tcW w:w="3867" w:type="dxa"/>
            <w:tcBorders>
              <w:top w:val="nil"/>
              <w:bottom w:val="nil"/>
            </w:tcBorders>
          </w:tcPr>
          <w:p w14:paraId="1FD594A3" w14:textId="6D563E42" w:rsidR="000710F5" w:rsidRDefault="000710F5" w:rsidP="000710F5">
            <w:pPr>
              <w:pStyle w:val="table"/>
              <w:ind w:firstLine="0"/>
              <w:jc w:val="left"/>
              <w:rPr>
                <w:lang w:val="en-US"/>
              </w:rPr>
            </w:pPr>
            <w:r>
              <w:rPr>
                <w:lang w:val="en-US"/>
              </w:rPr>
              <w:t>Distinction (different from) vs. hierarchical (containment)</w:t>
            </w:r>
          </w:p>
        </w:tc>
      </w:tr>
      <w:tr w:rsidR="000710F5" w:rsidRPr="003935D6" w14:paraId="7860D6D2" w14:textId="77777777" w:rsidTr="000710F5">
        <w:trPr>
          <w:trHeight w:val="277"/>
          <w:jc w:val="center"/>
        </w:trPr>
        <w:tc>
          <w:tcPr>
            <w:tcW w:w="1800" w:type="dxa"/>
            <w:tcBorders>
              <w:top w:val="nil"/>
            </w:tcBorders>
          </w:tcPr>
          <w:p w14:paraId="56A55E8F" w14:textId="7927DD98" w:rsidR="000710F5" w:rsidRPr="003935D6" w:rsidRDefault="000710F5" w:rsidP="000710F5">
            <w:pPr>
              <w:pStyle w:val="table"/>
              <w:ind w:left="157" w:hanging="157"/>
              <w:jc w:val="left"/>
              <w:rPr>
                <w:lang w:val="en-US"/>
              </w:rPr>
            </w:pPr>
            <w:r w:rsidRPr="003935D6">
              <w:rPr>
                <w:lang w:val="en-US"/>
              </w:rPr>
              <w:t>Sample</w:t>
            </w:r>
          </w:p>
        </w:tc>
        <w:tc>
          <w:tcPr>
            <w:tcW w:w="3591" w:type="dxa"/>
            <w:tcBorders>
              <w:top w:val="nil"/>
            </w:tcBorders>
          </w:tcPr>
          <w:p w14:paraId="21297309" w14:textId="68EAE389" w:rsidR="000710F5" w:rsidRPr="003935D6" w:rsidRDefault="000710F5" w:rsidP="000710F5">
            <w:pPr>
              <w:pStyle w:val="table"/>
              <w:ind w:firstLine="0"/>
              <w:jc w:val="left"/>
              <w:rPr>
                <w:lang w:val="en-US"/>
              </w:rPr>
            </w:pPr>
            <w:r w:rsidRPr="003935D6">
              <w:rPr>
                <w:lang w:val="en-US"/>
              </w:rPr>
              <w:t>Adolescent</w:t>
            </w:r>
            <w:r w:rsidR="00104DE9">
              <w:rPr>
                <w:lang w:val="en-US"/>
              </w:rPr>
              <w:t xml:space="preserve"> clinical</w:t>
            </w:r>
          </w:p>
        </w:tc>
        <w:tc>
          <w:tcPr>
            <w:tcW w:w="3867" w:type="dxa"/>
            <w:tcBorders>
              <w:top w:val="nil"/>
            </w:tcBorders>
          </w:tcPr>
          <w:p w14:paraId="4E2EE700" w14:textId="2A4A41EA" w:rsidR="000710F5" w:rsidRPr="003935D6" w:rsidRDefault="000710F5" w:rsidP="000710F5">
            <w:pPr>
              <w:pStyle w:val="table"/>
              <w:ind w:firstLine="0"/>
              <w:jc w:val="left"/>
              <w:rPr>
                <w:lang w:val="en-US"/>
              </w:rPr>
            </w:pPr>
            <w:r w:rsidRPr="003935D6">
              <w:rPr>
                <w:lang w:val="en-US"/>
              </w:rPr>
              <w:t>Adult</w:t>
            </w:r>
            <w:r w:rsidR="00104DE9">
              <w:rPr>
                <w:lang w:val="en-US"/>
              </w:rPr>
              <w:t xml:space="preserve"> healthy</w:t>
            </w:r>
          </w:p>
        </w:tc>
      </w:tr>
      <w:tr w:rsidR="000710F5" w:rsidRPr="003935D6" w14:paraId="60D68205" w14:textId="77777777" w:rsidTr="000710F5">
        <w:trPr>
          <w:trHeight w:val="277"/>
          <w:jc w:val="center"/>
        </w:trPr>
        <w:tc>
          <w:tcPr>
            <w:tcW w:w="1800" w:type="dxa"/>
          </w:tcPr>
          <w:p w14:paraId="4FAA92A4" w14:textId="77777777" w:rsidR="000710F5" w:rsidRPr="003935D6" w:rsidRDefault="000710F5" w:rsidP="000710F5">
            <w:pPr>
              <w:pStyle w:val="table"/>
              <w:ind w:left="157" w:hanging="157"/>
              <w:jc w:val="left"/>
              <w:rPr>
                <w:lang w:val="en-US"/>
              </w:rPr>
            </w:pPr>
            <w:r w:rsidRPr="003935D6">
              <w:rPr>
                <w:lang w:val="en-US"/>
              </w:rPr>
              <w:t>Design</w:t>
            </w:r>
          </w:p>
        </w:tc>
        <w:tc>
          <w:tcPr>
            <w:tcW w:w="3591" w:type="dxa"/>
          </w:tcPr>
          <w:p w14:paraId="5DC88B32" w14:textId="728BDC74" w:rsidR="000710F5" w:rsidRPr="003935D6" w:rsidRDefault="000710F5" w:rsidP="000710F5">
            <w:pPr>
              <w:pStyle w:val="table"/>
              <w:ind w:firstLine="0"/>
              <w:jc w:val="left"/>
              <w:rPr>
                <w:lang w:val="en-US"/>
              </w:rPr>
            </w:pPr>
            <w:r w:rsidRPr="003935D6">
              <w:rPr>
                <w:lang w:val="en-US"/>
              </w:rPr>
              <w:t>Quasi-experiment</w:t>
            </w:r>
          </w:p>
        </w:tc>
        <w:tc>
          <w:tcPr>
            <w:tcW w:w="3867" w:type="dxa"/>
          </w:tcPr>
          <w:p w14:paraId="7190F366" w14:textId="155FA2D6" w:rsidR="000710F5" w:rsidRPr="003935D6" w:rsidRDefault="000710F5" w:rsidP="000710F5">
            <w:pPr>
              <w:pStyle w:val="table"/>
              <w:ind w:firstLine="0"/>
              <w:jc w:val="left"/>
              <w:rPr>
                <w:lang w:val="en-US"/>
              </w:rPr>
            </w:pPr>
            <w:r w:rsidRPr="003935D6">
              <w:rPr>
                <w:lang w:val="en-US"/>
              </w:rPr>
              <w:t>Laboratory analogue study</w:t>
            </w:r>
          </w:p>
        </w:tc>
      </w:tr>
      <w:tr w:rsidR="003A7A9A" w:rsidRPr="003935D6" w14:paraId="71A0029B" w14:textId="77777777" w:rsidTr="000710F5">
        <w:trPr>
          <w:trHeight w:val="277"/>
          <w:jc w:val="center"/>
        </w:trPr>
        <w:tc>
          <w:tcPr>
            <w:tcW w:w="1800" w:type="dxa"/>
          </w:tcPr>
          <w:p w14:paraId="4E87AE7E" w14:textId="16EAF8FA" w:rsidR="003A7A9A" w:rsidRPr="003935D6" w:rsidRDefault="003A7A9A" w:rsidP="000710F5">
            <w:pPr>
              <w:pStyle w:val="table"/>
              <w:ind w:left="157" w:hanging="157"/>
              <w:jc w:val="left"/>
              <w:rPr>
                <w:lang w:val="en-US"/>
              </w:rPr>
            </w:pPr>
            <w:r>
              <w:rPr>
                <w:lang w:val="en-US"/>
              </w:rPr>
              <w:t>Randomization</w:t>
            </w:r>
          </w:p>
        </w:tc>
        <w:tc>
          <w:tcPr>
            <w:tcW w:w="3591" w:type="dxa"/>
          </w:tcPr>
          <w:p w14:paraId="463DE912" w14:textId="51A843EC" w:rsidR="003A7A9A" w:rsidRPr="003935D6" w:rsidRDefault="003A7A9A" w:rsidP="000710F5">
            <w:pPr>
              <w:pStyle w:val="table"/>
              <w:ind w:firstLine="0"/>
              <w:jc w:val="left"/>
              <w:rPr>
                <w:lang w:val="en-US"/>
              </w:rPr>
            </w:pPr>
            <w:r>
              <w:rPr>
                <w:lang w:val="en-US"/>
              </w:rPr>
              <w:t>No, assignment based on baseline severity</w:t>
            </w:r>
          </w:p>
        </w:tc>
        <w:tc>
          <w:tcPr>
            <w:tcW w:w="3867" w:type="dxa"/>
          </w:tcPr>
          <w:p w14:paraId="50233473" w14:textId="237D02E6" w:rsidR="003A7A9A" w:rsidRPr="003935D6" w:rsidRDefault="003A7A9A" w:rsidP="000710F5">
            <w:pPr>
              <w:pStyle w:val="table"/>
              <w:ind w:firstLine="0"/>
              <w:jc w:val="left"/>
              <w:rPr>
                <w:lang w:val="en-US"/>
              </w:rPr>
            </w:pPr>
            <w:r>
              <w:rPr>
                <w:lang w:val="en-US"/>
              </w:rPr>
              <w:t>Yes</w:t>
            </w:r>
          </w:p>
        </w:tc>
      </w:tr>
      <w:tr w:rsidR="003A7A9A" w:rsidRPr="003935D6" w14:paraId="0106E941" w14:textId="77777777" w:rsidTr="000710F5">
        <w:trPr>
          <w:trHeight w:val="277"/>
          <w:jc w:val="center"/>
        </w:trPr>
        <w:tc>
          <w:tcPr>
            <w:tcW w:w="1800" w:type="dxa"/>
          </w:tcPr>
          <w:p w14:paraId="7F3C5929" w14:textId="4B7B55FD" w:rsidR="003A7A9A" w:rsidRPr="003935D6" w:rsidRDefault="003A7A9A" w:rsidP="000710F5">
            <w:pPr>
              <w:pStyle w:val="table"/>
              <w:ind w:left="157" w:hanging="157"/>
              <w:jc w:val="left"/>
              <w:rPr>
                <w:lang w:val="en-US"/>
              </w:rPr>
            </w:pPr>
            <w:r>
              <w:rPr>
                <w:lang w:val="en-US"/>
              </w:rPr>
              <w:t>Control condition</w:t>
            </w:r>
          </w:p>
        </w:tc>
        <w:tc>
          <w:tcPr>
            <w:tcW w:w="3591" w:type="dxa"/>
          </w:tcPr>
          <w:p w14:paraId="49357E4B" w14:textId="4131B649" w:rsidR="003A7A9A" w:rsidRPr="003935D6" w:rsidRDefault="003A7A9A" w:rsidP="000710F5">
            <w:pPr>
              <w:pStyle w:val="table"/>
              <w:ind w:firstLine="0"/>
              <w:jc w:val="left"/>
              <w:rPr>
                <w:lang w:val="en-US"/>
              </w:rPr>
            </w:pPr>
            <w:r>
              <w:rPr>
                <w:lang w:val="en-US"/>
              </w:rPr>
              <w:t>No</w:t>
            </w:r>
          </w:p>
        </w:tc>
        <w:tc>
          <w:tcPr>
            <w:tcW w:w="3867" w:type="dxa"/>
          </w:tcPr>
          <w:p w14:paraId="243ADB97" w14:textId="28322252" w:rsidR="003A7A9A" w:rsidRPr="003935D6" w:rsidRDefault="003A7A9A" w:rsidP="000710F5">
            <w:pPr>
              <w:pStyle w:val="table"/>
              <w:ind w:firstLine="0"/>
              <w:jc w:val="left"/>
              <w:rPr>
                <w:lang w:val="en-US"/>
              </w:rPr>
            </w:pPr>
            <w:r>
              <w:rPr>
                <w:lang w:val="en-US"/>
              </w:rPr>
              <w:t>No</w:t>
            </w:r>
          </w:p>
        </w:tc>
      </w:tr>
      <w:tr w:rsidR="000710F5" w:rsidRPr="003935D6" w14:paraId="74B71AAC" w14:textId="77777777" w:rsidTr="000710F5">
        <w:trPr>
          <w:trHeight w:val="264"/>
          <w:jc w:val="center"/>
        </w:trPr>
        <w:tc>
          <w:tcPr>
            <w:tcW w:w="1800" w:type="dxa"/>
          </w:tcPr>
          <w:p w14:paraId="2046DE4C" w14:textId="42793C13" w:rsidR="000710F5" w:rsidRPr="003935D6" w:rsidRDefault="000710F5" w:rsidP="000710F5">
            <w:pPr>
              <w:pStyle w:val="table"/>
              <w:ind w:left="157" w:hanging="157"/>
              <w:jc w:val="left"/>
              <w:rPr>
                <w:lang w:val="en-US"/>
              </w:rPr>
            </w:pPr>
            <w:r w:rsidRPr="003935D6">
              <w:rPr>
                <w:lang w:val="en-US"/>
              </w:rPr>
              <w:t xml:space="preserve">Distress induction </w:t>
            </w:r>
          </w:p>
        </w:tc>
        <w:tc>
          <w:tcPr>
            <w:tcW w:w="3591" w:type="dxa"/>
          </w:tcPr>
          <w:p w14:paraId="59CAD356" w14:textId="77777777" w:rsidR="000710F5" w:rsidRPr="003935D6" w:rsidRDefault="000710F5" w:rsidP="000710F5">
            <w:pPr>
              <w:pStyle w:val="table"/>
              <w:ind w:firstLine="0"/>
              <w:jc w:val="left"/>
              <w:rPr>
                <w:lang w:val="en-US"/>
              </w:rPr>
            </w:pPr>
            <w:r w:rsidRPr="003935D6">
              <w:rPr>
                <w:lang w:val="en-US"/>
              </w:rPr>
              <w:t>No</w:t>
            </w:r>
          </w:p>
        </w:tc>
        <w:tc>
          <w:tcPr>
            <w:tcW w:w="3867" w:type="dxa"/>
          </w:tcPr>
          <w:p w14:paraId="551A8041" w14:textId="77777777" w:rsidR="000710F5" w:rsidRPr="003935D6" w:rsidRDefault="000710F5" w:rsidP="000710F5">
            <w:pPr>
              <w:pStyle w:val="table"/>
              <w:ind w:firstLine="0"/>
              <w:jc w:val="left"/>
              <w:rPr>
                <w:lang w:val="en-US"/>
              </w:rPr>
            </w:pPr>
            <w:r w:rsidRPr="003935D6">
              <w:rPr>
                <w:lang w:val="en-US"/>
              </w:rPr>
              <w:t>Yes</w:t>
            </w:r>
          </w:p>
        </w:tc>
      </w:tr>
      <w:tr w:rsidR="000710F5" w:rsidRPr="003935D6" w14:paraId="2609850E" w14:textId="77777777" w:rsidTr="000710F5">
        <w:trPr>
          <w:trHeight w:val="277"/>
          <w:jc w:val="center"/>
        </w:trPr>
        <w:tc>
          <w:tcPr>
            <w:tcW w:w="1800" w:type="dxa"/>
          </w:tcPr>
          <w:p w14:paraId="27269075" w14:textId="77777777" w:rsidR="000710F5" w:rsidRPr="003935D6" w:rsidRDefault="000710F5" w:rsidP="000710F5">
            <w:pPr>
              <w:pStyle w:val="table"/>
              <w:ind w:left="157" w:hanging="157"/>
              <w:jc w:val="left"/>
              <w:rPr>
                <w:lang w:val="en-US"/>
              </w:rPr>
            </w:pPr>
            <w:r w:rsidRPr="003935D6">
              <w:rPr>
                <w:lang w:val="en-US"/>
              </w:rPr>
              <w:t>Timepoints</w:t>
            </w:r>
          </w:p>
        </w:tc>
        <w:tc>
          <w:tcPr>
            <w:tcW w:w="3591" w:type="dxa"/>
          </w:tcPr>
          <w:p w14:paraId="0D809E6A" w14:textId="686EF10D" w:rsidR="000710F5" w:rsidRPr="003935D6" w:rsidRDefault="000710F5" w:rsidP="000710F5">
            <w:pPr>
              <w:pStyle w:val="table"/>
              <w:ind w:firstLine="0"/>
              <w:jc w:val="left"/>
              <w:rPr>
                <w:lang w:val="en-US"/>
              </w:rPr>
            </w:pPr>
            <w:r w:rsidRPr="003935D6">
              <w:rPr>
                <w:lang w:val="en-US"/>
              </w:rPr>
              <w:t>5 therapy sessions over 4 months</w:t>
            </w:r>
          </w:p>
        </w:tc>
        <w:tc>
          <w:tcPr>
            <w:tcW w:w="3867" w:type="dxa"/>
          </w:tcPr>
          <w:p w14:paraId="1A4A0E0B" w14:textId="6377A561"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423F488E" w14:textId="77777777" w:rsidTr="000710F5">
        <w:trPr>
          <w:trHeight w:val="277"/>
          <w:jc w:val="center"/>
        </w:trPr>
        <w:tc>
          <w:tcPr>
            <w:tcW w:w="1800" w:type="dxa"/>
          </w:tcPr>
          <w:p w14:paraId="632C1B5B" w14:textId="72EC6C8F" w:rsidR="000710F5" w:rsidRPr="003935D6" w:rsidRDefault="000710F5" w:rsidP="000710F5">
            <w:pPr>
              <w:pStyle w:val="table"/>
              <w:ind w:left="157" w:hanging="157"/>
              <w:jc w:val="left"/>
              <w:rPr>
                <w:lang w:val="en-US"/>
              </w:rPr>
            </w:pPr>
            <w:r w:rsidRPr="003935D6">
              <w:rPr>
                <w:lang w:val="en-US"/>
              </w:rPr>
              <w:t>Follow up period</w:t>
            </w:r>
          </w:p>
        </w:tc>
        <w:tc>
          <w:tcPr>
            <w:tcW w:w="3591" w:type="dxa"/>
          </w:tcPr>
          <w:p w14:paraId="2E224FF2" w14:textId="2CED5162" w:rsidR="000710F5" w:rsidRPr="003935D6" w:rsidRDefault="000710F5" w:rsidP="000710F5">
            <w:pPr>
              <w:pStyle w:val="table"/>
              <w:ind w:firstLine="0"/>
              <w:jc w:val="left"/>
              <w:rPr>
                <w:lang w:val="en-US"/>
              </w:rPr>
            </w:pPr>
            <w:r w:rsidRPr="003935D6">
              <w:rPr>
                <w:lang w:val="en-US"/>
              </w:rPr>
              <w:t>2 weeks and 4 months</w:t>
            </w:r>
          </w:p>
        </w:tc>
        <w:tc>
          <w:tcPr>
            <w:tcW w:w="3867" w:type="dxa"/>
          </w:tcPr>
          <w:p w14:paraId="7561C13D" w14:textId="17EE4320"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7D6375D4" w14:textId="77777777" w:rsidTr="000710F5">
        <w:trPr>
          <w:trHeight w:val="277"/>
          <w:jc w:val="center"/>
        </w:trPr>
        <w:tc>
          <w:tcPr>
            <w:tcW w:w="1800" w:type="dxa"/>
          </w:tcPr>
          <w:p w14:paraId="56422162" w14:textId="77777777" w:rsidR="000710F5" w:rsidRPr="003935D6" w:rsidRDefault="000710F5" w:rsidP="000710F5">
            <w:pPr>
              <w:pStyle w:val="table"/>
              <w:ind w:left="157" w:hanging="157"/>
              <w:jc w:val="left"/>
              <w:rPr>
                <w:lang w:val="en-US"/>
              </w:rPr>
            </w:pPr>
            <w:r w:rsidRPr="003935D6">
              <w:rPr>
                <w:lang w:val="en-US"/>
              </w:rPr>
              <w:t>Outcome variables</w:t>
            </w:r>
          </w:p>
        </w:tc>
        <w:tc>
          <w:tcPr>
            <w:tcW w:w="3591" w:type="dxa"/>
          </w:tcPr>
          <w:p w14:paraId="723E4914" w14:textId="77777777" w:rsidR="000710F5" w:rsidRPr="003935D6" w:rsidRDefault="000710F5" w:rsidP="000710F5">
            <w:pPr>
              <w:pStyle w:val="table"/>
              <w:ind w:firstLine="0"/>
              <w:jc w:val="left"/>
              <w:rPr>
                <w:lang w:val="en-US"/>
              </w:rPr>
            </w:pPr>
            <w:r w:rsidRPr="003935D6">
              <w:rPr>
                <w:lang w:val="en-US"/>
              </w:rPr>
              <w:t>Spanish Avoidance and Fusion Questionnaire (AFQ-S)</w:t>
            </w:r>
          </w:p>
          <w:p w14:paraId="5A86678B" w14:textId="77777777" w:rsidR="000710F5" w:rsidRPr="003935D6" w:rsidRDefault="000710F5" w:rsidP="000710F5">
            <w:pPr>
              <w:pStyle w:val="table"/>
              <w:ind w:firstLine="0"/>
              <w:jc w:val="left"/>
              <w:rPr>
                <w:lang w:val="en-US"/>
              </w:rPr>
            </w:pPr>
            <w:r w:rsidRPr="003935D6">
              <w:rPr>
                <w:lang w:val="en-US"/>
              </w:rPr>
              <w:t>Accepting without Judgment Scale of the Kentucky Inventory of Mindfulness Skills (KIMS)</w:t>
            </w:r>
          </w:p>
          <w:p w14:paraId="76690D90" w14:textId="19E2C7B8" w:rsidR="000710F5" w:rsidRPr="003935D6" w:rsidRDefault="000710F5" w:rsidP="000710F5">
            <w:pPr>
              <w:pStyle w:val="table"/>
              <w:ind w:firstLine="0"/>
              <w:jc w:val="left"/>
              <w:rPr>
                <w:lang w:val="en-US"/>
              </w:rPr>
            </w:pPr>
            <w:r w:rsidRPr="003935D6">
              <w:rPr>
                <w:lang w:val="en-US"/>
              </w:rPr>
              <w:t>Impulsive Behavior Inventory (IBI)</w:t>
            </w:r>
          </w:p>
          <w:p w14:paraId="373A5070" w14:textId="2C14A421" w:rsidR="000710F5" w:rsidRPr="003935D6" w:rsidRDefault="000710F5" w:rsidP="000710F5">
            <w:pPr>
              <w:pStyle w:val="table"/>
              <w:ind w:firstLine="0"/>
              <w:jc w:val="left"/>
              <w:rPr>
                <w:lang w:val="en-US"/>
              </w:rPr>
            </w:pPr>
            <w:r w:rsidRPr="003935D6">
              <w:rPr>
                <w:lang w:val="en-US"/>
              </w:rPr>
              <w:t>Emotional Behavior Inventory (EBI)</w:t>
            </w:r>
          </w:p>
        </w:tc>
        <w:tc>
          <w:tcPr>
            <w:tcW w:w="3867" w:type="dxa"/>
          </w:tcPr>
          <w:p w14:paraId="0881FA14" w14:textId="38F212AC" w:rsidR="000710F5" w:rsidRPr="003935D6" w:rsidRDefault="000710F5" w:rsidP="000710F5">
            <w:pPr>
              <w:pStyle w:val="table"/>
              <w:ind w:firstLine="0"/>
              <w:jc w:val="left"/>
              <w:rPr>
                <w:lang w:val="en-US"/>
              </w:rPr>
            </w:pPr>
            <w:r w:rsidRPr="003935D6">
              <w:rPr>
                <w:lang w:val="en-US"/>
              </w:rPr>
              <w:t>Single-item Visual Analogue Scales for discomfort, anxiety, and stress</w:t>
            </w:r>
            <w:r w:rsidR="00C82A54">
              <w:rPr>
                <w:lang w:val="en-US"/>
              </w:rPr>
              <w:t xml:space="preserve"> (a</w:t>
            </w:r>
            <w:r w:rsidR="00C82A54" w:rsidRPr="003935D6">
              <w:rPr>
                <w:lang w:val="en-US"/>
              </w:rPr>
              <w:t>d hoc measures created for the study</w:t>
            </w:r>
            <w:r w:rsidR="00C82A54">
              <w:rPr>
                <w:lang w:val="en-US"/>
              </w:rPr>
              <w:t>)</w:t>
            </w:r>
          </w:p>
        </w:tc>
      </w:tr>
      <w:tr w:rsidR="000710F5" w:rsidRPr="003935D6" w14:paraId="16FDFF26" w14:textId="77777777" w:rsidTr="000710F5">
        <w:trPr>
          <w:trHeight w:val="277"/>
          <w:jc w:val="center"/>
        </w:trPr>
        <w:tc>
          <w:tcPr>
            <w:tcW w:w="1800" w:type="dxa"/>
            <w:tcBorders>
              <w:bottom w:val="single" w:sz="4" w:space="0" w:color="auto"/>
            </w:tcBorders>
          </w:tcPr>
          <w:p w14:paraId="6BAC386E" w14:textId="3938628B" w:rsidR="000710F5" w:rsidRPr="003935D6" w:rsidRDefault="000710F5" w:rsidP="000710F5">
            <w:pPr>
              <w:pStyle w:val="table"/>
              <w:ind w:left="157" w:hanging="157"/>
              <w:jc w:val="left"/>
              <w:rPr>
                <w:lang w:val="en-US"/>
              </w:rPr>
            </w:pPr>
            <w:r w:rsidRPr="003935D6">
              <w:rPr>
                <w:lang w:val="en-US"/>
              </w:rPr>
              <w:t>Primary analysis</w:t>
            </w:r>
          </w:p>
        </w:tc>
        <w:tc>
          <w:tcPr>
            <w:tcW w:w="3591" w:type="dxa"/>
            <w:tcBorders>
              <w:bottom w:val="single" w:sz="4" w:space="0" w:color="auto"/>
            </w:tcBorders>
          </w:tcPr>
          <w:p w14:paraId="48FDBBE3" w14:textId="0DF2B670" w:rsidR="000710F5" w:rsidRPr="003935D6" w:rsidRDefault="000710F5" w:rsidP="000710F5">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58D0E919" w:rsidR="000710F5" w:rsidRPr="003935D6" w:rsidRDefault="000710F5" w:rsidP="000710F5">
            <w:pPr>
              <w:pStyle w:val="table"/>
              <w:ind w:firstLine="0"/>
              <w:jc w:val="left"/>
              <w:rPr>
                <w:lang w:val="en-US"/>
              </w:rPr>
            </w:pPr>
            <w:r w:rsidRPr="003935D6">
              <w:rPr>
                <w:lang w:val="en-US"/>
              </w:rPr>
              <w:t>RM-ANOVA</w:t>
            </w:r>
            <w:r w:rsidR="007E1A69">
              <w:rPr>
                <w:lang w:val="en-US"/>
              </w:rPr>
              <w:t>s</w:t>
            </w:r>
          </w:p>
        </w:tc>
      </w:tr>
    </w:tbl>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404F97D5" w14:textId="7A9947F0"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w:t>
      </w:r>
      <w:proofErr w:type="gramStart"/>
      <w:r w:rsidR="00F87639" w:rsidRPr="003935D6">
        <w:rPr>
          <w:lang w:val="en-US"/>
        </w:rPr>
        <w:t>period of time</w:t>
      </w:r>
      <w:proofErr w:type="gramEnd"/>
      <w:r w:rsidR="00F87639" w:rsidRPr="003935D6">
        <w:rPr>
          <w:lang w:val="en-US"/>
        </w:rPr>
        <w:t xml:space="preserve">. As such, </w:t>
      </w:r>
      <w:proofErr w:type="gramStart"/>
      <w:r w:rsidR="00AD4557" w:rsidRPr="003935D6">
        <w:rPr>
          <w:lang w:val="en-US"/>
        </w:rPr>
        <w:t>in order to</w:t>
      </w:r>
      <w:proofErr w:type="gramEnd"/>
      <w:r w:rsidR="00AD4557" w:rsidRPr="003935D6">
        <w:rPr>
          <w:lang w:val="en-US"/>
        </w:rPr>
        <w:t xml:space="preserve"> be able to differentiate between any change in mood due to the intervention vs. due to natural improvement over time, a negative control condition is needed (i.e., where participants are given no intervention). </w:t>
      </w:r>
    </w:p>
    <w:p w14:paraId="6C61C7CF" w14:textId="77777777" w:rsidR="004A27D5" w:rsidRDefault="004A27D5" w:rsidP="004A27D5">
      <w:pPr>
        <w:rPr>
          <w:lang w:val="en-US"/>
        </w:rPr>
      </w:pPr>
      <w:r w:rsidRPr="003935D6">
        <w:rPr>
          <w:lang w:val="en-US"/>
        </w:rPr>
        <w:t xml:space="preserve">This is not </w:t>
      </w:r>
      <w:r>
        <w:rPr>
          <w:lang w:val="en-US"/>
        </w:rPr>
        <w:t xml:space="preserve">a </w:t>
      </w:r>
      <w:r w:rsidRPr="003935D6">
        <w:rPr>
          <w:lang w:val="en-US"/>
        </w:rPr>
        <w:t xml:space="preserve">case of “hindsight is 20/20” or a post hoc call for rigor: the authors of Foody et al. (2013, 2015) developed their distress induction procedure from work that demonstrated this natural return to baseline levels over a short period of time (e.g., 2 minutes). In an article they published the previous year which compared versions of distress induction procedures, Foody et al. (2012) cited work by Rachman et al. </w:t>
      </w:r>
      <w:r w:rsidRPr="003935D6">
        <w:rPr>
          <w:lang w:val="en-US"/>
        </w:rPr>
        <w:fldChar w:fldCharType="begin"/>
      </w:r>
      <w:r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Pr="003935D6">
        <w:rPr>
          <w:lang w:val="en-US"/>
        </w:rPr>
        <w:fldChar w:fldCharType="separate"/>
      </w:r>
      <w:r w:rsidRPr="003935D6">
        <w:rPr>
          <w:lang w:val="en-US"/>
        </w:rPr>
        <w:t>(1996)</w:t>
      </w:r>
      <w:r w:rsidRPr="003935D6">
        <w:rPr>
          <w:lang w:val="en-US"/>
        </w:rPr>
        <w:fldChar w:fldCharType="end"/>
      </w:r>
      <w:r w:rsidRPr="003935D6">
        <w:rPr>
          <w:lang w:val="en-US"/>
        </w:rPr>
        <w:t xml:space="preserve"> and van den Hout et al. </w:t>
      </w:r>
      <w:r w:rsidRPr="003935D6">
        <w:rPr>
          <w:lang w:val="en-US"/>
        </w:rPr>
        <w:fldChar w:fldCharType="begin"/>
      </w:r>
      <w:r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Pr="003935D6">
        <w:rPr>
          <w:lang w:val="en-US"/>
        </w:rPr>
        <w:fldChar w:fldCharType="separate"/>
      </w:r>
      <w:r w:rsidRPr="003935D6">
        <w:rPr>
          <w:lang w:val="en-US"/>
        </w:rPr>
        <w:t>(2002)</w:t>
      </w:r>
      <w:r w:rsidRPr="003935D6">
        <w:rPr>
          <w:lang w:val="en-US"/>
        </w:rPr>
        <w:fldChar w:fldCharType="end"/>
      </w:r>
      <w:r w:rsidRPr="003935D6">
        <w:rPr>
          <w:lang w:val="en-US"/>
        </w:rPr>
        <w:t xml:space="preserve">. Like both Foody et al. (2013) and Foody et al. </w:t>
      </w:r>
      <w:r w:rsidRPr="003935D6">
        <w:rPr>
          <w:lang w:val="en-US"/>
        </w:rPr>
        <w:fldChar w:fldCharType="begin"/>
      </w:r>
      <w:r>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International","page":"231-243","publisher":"Springer","source":"link.springer.com","title":"An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Pr="003935D6">
        <w:rPr>
          <w:lang w:val="en-US"/>
        </w:rPr>
        <w:fldChar w:fldCharType="separate"/>
      </w:r>
      <w:r w:rsidRPr="003935D6">
        <w:rPr>
          <w:lang w:val="en-US"/>
        </w:rPr>
        <w:t>(2015)</w:t>
      </w:r>
      <w:r w:rsidRPr="003935D6">
        <w:rPr>
          <w:lang w:val="en-US"/>
        </w:rPr>
        <w:fldChar w:fldCharType="end"/>
      </w:r>
      <w:r w:rsidRPr="003935D6">
        <w:rPr>
          <w:lang w:val="en-US"/>
        </w:rPr>
        <w:t xml:space="preserve">, these studies recorded anxiety scores using a Visual Analogue Scale, and measured affect at baseline and after a distress induction procedure. However, they also included no-intervention conditions to study the natural recovery of baseline mood. Both studies demonstrated that mood returned to baseline after a short delay (two minutes) in the absence of any intervention (Rachman et al., </w:t>
      </w:r>
      <w:r w:rsidRPr="003935D6">
        <w:rPr>
          <w:lang w:val="en-US"/>
        </w:rPr>
        <w:t xml:space="preserve">1996: Hedges’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3935D6">
        <w:rPr>
          <w:lang w:val="en-US"/>
        </w:rPr>
        <w:t xml:space="preserve"> = 3.24, 95% CI [2.51, 3.97]; van den Hout et al., 2002: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3935D6">
        <w:rPr>
          <w:lang w:val="en-US"/>
        </w:rPr>
        <w:t xml:space="preserve"> = 1.17, 95% CI [0.69, 1.64]). I extracted the summary statistics from Rachman et al. (1996) and van den Hout et al. (2002) and present them in Figure 1. </w:t>
      </w:r>
    </w:p>
    <w:p w14:paraId="3FAE8909" w14:textId="77777777" w:rsidR="004A27D5" w:rsidRDefault="004A27D5" w:rsidP="004A27D5">
      <w:pPr>
        <w:rPr>
          <w:lang w:val="en-US"/>
        </w:rPr>
      </w:pPr>
    </w:p>
    <w:p w14:paraId="15FE8C94" w14:textId="77777777" w:rsidR="004A27D5" w:rsidRPr="00DF7542" w:rsidRDefault="004A27D5" w:rsidP="004A27D5">
      <w:pPr>
        <w:ind w:firstLine="0"/>
        <w:jc w:val="left"/>
      </w:pPr>
      <w:r w:rsidRPr="00E00198">
        <w:rPr>
          <w:b/>
          <w:bCs/>
        </w:rPr>
        <w:t>Figure 1.</w:t>
      </w:r>
      <w:r w:rsidRPr="00DF7542">
        <w:t xml:space="preserve"> Results from no-intervention negative control conditions reported in previous distress induction studies. Points represent means, error bars represent 95% Confidence Intervals.</w:t>
      </w:r>
    </w:p>
    <w:p w14:paraId="6163CC60" w14:textId="77777777" w:rsidR="004A27D5" w:rsidRPr="003935D6" w:rsidRDefault="004A27D5" w:rsidP="004A27D5">
      <w:pPr>
        <w:pStyle w:val="figureandtabletitle"/>
      </w:pPr>
      <w:r w:rsidRPr="003935D6">
        <w:rPr>
          <w:noProof/>
        </w:rPr>
        <w:drawing>
          <wp:inline distT="0" distB="0" distL="0" distR="0" wp14:anchorId="4CA46B12" wp14:editId="5AAC7677">
            <wp:extent cx="2419109" cy="1926545"/>
            <wp:effectExtent l="0" t="0" r="0" b="4445"/>
            <wp:docPr id="13009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9"/>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7A4340D7" w14:textId="77777777" w:rsidR="004A27D5" w:rsidRDefault="004A27D5" w:rsidP="00DD5DF3">
      <w:pPr>
        <w:ind w:firstLine="0"/>
        <w:rPr>
          <w:lang w:val="en-US"/>
        </w:rPr>
      </w:pPr>
    </w:p>
    <w:p w14:paraId="7A245957" w14:textId="5F92F5FD" w:rsidR="004A27D5" w:rsidRDefault="004A27D5" w:rsidP="00DD5DF3">
      <w:pPr>
        <w:rPr>
          <w:b/>
          <w:bCs/>
          <w:lang w:val="en-US"/>
        </w:rPr>
      </w:pPr>
      <w:r w:rsidRPr="003935D6">
        <w:rPr>
          <w:lang w:val="en-US"/>
        </w:rPr>
        <w:t xml:space="preserve">Note the pattern of effect across timepoints can be </w:t>
      </w:r>
      <w:proofErr w:type="gramStart"/>
      <w:r w:rsidRPr="003935D6">
        <w:rPr>
          <w:lang w:val="en-US"/>
        </w:rPr>
        <w:t>seen:</w:t>
      </w:r>
      <w:proofErr w:type="gramEnd"/>
      <w:r w:rsidRPr="003935D6">
        <w:rPr>
          <w:lang w:val="en-US"/>
        </w:rPr>
        <w:t xml:space="preserve"> participants demonstrate low anxiety</w:t>
      </w:r>
      <w:r>
        <w:rPr>
          <w:lang w:val="en-US"/>
        </w:rPr>
        <w:t xml:space="preserve"> </w:t>
      </w:r>
      <w:r w:rsidRPr="003935D6">
        <w:rPr>
          <w:lang w:val="en-US"/>
        </w:rPr>
        <w:t>a</w:t>
      </w:r>
      <w:r>
        <w:rPr>
          <w:lang w:val="en-US"/>
        </w:rPr>
        <w:t>t</w:t>
      </w:r>
      <w:r w:rsidRPr="003935D6">
        <w:rPr>
          <w:lang w:val="en-US"/>
        </w:rPr>
        <w:t xml:space="preserve"> baseline</w:t>
      </w:r>
      <w:r>
        <w:rPr>
          <w:lang w:val="en-US"/>
        </w:rPr>
        <w:t>;</w:t>
      </w:r>
      <w:r w:rsidRPr="003935D6">
        <w:rPr>
          <w:lang w:val="en-US"/>
        </w:rPr>
        <w:t xml:space="preserve"> </w:t>
      </w:r>
      <w:r>
        <w:rPr>
          <w:lang w:val="en-US"/>
        </w:rPr>
        <w:t>anxiety was</w:t>
      </w:r>
      <w:r w:rsidRPr="003935D6">
        <w:rPr>
          <w:lang w:val="en-US"/>
        </w:rPr>
        <w:t xml:space="preserve"> higher</w:t>
      </w:r>
      <w:r>
        <w:rPr>
          <w:lang w:val="en-US"/>
        </w:rPr>
        <w:t xml:space="preserve"> </w:t>
      </w:r>
      <w:r w:rsidRPr="003935D6">
        <w:rPr>
          <w:lang w:val="en-US"/>
        </w:rPr>
        <w:t>at postinduction, and at post</w:t>
      </w:r>
      <w:r>
        <w:rPr>
          <w:lang w:val="en-US"/>
        </w:rPr>
        <w:t>-</w:t>
      </w:r>
      <w:r w:rsidRPr="003935D6">
        <w:rPr>
          <w:lang w:val="en-US"/>
        </w:rPr>
        <w:t xml:space="preserve">delay it returns nearly to baseline. However, these two studies involved no intervention: the reduction in distress after the delay was spontaneous. Foody et al. (2013) did not include any such control condition where no intervention was </w:t>
      </w:r>
      <w:proofErr w:type="gramStart"/>
      <w:r w:rsidRPr="003935D6">
        <w:rPr>
          <w:lang w:val="en-US"/>
        </w:rPr>
        <w:t>provided, and</w:t>
      </w:r>
      <w:proofErr w:type="gramEnd"/>
      <w:r w:rsidRPr="003935D6">
        <w:rPr>
          <w:lang w:val="en-US"/>
        </w:rPr>
        <w:t xml:space="preserve"> did not discuss the highly plausible possibility that any reductions in distress after intervention were merely due to </w:t>
      </w:r>
      <w:r w:rsidRPr="003935D6">
        <w:rPr>
          <w:lang w:val="en-US"/>
        </w:rPr>
        <w:lastRenderedPageBreak/>
        <w:t xml:space="preserve">spontaneous recovery rather than due to their intervention. At the same time, it is plausible that Foody and colleagues were aware of this possibility given that they cited both Rachman et al. (1996) and van den Hout et al. (2002) in their earlier publication (Foody et al., 2012). As such, in the absence of a control condition, it would be erroneous to conclude from Foody et al.’s (2013, 2015) results that the interventions caused reductions in distress between timepoints. </w:t>
      </w:r>
    </w:p>
    <w:p w14:paraId="1916CC51" w14:textId="77777777" w:rsidR="00AA2BF5" w:rsidRPr="003935D6" w:rsidRDefault="00AA2BF5" w:rsidP="00AA2BF5">
      <w:pPr>
        <w:ind w:firstLine="0"/>
        <w:rPr>
          <w:lang w:val="en-US"/>
        </w:rPr>
      </w:pPr>
    </w:p>
    <w:p w14:paraId="68856BB9" w14:textId="77777777" w:rsidR="00960DF3" w:rsidRDefault="00960DF3" w:rsidP="002B127D">
      <w:pPr>
        <w:pStyle w:val="Heading2"/>
        <w:rPr>
          <w:lang w:val="en-US"/>
        </w:rPr>
      </w:pPr>
      <w:r w:rsidRPr="003935D6">
        <w:rPr>
          <w:lang w:val="en-US"/>
        </w:rPr>
        <w:t xml:space="preserve">How to interpret the results </w:t>
      </w:r>
    </w:p>
    <w:p w14:paraId="068DB8C5" w14:textId="2C729652" w:rsidR="00F84504" w:rsidRPr="003935D6" w:rsidRDefault="00F84504" w:rsidP="00DD5DF3">
      <w:pPr>
        <w:rPr>
          <w:lang w:val="en-US"/>
        </w:rPr>
      </w:pPr>
      <w:r>
        <w:rPr>
          <w:lang w:val="en-US"/>
        </w:rPr>
        <w:t xml:space="preserve">Note that, for brevity, I report only the original articles’ </w:t>
      </w:r>
      <w:r w:rsidRPr="00E00198">
        <w:rPr>
          <w:i/>
          <w:iCs/>
          <w:lang w:val="en-US"/>
        </w:rPr>
        <w:t>p</w:t>
      </w:r>
      <w:r>
        <w:rPr>
          <w:lang w:val="en-US"/>
        </w:rPr>
        <w:t xml:space="preserve"> values throughout the current article. Full test statistics extracted from the original articles are available in the Supplementary Materials (</w:t>
      </w:r>
      <w:hyperlink r:id="rId10" w:history="1">
        <w:r w:rsidR="00211352">
          <w:rPr>
            <w:rStyle w:val="Hyperlink"/>
            <w:lang w:val="en-US"/>
          </w:rPr>
          <w:t>osf.io/6wz3p</w:t>
        </w:r>
      </w:hyperlink>
      <w:r>
        <w:rPr>
          <w:lang w:val="en-US"/>
        </w:rPr>
        <w:t>).</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2EE80160" w14:textId="754BC46A" w:rsidR="00A57417"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p>
    <w:p w14:paraId="541372E9" w14:textId="29DFDA58" w:rsidR="00780FA0" w:rsidRDefault="001F4469" w:rsidP="001F4469">
      <w:pPr>
        <w:rPr>
          <w:lang w:val="en-US"/>
        </w:rPr>
      </w:pPr>
      <w:r>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r w:rsidR="00A57417">
        <w:rPr>
          <w:lang w:val="en-US"/>
        </w:rPr>
        <w:t xml:space="preserve"> </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5266DC31"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 xml:space="preserve">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w:t>
      </w:r>
      <w:r w:rsidR="007F1753" w:rsidRPr="007F1753">
        <w:rPr>
          <w:lang w:val="en-US"/>
        </w:rPr>
        <w:t xml:space="preserve">Foody et al., 2013,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therefore make a disjoint claim, where the alternative hypothesis is accepted </w:t>
      </w:r>
      <w:proofErr w:type="gramStart"/>
      <w:r w:rsidR="009B27F8" w:rsidRPr="003935D6">
        <w:rPr>
          <w:rStyle w:val="highlight"/>
          <w:lang w:val="en-US"/>
        </w:rPr>
        <w:t>on the basis of</w:t>
      </w:r>
      <w:proofErr w:type="gramEnd"/>
      <w:r w:rsidR="009B27F8" w:rsidRPr="003935D6">
        <w:rPr>
          <w:rStyle w:val="highlight"/>
          <w:lang w:val="en-US"/>
        </w:rPr>
        <w:t xml:space="preserve">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w:t>
      </w:r>
      <w:r w:rsidRPr="003935D6">
        <w:rPr>
          <w:rStyle w:val="highlight"/>
          <w:lang w:val="en-US"/>
        </w:rPr>
        <w:t xml:space="preserve">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rPr>
                  <w:rStyle w:val="highlight"/>
                  <w:rFonts w:ascii="Cambria Math" w:hAnsi="Cambria Math"/>
                  <w:i/>
                  <w:lang w:val="en-US"/>
                </w:rPr>
              </m:ctrlPr>
            </m:eqArrPr>
            <m:e>
              <m:r>
                <w:rPr>
                  <w:rStyle w:val="highlight"/>
                  <w:rFonts w:ascii="Cambria Math" w:hAnsi="Cambria Math"/>
                  <w:lang w:val="en-US"/>
                </w:rPr>
                <m:t xml:space="preserve">FPR=1- </m:t>
              </m:r>
              <m:sSup>
                <m:sSupPr>
                  <m:ctrlPr>
                    <w:rPr>
                      <w:rStyle w:val="highlight"/>
                      <w:rFonts w:ascii="Cambria Math" w:hAnsi="Cambria Math"/>
                      <w:i/>
                      <w:lang w:val="en-US"/>
                    </w:rPr>
                  </m:ctrlPr>
                </m:sSupPr>
                <m:e>
                  <m:d>
                    <m:dPr>
                      <m:ctrlPr>
                        <w:rPr>
                          <w:rStyle w:val="highlight"/>
                          <w:rFonts w:ascii="Cambria Math" w:hAnsi="Cambria Math"/>
                          <w:i/>
                          <w:lang w:val="en-US"/>
                        </w:rPr>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rPr>
                      <w:rStyle w:val="highlight"/>
                      <w:rFonts w:ascii="Cambria Math" w:hAnsi="Cambria Math"/>
                      <w:i/>
                      <w:lang w:val="en-US"/>
                    </w:rPr>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w:t>
      </w:r>
      <w:proofErr w:type="spellStart"/>
      <w:proofErr w:type="gramStart"/>
      <w:r w:rsidRPr="007138C2">
        <w:rPr>
          <w:lang w:val="en-US"/>
        </w:rPr>
        <w:t>p.adjust</w:t>
      </w:r>
      <w:proofErr w:type="spellEnd"/>
      <w:proofErr w:type="gramEnd"/>
      <w:r w:rsidRPr="007138C2">
        <w:rPr>
          <w:lang w:val="en-US"/>
        </w:rPr>
        <w:t xml:space="preserve"> function) </w:t>
      </w:r>
      <w:r w:rsidR="00FE0918">
        <w:rPr>
          <w:lang w:val="en-US"/>
        </w:rPr>
        <w:t xml:space="preserve">to Foody et al.’s (2013) interaction effects </w:t>
      </w:r>
      <w:proofErr w:type="gramStart"/>
      <w:r w:rsidRPr="007138C2">
        <w:rPr>
          <w:lang w:val="en-US"/>
        </w:rPr>
        <w:t>produces</w:t>
      </w:r>
      <w:proofErr w:type="gramEnd"/>
      <w:r w:rsidRPr="007138C2">
        <w:rPr>
          <w:lang w:val="en-US"/>
        </w:rPr>
        <w:t xml:space="preserve"> three non-significant adjusted </w:t>
      </w:r>
      <w:r w:rsidRPr="007138C2">
        <w:rPr>
          <w:i/>
          <w:iCs/>
          <w:lang w:val="en-US"/>
        </w:rPr>
        <w:t>p</w:t>
      </w:r>
      <w:r w:rsidRPr="007138C2">
        <w:rPr>
          <w:lang w:val="en-US"/>
        </w:rPr>
        <w:t xml:space="preserve"> values (i.e., discomfort: </w:t>
      </w:r>
      <w:proofErr w:type="spellStart"/>
      <w:r w:rsidRPr="007138C2">
        <w:rPr>
          <w:i/>
          <w:iCs/>
          <w:lang w:val="en-US"/>
        </w:rPr>
        <w:t>p</w:t>
      </w:r>
      <w:r w:rsidRPr="007138C2">
        <w:rPr>
          <w:vertAlign w:val="subscript"/>
          <w:lang w:val="en-US"/>
        </w:rPr>
        <w:t>adj</w:t>
      </w:r>
      <w:proofErr w:type="spellEnd"/>
      <w:r w:rsidRPr="007138C2">
        <w:rPr>
          <w:lang w:val="en-US"/>
        </w:rPr>
        <w:t xml:space="preserve"> = .66, anxiety: </w:t>
      </w:r>
      <w:proofErr w:type="spellStart"/>
      <w:r w:rsidRPr="007138C2">
        <w:rPr>
          <w:i/>
          <w:iCs/>
          <w:lang w:val="en-US"/>
        </w:rPr>
        <w:t>p</w:t>
      </w:r>
      <w:r w:rsidRPr="007138C2">
        <w:rPr>
          <w:vertAlign w:val="subscript"/>
          <w:lang w:val="en-US"/>
        </w:rPr>
        <w:t>adj</w:t>
      </w:r>
      <w:proofErr w:type="spellEnd"/>
      <w:r w:rsidRPr="007138C2">
        <w:rPr>
          <w:lang w:val="en-US"/>
        </w:rPr>
        <w:t xml:space="preserve"> = .66, stress: </w:t>
      </w:r>
      <w:proofErr w:type="spellStart"/>
      <w:r w:rsidRPr="007138C2">
        <w:rPr>
          <w:i/>
          <w:iCs/>
          <w:lang w:val="en-US"/>
        </w:rPr>
        <w:t>p</w:t>
      </w:r>
      <w:r w:rsidRPr="007138C2">
        <w:rPr>
          <w:vertAlign w:val="subscript"/>
          <w:lang w:val="en-US"/>
        </w:rPr>
        <w:t>adj</w:t>
      </w:r>
      <w:proofErr w:type="spellEnd"/>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proofErr w:type="gramStart"/>
      <w:r w:rsidRPr="003935D6">
        <w:rPr>
          <w:lang w:val="en-US"/>
        </w:rPr>
        <w:t>In order to</w:t>
      </w:r>
      <w:proofErr w:type="gramEnd"/>
      <w:r w:rsidRPr="003935D6">
        <w:rPr>
          <w:lang w:val="en-US"/>
        </w:rPr>
        <w:t xml:space="preserve">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w:t>
      </w:r>
      <w:r w:rsidRPr="003935D6">
        <w:rPr>
          <w:lang w:val="en-US"/>
        </w:rPr>
        <w:lastRenderedPageBreak/>
        <w:t xml:space="preserve">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0F5A44D"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w:t>
      </w:r>
      <w:r w:rsidR="007F1753" w:rsidRPr="007F1753">
        <w:rPr>
          <w:lang w:val="en-US"/>
        </w:rPr>
        <w:t xml:space="preserve">Foody et al., 2013,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262A07AE" w:rsidR="00BD56CE" w:rsidRPr="003935D6" w:rsidRDefault="00BD56CE" w:rsidP="00BD56CE">
      <w:pPr>
        <w:rPr>
          <w:lang w:val="en-US"/>
        </w:rPr>
      </w:pPr>
      <w:r w:rsidRPr="003935D6">
        <w:rPr>
          <w:lang w:val="en-US"/>
        </w:rPr>
        <w:t xml:space="preserve">All data </w:t>
      </w:r>
      <w:r w:rsidR="0020671D">
        <w:rPr>
          <w:lang w:val="en-US"/>
        </w:rPr>
        <w:t xml:space="preserve">and </w:t>
      </w:r>
      <w:r w:rsidRPr="003935D6">
        <w:rPr>
          <w:lang w:val="en-US"/>
        </w:rPr>
        <w:t>code for data processing and analyses are available (</w:t>
      </w:r>
      <w:hyperlink r:id="rId11" w:history="1">
        <w:r w:rsidR="00EB4667" w:rsidRPr="003935D6">
          <w:rPr>
            <w:rStyle w:val="Hyperlink"/>
            <w:lang w:val="en-US"/>
          </w:rPr>
          <w:t>osf.io/ztd8n</w:t>
        </w:r>
      </w:hyperlink>
      <w:r w:rsidRPr="003935D6">
        <w:rPr>
          <w:lang w:val="en-US"/>
        </w:rPr>
        <w:t>).</w:t>
      </w:r>
      <w:r w:rsidR="00D628BE">
        <w:rPr>
          <w:lang w:val="en-US"/>
        </w:rPr>
        <w:t xml:space="preserve"> </w:t>
      </w:r>
      <w:r w:rsidR="00D86AC5">
        <w:rPr>
          <w:lang w:val="en-US"/>
        </w:rPr>
        <w:t xml:space="preserve">All analyses were conducted in R. </w:t>
      </w:r>
      <w:r w:rsidR="00D628BE">
        <w:rPr>
          <w:lang w:val="en-US"/>
        </w:rPr>
        <w:t>None of the analyses reported in this article were preregistered.</w:t>
      </w:r>
      <w:r w:rsidR="009033EF">
        <w:rPr>
          <w:lang w:val="en-US"/>
        </w:rPr>
        <w:t xml:space="preserve"> </w:t>
      </w:r>
      <w:r w:rsidR="00DC2ADB">
        <w:rPr>
          <w:lang w:val="en-US"/>
        </w:rPr>
        <w:t>Supplementary Materials include full test statistics from the original studies’ RM-ANOVAs</w:t>
      </w:r>
      <w:r w:rsidR="003F22AA">
        <w:rPr>
          <w:lang w:val="en-US"/>
        </w:rPr>
        <w:t xml:space="preserve"> (see </w:t>
      </w:r>
      <w:hyperlink r:id="rId12" w:history="1">
        <w:r w:rsidR="003F22AA">
          <w:rPr>
            <w:rStyle w:val="Hyperlink"/>
            <w:lang w:val="en-US"/>
          </w:rPr>
          <w:t>osf.io/6wz3p</w:t>
        </w:r>
      </w:hyperlink>
      <w:r w:rsidR="003F22AA">
        <w:rPr>
          <w:lang w:val="en-US"/>
        </w:rPr>
        <w:t>)</w:t>
      </w:r>
      <w:r w:rsidR="00DC2ADB">
        <w:rPr>
          <w:lang w:val="en-US"/>
        </w:rPr>
        <w:t xml:space="preserve">. </w:t>
      </w:r>
      <w:r w:rsidR="009033EF">
        <w:rPr>
          <w:lang w:val="en-US"/>
        </w:rPr>
        <w:t>This research was not supported by funding.</w:t>
      </w:r>
      <w:r w:rsidR="00FD7D67">
        <w:rPr>
          <w:lang w:val="en-US"/>
        </w:rPr>
        <w:t xml:space="preserve"> No AI was used in the writing of this article</w:t>
      </w:r>
      <w:r w:rsidR="004A02BD">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526DB3F8" w14:textId="77777777" w:rsidR="00396C87" w:rsidRDefault="00396C87" w:rsidP="00127167">
      <w:pPr>
        <w:rPr>
          <w:lang w:val="en-US"/>
        </w:rPr>
      </w:pPr>
    </w:p>
    <w:p w14:paraId="2A7DEB5A" w14:textId="046BED68" w:rsidR="00396C87" w:rsidRDefault="00396C87" w:rsidP="00396C87">
      <w:pPr>
        <w:pStyle w:val="Heading2"/>
        <w:rPr>
          <w:lang w:val="en-US"/>
        </w:rPr>
      </w:pPr>
      <w:r>
        <w:rPr>
          <w:lang w:val="en-US"/>
        </w:rPr>
        <w:t>Low statistical power</w:t>
      </w:r>
    </w:p>
    <w:p w14:paraId="6CF5DA05" w14:textId="53C7ACB2" w:rsidR="00396C87" w:rsidRPr="003935D6" w:rsidRDefault="00396C87" w:rsidP="00396C87">
      <w:pPr>
        <w:rPr>
          <w:lang w:val="en-US"/>
        </w:rPr>
      </w:pPr>
      <w:r>
        <w:rPr>
          <w:lang w:val="en-US"/>
        </w:rPr>
        <w:t>It is worth noting that the sample size employed (</w:t>
      </w:r>
      <w:r w:rsidRPr="00E00198">
        <w:rPr>
          <w:i/>
          <w:iCs/>
          <w:lang w:val="en-US"/>
        </w:rPr>
        <w:t>n</w:t>
      </w:r>
      <w:r>
        <w:rPr>
          <w:lang w:val="en-US"/>
        </w:rPr>
        <w:t xml:space="preserve">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w:t>
      </w:r>
      <w:r w:rsidRPr="00DD5DF3">
        <w:rPr>
          <w:i/>
          <w:iCs/>
          <w:lang w:val="en-US"/>
        </w:rPr>
        <w:t>d</w:t>
      </w:r>
      <w:r>
        <w:rPr>
          <w:lang w:val="en-US"/>
        </w:rPr>
        <w:t xml:space="preserve"> = 0.96 between the groups at the post time point. Given that this comparison is a difference in efficacy between two active intervention conditions, there is good a priori reason to believe that differential efficacy is unlikely to reach nearly a Cohen’s </w:t>
      </w:r>
      <w:r w:rsidRPr="00DD5DF3">
        <w:rPr>
          <w:i/>
          <w:iCs/>
          <w:lang w:val="en-US"/>
        </w:rPr>
        <w:t>d</w:t>
      </w:r>
      <w:r>
        <w:rPr>
          <w:lang w:val="en-US"/>
        </w:rPr>
        <w:t xml:space="preserve"> of one</w:t>
      </w:r>
      <w:r w:rsidR="004E2F54">
        <w:rPr>
          <w:lang w:val="en-US"/>
        </w:rPr>
        <w:t xml:space="preserve">. In one sense, the informativeness of the study could be critiqued on </w:t>
      </w:r>
      <w:proofErr w:type="gramStart"/>
      <w:r w:rsidR="004E2F54">
        <w:rPr>
          <w:lang w:val="en-US"/>
        </w:rPr>
        <w:t>this grounds</w:t>
      </w:r>
      <w:proofErr w:type="gramEnd"/>
      <w:r w:rsidR="004E2F54">
        <w:rPr>
          <w:lang w:val="en-US"/>
        </w:rPr>
        <w:t xml:space="preserve"> alone.</w:t>
      </w:r>
      <w:r>
        <w:rPr>
          <w:lang w:val="en-US"/>
        </w:rPr>
        <w:t xml:space="preserve"> </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proofErr w:type="spellStart"/>
      <w:r w:rsidR="001833F6" w:rsidRPr="001833F6">
        <w:rPr>
          <w:lang w:val="en-US"/>
        </w:rPr>
        <w:t>self distinction</w:t>
      </w:r>
      <w:proofErr w:type="spellEnd"/>
      <w:r w:rsidR="001833F6" w:rsidRPr="001833F6">
        <w:rPr>
          <w:lang w:val="en-US"/>
        </w:rPr>
        <w:t xml:space="preserve"> (N =12); </w:t>
      </w:r>
      <w:proofErr w:type="spellStart"/>
      <w:r w:rsidR="001833F6" w:rsidRPr="001833F6">
        <w:rPr>
          <w:lang w:val="en-US"/>
        </w:rPr>
        <w:t>self hierarchy</w:t>
      </w:r>
      <w:proofErr w:type="spellEnd"/>
      <w:r w:rsidR="001833F6" w:rsidRPr="001833F6">
        <w:rPr>
          <w:lang w:val="en-US"/>
        </w:rPr>
        <w:t xml:space="preserve">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76C67913" w:rsidR="00224726" w:rsidRPr="003935D6" w:rsidRDefault="008109F5" w:rsidP="00127167">
      <w:pPr>
        <w:rPr>
          <w:lang w:val="en-US"/>
        </w:rPr>
      </w:pPr>
      <w:bookmarkStart w:id="1"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w:t>
      </w:r>
      <w:r w:rsidR="007F1753" w:rsidRPr="007F1753">
        <w:rPr>
          <w:lang w:val="en-US"/>
        </w:rPr>
        <w:t xml:space="preserve">Foody et al., 2013,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t>
      </w:r>
      <w:proofErr w:type="spellStart"/>
      <w:r w:rsidR="00336FA9" w:rsidRPr="003935D6">
        <w:rPr>
          <w:lang w:val="en-US"/>
        </w:rPr>
        <w:t>WebPlotDigitizer</w:t>
      </w:r>
      <w:proofErr w:type="spellEnd"/>
      <w:r w:rsidR="00336FA9" w:rsidRPr="003935D6">
        <w:rPr>
          <w:lang w:val="en-US"/>
        </w:rPr>
        <w:t xml:space="preserve">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proofErr w:type="spellStart"/>
      <w:r w:rsidR="00336FA9" w:rsidRPr="003935D6">
        <w:rPr>
          <w:lang w:val="en-US"/>
        </w:rPr>
        <w:t>re</w:t>
      </w:r>
      <w:r w:rsidR="002046D9" w:rsidRPr="003935D6">
        <w:rPr>
          <w:lang w:val="en-US"/>
        </w:rPr>
        <w:t>analyses</w:t>
      </w:r>
      <w:proofErr w:type="spellEnd"/>
      <w:r w:rsidR="009A1602" w:rsidRPr="003935D6">
        <w:rPr>
          <w:lang w:val="en-US"/>
        </w:rPr>
        <w:t xml:space="preserve">. </w:t>
      </w:r>
    </w:p>
    <w:bookmarkEnd w:id="1"/>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SEM</m:t>
                  </m:r>
                </m:sub>
              </m:sSub>
              <m:r>
                <w:rPr>
                  <w:lang w:val="en-US"/>
                </w:rPr>
                <m:t xml:space="preserve">= </m:t>
              </m:r>
              <m:f>
                <m:fPr>
                  <m:ctrlPr>
                    <w:rPr>
                      <w:lang w:val="en-US"/>
                    </w:rPr>
                  </m:ctrlPr>
                </m:fPr>
                <m:num>
                  <m:r>
                    <w:rPr>
                      <w:lang w:val="en-US"/>
                    </w:rPr>
                    <m:t>interval width</m:t>
                  </m:r>
                </m:num>
                <m:den>
                  <m:r>
                    <w:rPr>
                      <w:lang w:val="en-US"/>
                    </w:rPr>
                    <m:t>2</m:t>
                  </m:r>
                </m:den>
              </m:f>
              <m:r>
                <w:rPr>
                  <w:lang w:val="en-US"/>
                </w:rPr>
                <m:t>×</m:t>
              </m:r>
              <m:rad>
                <m:radPr>
                  <m:degHide m:val="1"/>
                  <m:ctrlPr>
                    <w:rPr>
                      <w:lang w:val="en-US"/>
                    </w:rPr>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3D8FBFA1" w14:textId="77777777" w:rsidR="00DD5DF3" w:rsidRDefault="00DD5DF3" w:rsidP="006870F8">
      <w:pPr>
        <w:pStyle w:val="Heading3"/>
        <w:rPr>
          <w:lang w:val="en-US"/>
        </w:rPr>
      </w:pPr>
    </w:p>
    <w:p w14:paraId="6504C3BC" w14:textId="7961F20C" w:rsidR="0045646B" w:rsidRPr="003935D6" w:rsidRDefault="00C135A6" w:rsidP="006870F8">
      <w:pPr>
        <w:pStyle w:val="Heading3"/>
        <w:rPr>
          <w:lang w:val="en-US"/>
        </w:rPr>
      </w:pPr>
      <w:r w:rsidRPr="003935D6">
        <w:rPr>
          <w:lang w:val="en-US"/>
        </w:rPr>
        <w:lastRenderedPageBreak/>
        <w:t>Hypothesis tests</w:t>
      </w:r>
      <w:r w:rsidR="00C718FD" w:rsidRPr="003935D6">
        <w:rPr>
          <w:lang w:val="en-US"/>
        </w:rPr>
        <w:t xml:space="preserve"> for each outcome variable</w:t>
      </w:r>
    </w:p>
    <w:p w14:paraId="69160DEE" w14:textId="431CD314"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and degrees of freedom (</w:t>
      </w:r>
      <w:proofErr w:type="spellStart"/>
      <w:r w:rsidRPr="003935D6">
        <w:rPr>
          <w:lang w:val="en-US"/>
        </w:rPr>
        <w:t>df</w:t>
      </w:r>
      <w:proofErr w:type="spellEnd"/>
      <w:r w:rsidRPr="003935D6">
        <w:rPr>
          <w:lang w:val="en-US"/>
        </w:rPr>
        <w:t xml:space="preserve">) using </w:t>
      </w:r>
      <w:r w:rsidR="00EA1297">
        <w:rPr>
          <w:lang w:val="en-US"/>
        </w:rPr>
        <w:t>E</w:t>
      </w:r>
      <w:r w:rsidRPr="003935D6">
        <w:rPr>
          <w:lang w:val="en-US"/>
        </w:rPr>
        <w:t>quations</w:t>
      </w:r>
      <w:r w:rsidR="00FF588A">
        <w:rPr>
          <w:lang w:val="en-US"/>
        </w:rPr>
        <w:t xml:space="preserve"> 3-5</w:t>
      </w:r>
      <w:r w:rsidR="000672F4">
        <w:rPr>
          <w:lang w:val="en-US"/>
        </w:rPr>
        <w:t xml:space="preserve"> (two-sided tests)</w:t>
      </w:r>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SE=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rPr>
                  <w:lang w:val="en-US"/>
                </w:rPr>
              </m:ctrlPr>
            </m:eqArrPr>
            <m:e>
              <m:r>
                <w:rPr>
                  <w:lang w:val="en-US"/>
                </w:rPr>
                <m:t xml:space="preserve">t= </m:t>
              </m:r>
              <m:f>
                <m:fPr>
                  <m:ctrlPr>
                    <w:rPr>
                      <w:lang w:val="en-US"/>
                    </w:rPr>
                  </m:ctrlPr>
                </m:fPr>
                <m:num>
                  <m:sSub>
                    <m:sSubPr>
                      <m:ctrlPr>
                        <w:rPr>
                          <w:lang w:val="en-US"/>
                        </w:rPr>
                      </m:ctrlPr>
                    </m:sSubPr>
                    <m:e>
                      <m:r>
                        <w:rPr>
                          <w:lang w:val="en-US"/>
                        </w:rPr>
                        <m:t>M</m:t>
                      </m:r>
                    </m:e>
                    <m:sub>
                      <m:r>
                        <w:rPr>
                          <w:lang w:val="en-US"/>
                        </w:rPr>
                        <m:t>1</m:t>
                      </m:r>
                    </m:sub>
                  </m:sSub>
                  <m:r>
                    <w:rPr>
                      <w:lang w:val="en-US"/>
                    </w:rPr>
                    <m:t xml:space="preserve">- </m:t>
                  </m:r>
                  <m:sSub>
                    <m:sSubPr>
                      <m:ctrlPr>
                        <w:rPr>
                          <w:lang w:val="en-US"/>
                        </w:rPr>
                      </m:ctrlPr>
                    </m:sSubPr>
                    <m:e>
                      <m:r>
                        <w:rPr>
                          <w:lang w:val="en-US"/>
                        </w:rPr>
                        <m:t>M</m:t>
                      </m:r>
                    </m:e>
                    <m:sub>
                      <m:r>
                        <w:rPr>
                          <w:lang w:val="en-US"/>
                        </w:rPr>
                        <m:t>2</m:t>
                      </m:r>
                    </m:sub>
                  </m:sSub>
                </m:num>
                <m:den>
                  <m:r>
                    <w:rPr>
                      <w:lang w:val="en-US"/>
                    </w:rPr>
                    <m:t>SE</m:t>
                  </m:r>
                </m:den>
              </m:f>
              <m:r>
                <w:rPr>
                  <w:lang w:val="en-US"/>
                </w:rPr>
                <m:t>#</m:t>
              </m:r>
              <m:d>
                <m:dPr>
                  <m:ctrlPr>
                    <w:rPr>
                      <w:lang w:val="en-US"/>
                    </w:rPr>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df= </m:t>
              </m:r>
              <m:f>
                <m:fPr>
                  <m:ctrlPr>
                    <w:rPr>
                      <w:lang w:val="en-US"/>
                    </w:rPr>
                  </m:ctrlPr>
                </m:fPr>
                <m:num>
                  <m:sSup>
                    <m:sSupPr>
                      <m:ctrlPr>
                        <w:rPr>
                          <w:lang w:val="en-US"/>
                        </w:rPr>
                      </m:ctrlPr>
                    </m:sSupPr>
                    <m:e>
                      <m:d>
                        <m:dPr>
                          <m:ctrlPr>
                            <w:rPr>
                              <w:lang w:val="en-US"/>
                            </w:rPr>
                          </m:ctrlPr>
                        </m:dPr>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d>
                    </m:e>
                    <m:sup>
                      <m:r>
                        <w:rPr>
                          <w:lang w:val="en-US"/>
                        </w:rPr>
                        <m:t>2</m:t>
                      </m:r>
                    </m:sup>
                  </m:sSup>
                </m:num>
                <m:den>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r>
                        <w:rPr>
                          <w:lang w:val="en-US"/>
                        </w:rPr>
                        <m:t>-1</m:t>
                      </m:r>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r>
                        <w:rPr>
                          <w:lang w:val="en-US"/>
                        </w:rPr>
                        <m:t>-1</m:t>
                      </m:r>
                    </m:den>
                  </m:f>
                </m:den>
              </m:f>
              <m:r>
                <w:rPr>
                  <w:lang w:val="en-US"/>
                </w:rPr>
                <m:t>#</m:t>
              </m:r>
              <m:d>
                <m:dPr>
                  <m:ctrlPr>
                    <w:rPr>
                      <w:lang w:val="en-US"/>
                    </w:rPr>
                  </m:ctrlPr>
                </m:dPr>
                <m:e>
                  <m:r>
                    <w:rPr>
                      <w:lang w:val="en-US"/>
                    </w:rPr>
                    <m:t>5</m:t>
                  </m:r>
                </m:e>
              </m:d>
            </m:e>
          </m:eqArr>
        </m:oMath>
      </m:oMathPara>
    </w:p>
    <w:p w14:paraId="79868E5F" w14:textId="77777777" w:rsidR="00C718FD" w:rsidRPr="003935D6" w:rsidRDefault="00C718FD" w:rsidP="00127167">
      <w:pPr>
        <w:rPr>
          <w:lang w:val="en-US"/>
        </w:rPr>
      </w:pPr>
    </w:p>
    <w:p w14:paraId="3A10D543" w14:textId="2EE94800" w:rsidR="00C718FD" w:rsidRPr="003935D6" w:rsidRDefault="00C718FD" w:rsidP="00127167">
      <w:pPr>
        <w:rPr>
          <w:lang w:val="en-US"/>
        </w:rPr>
      </w:pPr>
      <w:r w:rsidRPr="003935D6">
        <w:rPr>
          <w:lang w:val="en-US"/>
        </w:rPr>
        <w:t>Hedges</w:t>
      </w:r>
      <w:r w:rsidR="00214997">
        <w:rPr>
          <w:lang w:val="en-US"/>
        </w:rPr>
        <w:t>’</w:t>
      </w:r>
      <w:r w:rsidRPr="003935D6">
        <w:rPr>
          <w:lang w:val="en-US"/>
        </w:rPr>
        <w:t xml:space="preserve">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r w:rsidR="002A218E">
        <w:rPr>
          <w:lang w:val="en-US"/>
        </w:rPr>
        <w:t xml:space="preserve"> Positive values represent greater reductions in distress in the hierarchical condition then the distinction condition.</w:t>
      </w:r>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rPr>
                  <w:lang w:val="en-US"/>
                </w:rPr>
              </m:ctrlPr>
            </m:eqArrPr>
            <m:e>
              <m:r>
                <w:rPr>
                  <w:lang w:val="en-US"/>
                </w:rPr>
                <m:t xml:space="preserve">g= </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 xml:space="preserve">+ </m:t>
                          </m:r>
                          <m:sSubSup>
                            <m:sSubSupPr>
                              <m:ctrlPr>
                                <w:rPr>
                                  <w:lang w:val="en-US"/>
                                </w:rPr>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rPr>
                      <w:lang w:val="en-US"/>
                    </w:rPr>
                  </m:ctrlPr>
                </m:dPr>
                <m:e>
                  <m:r>
                    <w:rPr>
                      <w:lang w:val="en-US"/>
                    </w:rPr>
                    <m:t xml:space="preserve">1- </m:t>
                  </m:r>
                  <m:d>
                    <m:dPr>
                      <m:ctrlPr>
                        <w:rPr>
                          <w:lang w:val="en-US"/>
                        </w:rPr>
                      </m:ctrlPr>
                    </m:dPr>
                    <m:e>
                      <m:f>
                        <m:fPr>
                          <m:ctrlPr>
                            <w:rPr>
                              <w:lang w:val="en-US"/>
                            </w:rPr>
                          </m:ctrlPr>
                        </m:fPr>
                        <m:num>
                          <m:r>
                            <w:rPr>
                              <w:lang w:val="en-US"/>
                            </w:rPr>
                            <m:t>3</m:t>
                          </m:r>
                        </m:num>
                        <m:den>
                          <m:r>
                            <w:rPr>
                              <w:lang w:val="en-US"/>
                            </w:rPr>
                            <m:t>4×</m:t>
                          </m:r>
                          <m:d>
                            <m:dPr>
                              <m:ctrlPr>
                                <w:rPr>
                                  <w:lang w:val="en-US"/>
                                </w:rPr>
                              </m:ctrlPr>
                            </m:dPr>
                            <m:e>
                              <m:sSub>
                                <m:sSubPr>
                                  <m:ctrlPr>
                                    <w:rPr>
                                      <w:lang w:val="en-US"/>
                                    </w:rPr>
                                  </m:ctrlPr>
                                </m:sSubPr>
                                <m:e>
                                  <m:r>
                                    <w:rPr>
                                      <w:lang w:val="en-US"/>
                                    </w:rPr>
                                    <m:t>n</m:t>
                                  </m:r>
                                </m:e>
                                <m:sub>
                                  <m:r>
                                    <w:rPr>
                                      <w:lang w:val="en-US"/>
                                    </w:rPr>
                                    <m:t>1</m:t>
                                  </m:r>
                                </m:sub>
                              </m:sSub>
                              <m:r>
                                <w:rPr>
                                  <w:lang w:val="en-US"/>
                                </w:rPr>
                                <m:t>+</m:t>
                              </m:r>
                              <m:sSub>
                                <m:sSubPr>
                                  <m:ctrlPr>
                                    <w:rPr>
                                      <w:lang w:val="en-US"/>
                                    </w:rPr>
                                  </m:ctrlPr>
                                </m:sSubPr>
                                <m:e>
                                  <m:r>
                                    <w:rPr>
                                      <w:lang w:val="en-US"/>
                                    </w:rPr>
                                    <m:t>n</m:t>
                                  </m:r>
                                </m:e>
                                <m:sub>
                                  <m:r>
                                    <w:rPr>
                                      <w:lang w:val="en-US"/>
                                    </w:rPr>
                                    <m:t>2</m:t>
                                  </m:r>
                                </m:sub>
                              </m:sSub>
                              <m:r>
                                <w:rPr>
                                  <w:lang w:val="en-US"/>
                                </w:rPr>
                                <m:t>-2</m:t>
                              </m:r>
                            </m:e>
                          </m:d>
                          <m:r>
                            <w:rPr>
                              <w:lang w:val="en-US"/>
                            </w:rPr>
                            <m:t>-1</m:t>
                          </m:r>
                        </m:den>
                      </m:f>
                    </m:e>
                  </m:d>
                </m:e>
              </m:d>
              <m:r>
                <w:rPr>
                  <w:lang w:val="en-US"/>
                </w:rPr>
                <m:t>#</m:t>
              </m:r>
              <m:d>
                <m:dPr>
                  <m:ctrlPr>
                    <w:rPr>
                      <w:lang w:val="en-US"/>
                    </w:rPr>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proofErr w:type="spellStart"/>
      <w:r w:rsidR="001468CD" w:rsidRPr="00D93BA7">
        <w:rPr>
          <w:i/>
          <w:iCs/>
          <w:lang w:val="en-US"/>
        </w:rPr>
        <w:t>df</w:t>
      </w:r>
      <w:proofErr w:type="spellEnd"/>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w:t>
      </w:r>
      <w:r w:rsidR="00944BDD" w:rsidRPr="003935D6">
        <w:rPr>
          <w:lang w:val="en-US"/>
        </w:rPr>
        <w:t xml:space="preserve">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t>
      </w:r>
      <w:proofErr w:type="gramStart"/>
      <w:r w:rsidRPr="003935D6">
        <w:rPr>
          <w:lang w:val="en-US"/>
        </w:rPr>
        <w:t>with regard to</w:t>
      </w:r>
      <w:proofErr w:type="gramEnd"/>
      <w:r w:rsidRPr="003935D6">
        <w:rPr>
          <w:lang w:val="en-US"/>
        </w:rPr>
        <w:t xml:space="preserve">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t>
      </w:r>
      <w:proofErr w:type="gramStart"/>
      <w:r w:rsidR="00272DA6" w:rsidRPr="003935D6">
        <w:rPr>
          <w:lang w:val="en-US"/>
        </w:rPr>
        <w:t>with regard to</w:t>
      </w:r>
      <w:proofErr w:type="gramEnd"/>
      <w:r w:rsidR="00272DA6" w:rsidRPr="003935D6">
        <w:rPr>
          <w:lang w:val="en-US"/>
        </w:rPr>
        <w:t xml:space="preserve"> how to interpret </w:t>
      </w:r>
      <w:r w:rsidRPr="003935D6">
        <w:rPr>
          <w:lang w:val="en-US"/>
        </w:rPr>
        <w:t xml:space="preserve">a mix of significant and non-significant results </w:t>
      </w:r>
      <w:r w:rsidR="00272DA6" w:rsidRPr="003935D6">
        <w:rPr>
          <w:lang w:val="en-US"/>
        </w:rPr>
        <w:t>between outcome measures, as observed in Foody et al. (2013), where significant results were found for only one of three outcome measures (“stress”</w:t>
      </w:r>
      <w:proofErr w:type="gramStart"/>
      <w:r w:rsidR="00272DA6" w:rsidRPr="003935D6">
        <w:rPr>
          <w:lang w:val="en-US"/>
        </w:rPr>
        <w:t>)</w:t>
      </w:r>
      <w:proofErr w:type="gramEnd"/>
      <w:r w:rsidR="00272DA6" w:rsidRPr="003935D6">
        <w:rPr>
          <w:lang w:val="en-US"/>
        </w:rPr>
        <w:t xml:space="preserve">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pooled</m:t>
                  </m:r>
                </m:sub>
              </m:sSub>
              <m:r>
                <w:rPr>
                  <w:lang w:val="en-US"/>
                </w:rPr>
                <m:t xml:space="preserv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m:t>
                      </m:r>
                      <m:sSubSup>
                        <m:sSubSupPr>
                          <m:ctrlPr>
                            <w:rPr>
                              <w:lang w:val="en-US"/>
                            </w:rPr>
                          </m:ctrlPr>
                        </m:sSubSupPr>
                        <m:e>
                          <m:r>
                            <w:rPr>
                              <w:lang w:val="en-US"/>
                            </w:rPr>
                            <m:t>SD</m:t>
                          </m:r>
                        </m:e>
                        <m:sub>
                          <m:r>
                            <w:rPr>
                              <w:lang w:val="en-US"/>
                            </w:rPr>
                            <m:t>2</m:t>
                          </m:r>
                        </m:sub>
                        <m:sup>
                          <m:r>
                            <w:rPr>
                              <w:lang w:val="en-US"/>
                            </w:rPr>
                            <m:t>2</m:t>
                          </m:r>
                        </m:sup>
                      </m:sSubSup>
                      <m:r>
                        <w:rPr>
                          <w:lang w:val="en-US"/>
                        </w:rPr>
                        <m:t>+</m:t>
                      </m:r>
                      <m:sSubSup>
                        <m:sSubSupPr>
                          <m:ctrlPr>
                            <w:rPr>
                              <w:lang w:val="en-US"/>
                            </w:rPr>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rPr>
                      <w:lang w:val="en-US"/>
                    </w:rPr>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 xml:space="preserve">Note that because the pooled effect size provides a single test of the hypothesis, no Bonferroni-adjusted version of the Confidence Intervals was corrected. All four outcome measures (anxiety, discomfort, stress, and the pooled outcome measure) were employed in the multiverse analysis </w:t>
      </w:r>
      <w:proofErr w:type="gramStart"/>
      <w:r w:rsidRPr="003935D6">
        <w:rPr>
          <w:lang w:val="en-US"/>
        </w:rPr>
        <w:t>in order to</w:t>
      </w:r>
      <w:proofErr w:type="gramEnd"/>
      <w:r w:rsidRPr="003935D6">
        <w:rPr>
          <w:lang w:val="en-US"/>
        </w:rPr>
        <w:t xml:space="preserve"> attempt to understand the robustness of conclusions to the choice of outcome measure.</w:t>
      </w:r>
    </w:p>
    <w:p w14:paraId="1268B44C" w14:textId="08E984CB" w:rsidR="00543A6E" w:rsidRPr="003935D6" w:rsidRDefault="00543A6E" w:rsidP="00185948">
      <w:pPr>
        <w:rPr>
          <w:lang w:val="en-US"/>
        </w:rPr>
      </w:pP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4B261223"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Confidence Intervals.</w:t>
      </w:r>
    </w:p>
    <w:p w14:paraId="5D743F36" w14:textId="467C02D0" w:rsidR="002D5635" w:rsidRPr="003935D6" w:rsidRDefault="0095114A" w:rsidP="00D85DFE">
      <w:pPr>
        <w:ind w:firstLine="0"/>
        <w:jc w:val="center"/>
        <w:rPr>
          <w:lang w:val="en-US"/>
        </w:rPr>
      </w:pPr>
      <w:r>
        <w:rPr>
          <w:noProof/>
          <w:lang w:val="en-US"/>
        </w:rPr>
        <w:drawing>
          <wp:inline distT="0" distB="0" distL="0" distR="0" wp14:anchorId="38F46C6A" wp14:editId="14142C7D">
            <wp:extent cx="3608173" cy="3207265"/>
            <wp:effectExtent l="0" t="0" r="0" b="6350"/>
            <wp:docPr id="104257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7042" name="Picture 1042577042"/>
                    <pic:cNvPicPr/>
                  </pic:nvPicPr>
                  <pic:blipFill>
                    <a:blip r:embed="rId13"/>
                    <a:stretch>
                      <a:fillRect/>
                    </a:stretch>
                  </pic:blipFill>
                  <pic:spPr>
                    <a:xfrm>
                      <a:off x="0" y="0"/>
                      <a:ext cx="3651856" cy="3246094"/>
                    </a:xfrm>
                    <a:prstGeom prst="rect">
                      <a:avLst/>
                    </a:prstGeom>
                  </pic:spPr>
                </pic:pic>
              </a:graphicData>
            </a:graphic>
          </wp:inline>
        </w:drawing>
      </w:r>
    </w:p>
    <w:p w14:paraId="53B37DC2" w14:textId="77777777" w:rsidR="002D5635" w:rsidRPr="003935D6" w:rsidRDefault="002D5635" w:rsidP="002D5635">
      <w:pPr>
        <w:ind w:firstLine="0"/>
        <w:rPr>
          <w:lang w:val="en-US"/>
        </w:rPr>
      </w:pPr>
    </w:p>
    <w:p w14:paraId="720D623C" w14:textId="1702B22C" w:rsidR="008560E5" w:rsidRDefault="008560E5">
      <w:pPr>
        <w:ind w:firstLine="0"/>
        <w:jc w:val="left"/>
        <w:rPr>
          <w:b/>
          <w:bCs/>
          <w:lang w:val="en-US"/>
        </w:rPr>
      </w:pPr>
    </w:p>
    <w:p w14:paraId="32803FDB" w14:textId="1E84C519"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r w:rsidR="008560E5">
        <w:rPr>
          <w:b w:val="0"/>
          <w:bCs w:val="0"/>
        </w:rPr>
        <w:t xml:space="preserve">’s direct replication </w:t>
      </w:r>
      <w:r w:rsidR="00F42C1D" w:rsidRPr="001272BA">
        <w:rPr>
          <w:b w:val="0"/>
          <w:bCs w:val="0"/>
        </w:rPr>
        <w:t>(Foody et al., 2015).</w:t>
      </w:r>
      <w:r w:rsidR="001272BA">
        <w:t xml:space="preserve"> </w:t>
      </w:r>
      <w:r w:rsidR="001272BA" w:rsidRPr="001272BA">
        <w:rPr>
          <w:b w:val="0"/>
          <w:bCs w:val="0"/>
        </w:rPr>
        <w:t>Error bars represent 95% Confidence Intervals.</w:t>
      </w:r>
    </w:p>
    <w:p w14:paraId="6FFAB9C1" w14:textId="668A1A42" w:rsidR="002D5635" w:rsidRDefault="002D5635" w:rsidP="00D85DFE">
      <w:pPr>
        <w:ind w:firstLine="0"/>
        <w:jc w:val="center"/>
        <w:rPr>
          <w:lang w:val="en-US"/>
        </w:rPr>
      </w:pPr>
    </w:p>
    <w:p w14:paraId="7239F106" w14:textId="41FC382C" w:rsidR="008560E5" w:rsidRPr="003935D6" w:rsidRDefault="0095114A" w:rsidP="00D85DFE">
      <w:pPr>
        <w:ind w:firstLine="0"/>
        <w:jc w:val="center"/>
        <w:rPr>
          <w:lang w:val="en-US"/>
        </w:rPr>
      </w:pPr>
      <w:r>
        <w:rPr>
          <w:noProof/>
          <w:lang w:val="en-US"/>
        </w:rPr>
        <w:drawing>
          <wp:inline distT="0" distB="0" distL="0" distR="0" wp14:anchorId="0403CCD3" wp14:editId="65FC663C">
            <wp:extent cx="3599935" cy="3199943"/>
            <wp:effectExtent l="0" t="0" r="0" b="635"/>
            <wp:docPr id="1730201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1742" name="Picture 1730201742"/>
                    <pic:cNvPicPr/>
                  </pic:nvPicPr>
                  <pic:blipFill>
                    <a:blip r:embed="rId14"/>
                    <a:stretch>
                      <a:fillRect/>
                    </a:stretch>
                  </pic:blipFill>
                  <pic:spPr>
                    <a:xfrm>
                      <a:off x="0" y="0"/>
                      <a:ext cx="3658155" cy="3251694"/>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72C67B93" w14:textId="77777777" w:rsidR="00F75791" w:rsidRPr="003935D6" w:rsidRDefault="00F75791" w:rsidP="00F75791">
      <w:pPr>
        <w:pStyle w:val="Heading3"/>
        <w:rPr>
          <w:lang w:val="en-US"/>
        </w:rPr>
      </w:pPr>
      <w:r w:rsidRPr="003935D6">
        <w:rPr>
          <w:lang w:val="en-US"/>
        </w:rPr>
        <w:t>Controlling for baseline</w:t>
      </w:r>
    </w:p>
    <w:p w14:paraId="5CA58F30" w14:textId="34DA4006" w:rsidR="00F75791" w:rsidRDefault="00F75791" w:rsidP="00F75791">
      <w:pPr>
        <w:rPr>
          <w:lang w:val="en-US"/>
        </w:rPr>
      </w:pPr>
      <w:r w:rsidRPr="003935D6">
        <w:rPr>
          <w:lang w:val="en-US"/>
        </w:rPr>
        <w:t xml:space="preserve">A common analytic decision that must be made when analyzing differences between conditions after an intervention is whether or not to control for </w:t>
      </w:r>
      <w:r>
        <w:rPr>
          <w:lang w:val="en-US"/>
        </w:rPr>
        <w:t xml:space="preserve">baseline </w:t>
      </w:r>
      <w:r w:rsidRPr="003935D6">
        <w:rPr>
          <w:lang w:val="en-US"/>
        </w:rPr>
        <w:t xml:space="preserve">differences </w:t>
      </w:r>
      <w:r>
        <w:rPr>
          <w:lang w:val="en-US"/>
        </w:rPr>
        <w:fldChar w:fldCharType="begin"/>
      </w:r>
      <w:r w:rsidR="00FD7D67">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sidRPr="003935D6">
        <w:rPr>
          <w:lang w:val="en-US"/>
        </w:rPr>
        <w:t xml:space="preserve">. Given only access to the summary statistics and not the original data (i.e., in order to estimate the correlation between time points), it was nonetheless possible to use Morris corrections </w:t>
      </w:r>
      <w:r>
        <w:rPr>
          <w:lang w:val="en-US"/>
        </w:rPr>
        <w:fldChar w:fldCharType="begin"/>
      </w:r>
      <w:r w:rsidR="00FD7D67">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Pr>
          <w:lang w:val="en-US"/>
        </w:rPr>
        <w:t xml:space="preserve"> </w:t>
      </w:r>
      <w:r w:rsidRPr="003935D6">
        <w:rPr>
          <w:lang w:val="en-US"/>
        </w:rPr>
        <w:t xml:space="preserve">to control for these differences (i.e., corrected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Pr="003935D6">
        <w:rPr>
          <w:lang w:val="en-US"/>
        </w:rPr>
        <w:t xml:space="preserve"> =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postintervention</m:t>
            </m:r>
          </m:sub>
        </m:sSub>
      </m:oMath>
      <w:r w:rsidRPr="003935D6">
        <w:rPr>
          <w:iCs/>
          <w:lang w:val="en-US"/>
        </w:rPr>
        <w:t xml:space="preserve"> </w:t>
      </w:r>
      <w:r w:rsidRPr="003935D6">
        <w:rPr>
          <w:lang w:val="en-US"/>
        </w:rPr>
        <w:t xml:space="preserve">–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baseline</m:t>
            </m:r>
          </m:sub>
        </m:sSub>
      </m:oMath>
      <w:r w:rsidRPr="003935D6">
        <w:rPr>
          <w:lang w:val="en-US"/>
        </w:rPr>
        <w:t xml:space="preserve">). Both </w:t>
      </w:r>
      <w:r w:rsidR="00214997">
        <w:rPr>
          <w:lang w:val="en-US"/>
        </w:rPr>
        <w:t xml:space="preserve">Hedges’ </w:t>
      </w:r>
      <w:r w:rsidRPr="003935D6">
        <w:rPr>
          <w:i/>
          <w:iCs/>
          <w:lang w:val="en-US"/>
        </w:rPr>
        <w:t>g</w:t>
      </w:r>
      <w:r w:rsidRPr="003935D6">
        <w:rPr>
          <w:lang w:val="en-US"/>
        </w:rPr>
        <w:t xml:space="preserve"> (not correcting for baseline scores) and </w:t>
      </w:r>
      <w:r w:rsidR="00214997">
        <w:rPr>
          <w:lang w:val="en-US"/>
        </w:rPr>
        <w:t xml:space="preserve">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Pr="003935D6">
        <w:rPr>
          <w:iCs/>
          <w:lang w:val="en-US"/>
        </w:rPr>
        <w:t xml:space="preserve"> (corrected for baseline scores) were entered into the multiverse analysis </w:t>
      </w:r>
      <w:proofErr w:type="gramStart"/>
      <w:r w:rsidRPr="003935D6">
        <w:rPr>
          <w:iCs/>
          <w:lang w:val="en-US"/>
        </w:rPr>
        <w:t>in order to</w:t>
      </w:r>
      <w:proofErr w:type="gramEnd"/>
      <w:r w:rsidRPr="003935D6">
        <w:rPr>
          <w:iCs/>
          <w:lang w:val="en-US"/>
        </w:rPr>
        <w:t xml:space="preserve"> assess the robustness of conclusions to this analytic choice.</w:t>
      </w:r>
    </w:p>
    <w:p w14:paraId="1558128B" w14:textId="77777777" w:rsidR="00F75791" w:rsidRDefault="00F75791" w:rsidP="002701E1">
      <w:pPr>
        <w:pStyle w:val="Heading2"/>
        <w:rPr>
          <w:lang w:val="en-US"/>
        </w:rPr>
      </w:pPr>
    </w:p>
    <w:p w14:paraId="5F990BD6" w14:textId="56730372" w:rsidR="002701E1" w:rsidRPr="003935D6" w:rsidRDefault="002701E1" w:rsidP="002701E1">
      <w:pPr>
        <w:pStyle w:val="Heading2"/>
        <w:rPr>
          <w:lang w:val="en-US"/>
        </w:rPr>
      </w:pPr>
      <w:r w:rsidRPr="003935D6">
        <w:rPr>
          <w:lang w:val="en-US"/>
        </w:rPr>
        <w:t xml:space="preserve">Results </w:t>
      </w:r>
    </w:p>
    <w:p w14:paraId="0D67F36D" w14:textId="33D6F2D5"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w:t>
      </w:r>
      <w:r w:rsidR="00214997">
        <w:rPr>
          <w:lang w:val="en-US"/>
        </w:rPr>
        <w:t xml:space="preserve">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w:t>
      </w:r>
      <w:r w:rsidRPr="003935D6">
        <w:rPr>
          <w:lang w:val="en-US"/>
        </w:rPr>
        <w:t xml:space="preserve">familywise error rate were used to choose the width of the Confidence Interval (95% vs. 98.33%, corresponding to a Bonferroni correction for the three correlated outcomes). </w:t>
      </w:r>
      <w:r w:rsidR="00F40CF5">
        <w:rPr>
          <w:lang w:val="en-US"/>
        </w:rPr>
        <w:t>This produces 1</w:t>
      </w:r>
      <w:r w:rsidR="00746D12">
        <w:rPr>
          <w:lang w:val="en-US"/>
        </w:rPr>
        <w:t>4</w:t>
      </w:r>
      <w:r w:rsidR="00F40CF5">
        <w:rPr>
          <w:lang w:val="en-US"/>
        </w:rPr>
        <w:t xml:space="preserve"> different sets of analytic </w:t>
      </w:r>
      <w:r w:rsidR="00902740">
        <w:rPr>
          <w:lang w:val="en-US"/>
        </w:rPr>
        <w:t>choices</w:t>
      </w:r>
      <w:r w:rsidR="00746D12">
        <w:rPr>
          <w:lang w:val="en-US"/>
        </w:rPr>
        <w:t>:</w:t>
      </w:r>
      <w:r w:rsidR="00F40CF5">
        <w:rPr>
          <w:lang w:val="en-US"/>
        </w:rPr>
        <w:t xml:space="preserve"> 4 outcomes * 2 baseline control * 2 familywise error corrections</w:t>
      </w:r>
      <w:r w:rsidR="00746D12">
        <w:rPr>
          <w:lang w:val="en-US"/>
        </w:rPr>
        <w:t>, where the familywise corrections are never applied to the pooled outcome given that a single pooled outcome involves only one test and does not need to be corrected</w:t>
      </w:r>
      <w:r w:rsidR="00F40CF5">
        <w:rPr>
          <w:lang w:val="en-US"/>
        </w:rPr>
        <w:t>.</w:t>
      </w:r>
    </w:p>
    <w:p w14:paraId="67F2588A" w14:textId="4182A61A"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w:t>
      </w:r>
      <w:r w:rsidR="00214997">
        <w:rPr>
          <w:lang w:val="en-US"/>
        </w:rPr>
        <w:t xml:space="preserve">Hedges’ </w:t>
      </w:r>
      <w:r w:rsidRPr="003935D6">
        <w:rPr>
          <w:i/>
          <w:iCs/>
          <w:lang w:val="en-US"/>
        </w:rPr>
        <w:t>g</w:t>
      </w:r>
      <w:r w:rsidRPr="003935D6">
        <w:rPr>
          <w:lang w:val="en-US"/>
        </w:rPr>
        <w:t xml:space="preserve"> effect sizes arranged from lowest to highest values. </w:t>
      </w:r>
      <w:r w:rsidR="00214997">
        <w:rPr>
          <w:lang w:val="en-US"/>
        </w:rPr>
        <w:t>These plots should be interpreted as follows: each vertical column between the upper and lower panels provides the effect size and its confidence intervals (upper panel) and the analytic choices that produced this effect size (lower panel)</w:t>
      </w:r>
      <w:r w:rsidRPr="003935D6">
        <w:rPr>
          <w:lang w:val="en-US"/>
        </w:rPr>
        <w:t>.</w:t>
      </w:r>
      <w:r w:rsidR="00214997">
        <w:rPr>
          <w:lang w:val="en-US"/>
        </w:rPr>
        <w:t xml:space="preserve"> For example, the first column on the left of Figure 2 presents a Hedges’ </w:t>
      </w:r>
      <w:r w:rsidR="00214997" w:rsidRPr="009F32C6">
        <w:rPr>
          <w:i/>
          <w:iCs/>
          <w:lang w:val="en-US"/>
        </w:rPr>
        <w:t>g</w:t>
      </w:r>
      <w:r w:rsidR="00214997">
        <w:rPr>
          <w:lang w:val="en-US"/>
        </w:rPr>
        <w:t xml:space="preserve"> = -0.22 under the analytic choices of the anxiety outcome, controlling for baseline scores, without Bonferroni corrections. Across the columns, the pattern of effect sizes </w:t>
      </w:r>
      <w:r w:rsidR="00A237E0">
        <w:rPr>
          <w:lang w:val="en-US"/>
        </w:rPr>
        <w:t xml:space="preserve">under different analytic choices </w:t>
      </w:r>
      <w:r w:rsidR="00214997">
        <w:rPr>
          <w:lang w:val="en-US"/>
        </w:rPr>
        <w:t xml:space="preserve">can be seen. </w:t>
      </w:r>
      <w:r w:rsidR="00A237E0">
        <w:rPr>
          <w:lang w:val="en-US"/>
        </w:rPr>
        <w:t xml:space="preserve">In this case, it demonstrates that statistically significant results (via the exclusion of the </w:t>
      </w:r>
      <w:r w:rsidR="00A237E0">
        <w:rPr>
          <w:lang w:val="en-US"/>
        </w:rPr>
        <w:lastRenderedPageBreak/>
        <w:t>zero point from the confidence intervals) are not observed under any set of analytic choices.</w:t>
      </w:r>
      <w:r w:rsidRPr="003935D6">
        <w:rPr>
          <w:lang w:val="en-US"/>
        </w:rPr>
        <w:t xml:space="preserve">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p. 373</w:t>
      </w:r>
      <w:r w:rsidRPr="003935D6">
        <w:rPr>
          <w:i/>
          <w:iCs/>
          <w:lang w:val="en-US"/>
        </w:rPr>
        <w:t>)</w:t>
      </w:r>
      <w:r w:rsidRPr="003935D6">
        <w:rPr>
          <w:lang w:val="en-US"/>
        </w:rPr>
        <w:t xml:space="preserve">. This result </w:t>
      </w:r>
      <w:r w:rsidR="00A423A5">
        <w:rPr>
          <w:lang w:val="en-US"/>
        </w:rPr>
        <w:t xml:space="preserve">of the reanalysis does not support the conclusion reached by </w:t>
      </w:r>
      <w:r w:rsidRPr="003935D6">
        <w:rPr>
          <w:lang w:val="en-US"/>
        </w:rPr>
        <w:t>Foody et al. (2013).</w:t>
      </w:r>
      <w:r w:rsidR="00A423A5">
        <w:rPr>
          <w:lang w:val="en-US"/>
        </w:rPr>
        <w:t xml:space="preserve">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63BA3F41" w:rsidR="003E44AD"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proofErr w:type="spellStart"/>
      <w:r w:rsidRPr="003935D6">
        <w:rPr>
          <w:lang w:val="en-US"/>
        </w:rPr>
        <w:t>reanalys</w:t>
      </w:r>
      <w:r w:rsidR="002C2349" w:rsidRPr="003935D6">
        <w:rPr>
          <w:lang w:val="en-US"/>
        </w:rPr>
        <w:t>es</w:t>
      </w:r>
      <w:proofErr w:type="spellEnd"/>
      <w:r w:rsidR="002C2349" w:rsidRPr="003935D6">
        <w:rPr>
          <w:lang w:val="en-US"/>
        </w:rPr>
        <w:t xml:space="preserve">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 – i.e., as evidence for the utility of RFT to ACT, and support for the ACT model of psychotherapy</w:t>
      </w:r>
      <w:r w:rsidR="003E44AD">
        <w:rPr>
          <w:lang w:val="en-US"/>
        </w:rPr>
        <w:t xml:space="preserve"> </w:t>
      </w:r>
      <w:r w:rsidR="003E44AD">
        <w:rPr>
          <w:lang w:val="en-US"/>
        </w:rPr>
        <w:fldChar w:fldCharType="begin"/>
      </w:r>
      <w:r w:rsidR="00FD7D67">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35534074" w:rsidR="00BB52F9" w:rsidRDefault="00E53DAE" w:rsidP="005618B9">
      <w:pPr>
        <w:rPr>
          <w:lang w:val="en-US"/>
        </w:rPr>
      </w:pPr>
      <w:r w:rsidRPr="003935D6">
        <w:rPr>
          <w:lang w:val="en-US"/>
        </w:rPr>
        <w:t xml:space="preserve">The literature (currently) </w:t>
      </w:r>
      <w:r w:rsidR="00142C35">
        <w:rPr>
          <w:lang w:val="en-US"/>
        </w:rPr>
        <w:t xml:space="preserve">presents </w:t>
      </w:r>
      <w:r w:rsidR="003E44AD">
        <w:rPr>
          <w:lang w:val="en-US"/>
        </w:rPr>
        <w:t>the results of Foody et al. (2013)</w:t>
      </w:r>
      <w:r w:rsidRPr="003935D6">
        <w:rPr>
          <w:lang w:val="en-US"/>
        </w:rPr>
        <w:t xml:space="preserve"> as </w:t>
      </w:r>
      <w:r w:rsidR="00142C35">
        <w:rPr>
          <w:lang w:val="en-US"/>
        </w:rPr>
        <w:t xml:space="preserve">supportive of the claim that </w:t>
      </w:r>
      <w:r w:rsidR="00DA6A90">
        <w:rPr>
          <w:lang w:val="en-US"/>
        </w:rPr>
        <w:t xml:space="preserve">interventions to promote </w:t>
      </w:r>
      <w:r w:rsidRPr="003935D6">
        <w:rPr>
          <w:lang w:val="en-US"/>
        </w:rPr>
        <w:t>hierarc</w:t>
      </w:r>
      <w:r w:rsidR="003E44AD">
        <w:rPr>
          <w:lang w:val="en-US"/>
        </w:rPr>
        <w:t>hical relations with mental content produce superior therapeutic outcomes</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w:t>
      </w:r>
      <w:proofErr w:type="gramStart"/>
      <w:r w:rsidRPr="003935D6">
        <w:rPr>
          <w:lang w:val="en-US"/>
        </w:rPr>
        <w:t>therefore</w:t>
      </w:r>
      <w:proofErr w:type="gramEnd"/>
      <w:r w:rsidRPr="003935D6">
        <w:rPr>
          <w:lang w:val="en-US"/>
        </w:rPr>
        <w:t xml:space="preserv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773703F5" w14:textId="6ADFC6B9" w:rsidR="000710F5" w:rsidRPr="003935D6" w:rsidRDefault="000710F5" w:rsidP="000710F5">
      <w:pPr>
        <w:rPr>
          <w:lang w:val="en-US"/>
        </w:rPr>
      </w:pPr>
      <w:r>
        <w:t xml:space="preserve">The results of this reanalysis are agnostic to whether new, large, well-designed studies are likely to generate evidence for or against the claim that hierarchical relations produce better efficacy than </w:t>
      </w:r>
      <w:r>
        <w:t>distinction relations</w:t>
      </w:r>
      <w:r w:rsidR="00DC6B3F">
        <w:t xml:space="preserve">, and whether either can </w:t>
      </w:r>
      <w:proofErr w:type="spellStart"/>
      <w:r w:rsidR="00DC6B3F">
        <w:t>out perform</w:t>
      </w:r>
      <w:proofErr w:type="spellEnd"/>
      <w:r w:rsidR="00DC6B3F">
        <w:t xml:space="preserve"> a control condition to account for regression to the mean (see Figure 1)</w:t>
      </w:r>
      <w:r>
        <w:t>. These analyses consider only the credibility of the claim with regard to existing data in the paper cited for this claim: currently, there is no credible evidence for the claim based on the data presented by Foody et al. (2013) or Foody et al. (2015).</w:t>
      </w:r>
    </w:p>
    <w:p w14:paraId="3E0B355D" w14:textId="5E4C6386" w:rsidR="005618B9" w:rsidRDefault="005618B9" w:rsidP="005618B9">
      <w:pPr>
        <w:rPr>
          <w:lang w:val="en-US"/>
        </w:rPr>
      </w:pPr>
      <w:r>
        <w:rPr>
          <w:lang w:val="en-US"/>
        </w:rPr>
        <w:t>O</w:t>
      </w:r>
      <w:r w:rsidRPr="003935D6">
        <w:rPr>
          <w:lang w:val="en-US"/>
        </w:rPr>
        <w:t xml:space="preserve">ther work attempting to tie RFT principles to ACT practices, such as the use of metaphor in therapy, have also been presented </w:t>
      </w:r>
      <w:r w:rsidRPr="003935D6">
        <w:rPr>
          <w:lang w:val="en-US"/>
        </w:rPr>
        <w:fldChar w:fldCharType="begin"/>
      </w:r>
      <w:r w:rsidR="00160EA4">
        <w:rPr>
          <w:lang w:val="en-US"/>
        </w:rPr>
        <w:instrText xml:space="preserve"> ADDIN ZOTERO_ITEM CSL_CITATION {"citationID":"A1DrCwYX","properties":{"formattedCitation":"(Sierra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160EA4">
        <w:rPr>
          <w:lang w:val="en-US"/>
        </w:rPr>
        <w:instrText xml:space="preserve"> ADDIN ZOTERO_ITEM CSL_CITATION {"citationID":"t4pgnuAp","properties":{"unsorted":true,"formattedCitation":"(Pendrous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w:t>
      </w:r>
    </w:p>
    <w:p w14:paraId="52156867" w14:textId="77777777" w:rsidR="00421884" w:rsidRDefault="00421884" w:rsidP="00BB52F9">
      <w:pPr>
        <w:pStyle w:val="Heading2"/>
        <w:rPr>
          <w:lang w:val="en-US"/>
        </w:rPr>
      </w:pPr>
    </w:p>
    <w:p w14:paraId="2052C712" w14:textId="53D7FB02" w:rsidR="00BB52F9" w:rsidRPr="003935D6" w:rsidRDefault="005618B9" w:rsidP="00BB52F9">
      <w:pPr>
        <w:pStyle w:val="Heading2"/>
        <w:rPr>
          <w:lang w:val="en-US"/>
        </w:rPr>
      </w:pPr>
      <w:r>
        <w:rPr>
          <w:lang w:val="en-US"/>
        </w:rPr>
        <w:t>A</w:t>
      </w:r>
      <w:r w:rsidR="00BB52F9" w:rsidRPr="003935D6">
        <w:rPr>
          <w:lang w:val="en-US"/>
        </w:rPr>
        <w:t>n isolated case</w:t>
      </w:r>
      <w:r>
        <w:rPr>
          <w:lang w:val="en-US"/>
        </w:rPr>
        <w:t>?</w:t>
      </w:r>
    </w:p>
    <w:p w14:paraId="0BA0E2D3" w14:textId="1A3E4F9D" w:rsidR="00B5354F" w:rsidRPr="003935D6" w:rsidRDefault="00B5354F" w:rsidP="0072341B">
      <w:pPr>
        <w:rPr>
          <w:lang w:val="en-US"/>
        </w:rPr>
      </w:pPr>
      <w:r w:rsidRPr="003935D6">
        <w:rPr>
          <w:lang w:val="en-US"/>
        </w:rPr>
        <w:t xml:space="preserve">The collective rendering by the </w:t>
      </w:r>
      <w:r w:rsidR="00142C35">
        <w:rPr>
          <w:lang w:val="en-US"/>
        </w:rPr>
        <w:t>ACT/RFT</w:t>
      </w:r>
      <w:r w:rsidRPr="003935D6">
        <w:rPr>
          <w:lang w:val="en-US"/>
        </w:rPr>
        <w:t xml:space="preserve"> </w:t>
      </w:r>
      <w:r w:rsidR="00142C35">
        <w:rPr>
          <w:lang w:val="en-US"/>
        </w:rPr>
        <w:t>literature</w:t>
      </w:r>
      <w:r w:rsidRPr="003935D6">
        <w:rPr>
          <w:lang w:val="en-US"/>
        </w:rPr>
        <w:t xml:space="preserve">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w:t>
      </w:r>
      <w:proofErr w:type="gramStart"/>
      <w:r w:rsidRPr="003935D6">
        <w:rPr>
          <w:lang w:val="en-US"/>
        </w:rPr>
        <w:t>too, and</w:t>
      </w:r>
      <w:proofErr w:type="gramEnd"/>
      <w:r w:rsidRPr="003935D6">
        <w:rPr>
          <w:lang w:val="en-US"/>
        </w:rPr>
        <w:t xml:space="preserve"> instead be open to the possibility that many areas of our work are built on shaky foundations. </w:t>
      </w:r>
      <w:r w:rsidR="00142C35">
        <w:rPr>
          <w:lang w:val="en-US"/>
        </w:rPr>
        <w:t xml:space="preserve">Only large scale assessment of the credibility and trustworthiness of highly cited or influential work can determine the prevalence of such cases </w:t>
      </w:r>
      <w:r w:rsidR="00142C35">
        <w:rPr>
          <w:lang w:val="en-US"/>
        </w:rPr>
        <w:fldChar w:fldCharType="begin"/>
      </w:r>
      <w:r w:rsidR="00160EA4">
        <w:rPr>
          <w:lang w:val="en-US"/>
        </w:rPr>
        <w:instrText xml:space="preserve"> ADDIN ZOTERO_ITEM CSL_CITATION {"citationID":"Sb0pskxd","properties":{"unsorted":false,"formattedCitation":"(Gelman &amp; King, 2025; Hussey &amp; Cummins, 2025; Wilkinson, Heal, Antoniou, et al., 2025; Wilkinson, Heal, Flemyng, et al., 2025)","plainCitation":"(Gelman &amp; King, 2025; Hussey &amp; Cummins, 2025; Wilkinson, Heal, Antoniou, et al., 2025; Wilkinson, Heal, Flemyng, et al., 2025)","noteIndex":0},"citationItems":[{"id":31579,"uris":["http://zotero.org/users/1687755/items/VJZUPUWK"],"itemData":{"id":31579,"type":"article-magazine","abstract":"We need a post-publication, citation-triggered review process.","container-title":"The Chronicle of Higher Education","language":"en","note":"section: The Review","title":"Social Science Is Broken. Here’s How to Fix It.","URL":"https://www.chronicle.com/article/social-science-is-broken-heres-how-to-fix-it","author":[{"family":"Gelman","given":"Andrew"},{"family":"King","given":"Andrew"}],"accessed":{"date-parts":[["2025",3,4]]},"issued":{"date-parts":[["2025",2,25]]}}},{"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id":33468,"uris":["http://zotero.org/users/1687755/items/X3JDLCK4"],"itemData":{"id":33468,"type":"article","abstract":"Background The aim of the INSPECT-SR project is to develop a tool to identify problematic RCTs in systematic reviews. In Stage 1 of the project, a list of potential trustworthiness checks was created. The checks on this list must be evaluated to determine which should be included in the INSPECT-SR tool.\nMethods We attempted to apply 72 trustworthiness checks to RCTs in 50 Cochrane Reviews. For each, we recorded whether the check was passed, failed or possibly failed, or whether it was not feasible to complete the check. Following application of the checks, we recorded whether we had concerns about the authenticity of each RCT. We repeated each meta-analysis after removing RCTs flagged by each check, and again after removing RCTs where we had concerns about authenticity, to estimate the impact of trustworthiness assessment. Trustworthiness assessments were compared to Risk of Bias and GRADE assessments in the reviews.\nResults 95 RCTs were assessed. Following application of the checks, assessors had some or serious concerns about the authenticity of 25% and 6% of the RCTs, respectively. Removing RCTs with either some or serious concerns resulted in 22% of meta-analyses having no remaining RCTs. However, many checks proved difficult to understand or implement, which may have led to unwarranted scepticism in some instances. Furthermore, we restricted assessment to meta-analyses with no more than 5 RCTs, which will distort the impact on results. No relationship was identified between trustworthiness assessment and Risk of Bias or GRADE.\nConclusions This study supports the case for routine trustworthiness assessment in systematic reviews, as problematic studies do not appear to be flagged by Risk of Bias assessment. The study produced evidence on the feasibility and impact of trustworthiness checks. These results will be used, in conjunction with those from a subsequent Delphi process, to determine which checks should be included in the INSPECT-SR tool.\nPlain language summary Systematic reviews collate evidence from randomised controlled trials (RCTs) to find out whether health interventions are safe and effective. However, it is now recognised that the findings of some RCTs are not genuine, and some of these studies appear to have been fabricated. Various checks for these “problematic” RCTs have been proposed, but it is necessary to evaluate these checks to find out which are useful and which are feasible. We applied a comprehensive list of “trustworthiness checks” to 95 RCTs in 50 systematic reviews to learn more about them, and to see how often performing the checks would lead us to classify RCTs as being potentially inauthentic. We found that applying the checks led to concerns about the authenticity of around 1 in 3 RCTs. However, we found that many of the checks were difficult to perform and could have been misinterpreted. This might have led us to be overly sceptical in some cases. The findings from this study will be used, alongside other evidence, to decide which of these checks should be performed routinely to try to identify problematic RCTs, to stop them from being mistaken for genuine studies and potentially being used to inform healthcare decisions.\nWhat is newAn extensive list of potential checks for assessing study trustworthiness was assessed via an application to 95 randomised controlled trials (RCTs) in 50 Cochrane Reviews.Following application of the checks, assessors had concerns about the authenticity of 32% of the RCTs.If these RCTs were excluded, 22% of meta-analyses would have no remaining RCTs.However, the study showed that some checks were frequently infeasible, and others could be easily misunderstood or misinterpreted.The study restricted assessment to meta-analyses including five or fewer RCTs, which might distort the impact of applying the checks.","DOI":"10.1101/2024.11.25.24316905","language":"en","license":"© 2025, Posted by Cold Spring Harbor Laboratory. This pre-print is available under a Creative Commons License (Attribution 4.0 International), CC BY 4.0, as described at http://creativecommons.org/licenses/by/4.0/","publisher":"medRxiv","source":"medRxiv","title":"Assessing the feasibility and impact of clinical trial trustworthiness checks via an application to Cochrane Reviews: Stage 2 of the INSPECT-SR project","title-short":"Assessing the feasibility and impact of clinical trial trustworthiness checks via an application to Cochrane Reviews","URL":"https://www.medrxiv.org/content/10.1101/2024.11.25.24316905v3","author":[{"family":"Wilkinson","given":"Jack"},{"family":"Heal","given":"Calvin"},{"family":"Antoniou","given":"Georgios A."},{"family":"Flemyng","given":"Ella"},{"family":"Ahnström","given":"Love"},{"family":"Alteri","given":"Alessandra"},{"family":"Avenell","given":"Alison"},{"family":"Barker","given":"Timothy Hugh"},{"family":"Borg","given":"David N."},{"family":"Brown","given":"Nicholas JL"},{"family":"Buhmann","given":"Rob"},{"family":"Calvache","given":"Jose A."},{"family":"Carlsson","given":"Rickard"},{"family":"Carter","given":"Lesley-Anne"},{"family":"Cashin","given":"Aidan G."},{"family":"Cotterill","given":"Sarah"},{"family":"Färnqvist","given":"Kenneth"},{"family":"Ferraro","given":"Michael C."},{"family":"Grohmann","given":"Steph"},{"family":"Gurrin","given":"Lyle C."},{"family":"Hayden","given":"Jill A."},{"family":"Hunter","given":"Kylie E."},{"family":"Hyltse","given":"Natalie"},{"family":"Jung","given":"Lukas"},{"family":"Krishan","given":"Ashma"},{"family":"Laporte","given":"Silvy"},{"family":"Lasserson","given":"Toby J."},{"family":"Laursen","given":"David RT"},{"family":"Lensen","given":"Sarah"},{"family":"Li","given":"Wentao"},{"family":"Li","given":"Tianjing"},{"family":"Liu","given":"Jianping"},{"family":"Locher","given":"Clara"},{"family":"Lu","given":"Zewen"},{"family":"Lundh","given":"Andreas"},{"family":"Marsden","given":"Antonia"},{"family":"Meyerowitz-Katz","given":"Gideon"},{"family":"Mol","given":"Ben W."},{"family":"Munn","given":"Zachary"},{"family":"Naudet","given":"Florian"},{"family":"Nunan","given":"David"},{"family":"O’Connell","given":"Neil E."},{"family":"Olsson","given":"Natasha"},{"family":"Parker","given":"Lisa"},{"family":"Patetsini","given":"Eleftheria"},{"family":"Redman","given":"Barbara"},{"family":"Rhodes","given":"Sarah"},{"family":"Richardson","given":"Rachel"},{"family":"Ringsten","given":"Martin"},{"family":"Rogozińska","given":"Ewelina"},{"family":"Seidler","given":"Anna Lene"},{"family":"Sheldrick","given":"Kyle"},{"family":"Stocking","given":"Katie"},{"family":"Sydenham","given":"Emma"},{"family":"Thomas","given":"Hugh"},{"family":"Tsokani","given":"Sofia"},{"family":"Vinatier","given":"Constant"},{"family":"Vorland","given":"Colby J."},{"family":"Wang","given":"Rui"},{"family":"Wattar","given":"Bassel H. Al"},{"family":"Weber","given":"Florencia"},{"family":"Weibel","given":"Stephanie"},{"family":"Wely","given":"Madelon","dropping-particle":"van"},{"family":"Xu","given":"Chang"},{"family":"Bero","given":"Lisa"},{"family":"Kirkham","given":"Jamie J."}],"accessed":{"date-parts":[["2025",7,18]]},"issued":{"date-parts":[["2025",1,6]]}}},{"id":34313,"uris":["http://zotero.org/users/1687755/items/T3RIEZZ3"],"itemData":{"id":34313,"type":"article","abstract":"Precis The integrity of evidence synthesis is threatened by problematic randomised controlled trials (RCTs). These are RCTs where there are serious concerns about the trustworthiness of the data or findings. This could be due to research misconduct, including fraud, or due to honest critical errors. If these RCTs are not detected, they may be inadvertently included in systematic reviews and guidelines, potentially distorting their results. To address this problem, the INSPECT-SR (INveStigating ProblEmatic Clinical Trials in Systematic Reviews) tool has been developed to assess the trustworthiness of RCTs. This will allow problematic RCTs to be identified and excluded from systematic reviews. This paper describes the development of INSPECT-SR. The tool and an associated guidance document are presented.","DOI":"10.1101/2025.09.03.25334905","language":"en","license":"© 2025, Posted by Cold Spring Harbor Laboratory. This pre-print is available under a Creative Commons License (Attribution 4.0 International), CC BY 4.0, as described at http://creativecommons.org/licenses/by/4.0/","note":"ISSN: 3067-2007\npage: 2025.09.03.25334905","publisher":"medRxiv","source":"medRxiv","title":"INSPECT-SR: a tool for assessing trustworthiness of randomised controlled trials","title-short":"INSPECT-SR","URL":"https://www.medrxiv.org/content/10.1101/2025.09.03.25334905v2","author":[{"family":"Wilkinson","given":"Jack"},{"family":"Heal","given":"Calvin"},{"family":"Flemyng","given":"Ella"},{"family":"Antoniou","given":"Georgios A."},{"family":"Aburrow","given":"Tony"},{"family":"Alfirevic","given":"Zarko"},{"family":"Avenell","given":"Alison"},{"family":"Barbour","given":"Virginia"},{"family":"Berghella","given":"Vincenzo"},{"family":"Bishop","given":"Dorothy V. M."},{"family":"Bordewijk","given":"Esmée M."},{"family":"Brown","given":"Nicholas J. L."},{"family":"Christopher","given":"Jana"},{"family":"Clarke","given":"Mike"},{"family":"Dahly","given":"Darren"},{"family":"Dennis","given":"Jane"},{"family":"Dicker","given":"Patrick"},{"family":"Dumville","given":"Jo"},{"family":"Frankish","given":"Helen"},{"family":"Grey","given":"Andrew"},{"family":"Grohmann","given":"Steph"},{"family":"Gurrin","given":"Lyle C."},{"family":"Hayden","given":"Jill A."},{"family":"Heathers","given":"James A. J."},{"family":"Hunter","given":"Kylie E."},{"family":"Hussey","given":"Ian"},{"family":"Jung","given":"Lukas"},{"family":"Lam","given":"Emily"},{"family":"Lasserson","given":"Toby J."},{"family":"Lensen","given":"Sarah"},{"family":"Li","given":"Tianjing"},{"family":"Li","given":"Wentao"},{"family":"Liu","given":"Jianping"},{"family":"Loder","given":"Elizabeth"},{"family":"Lundh","given":"Andreas"},{"family":"Meyerowitz-Katz","given":"Gideon"},{"family":"Mol","given":"Ben W."},{"family":"Naudet","given":"Florian"},{"family":"Noel-Storr","given":"Anna"},{"family":"O’Connell","given":"Neil E."},{"family":"Parker","given":"Lisa"},{"family":"Redberg","given":"Rita F."},{"family":"Redman","given":"Barbara K."},{"family":"Richardson","given":"Rachel"},{"family":"Seidler","given":"Anna Lene"},{"family":"Sheldrick","given":"Kyle"},{"family":"Sydenham","given":"Emma"},{"family":"Wely","given":"Madelon","dropping-particle":"van"},{"family":"Vorland","given":"Colby J."},{"family":"Wang","given":"Rui"},{"family":"Weibel","given":"Stephanie"},{"family":"Wjst","given":"Matthias"},{"family":"Bero","given":"Lisa"},{"family":"Kirkham","given":"Jamie J."}],"accessed":{"date-parts":[["2025",9,16]]},"issued":{"date-parts":[["2025",9,11]]}}}],"schema":"https://github.com/citation-style-language/schema/raw/master/csl-citation.json"} </w:instrText>
      </w:r>
      <w:r w:rsidR="00142C35">
        <w:rPr>
          <w:lang w:val="en-US"/>
        </w:rPr>
        <w:fldChar w:fldCharType="separate"/>
      </w:r>
      <w:r w:rsidR="00160EA4">
        <w:rPr>
          <w:noProof/>
          <w:lang w:val="en-US"/>
        </w:rPr>
        <w:t>(Gelman &amp; King, 2025; Hussey &amp; Cummins, 2025; Wilkinson, Heal, Antoniou, et al., 2025; Wilkinson, Heal, Flemyng, et al., 2025)</w:t>
      </w:r>
      <w:r w:rsidR="00142C35">
        <w:rPr>
          <w:lang w:val="en-US"/>
        </w:rPr>
        <w:fldChar w:fldCharType="end"/>
      </w:r>
      <w:r w:rsidR="005618B9">
        <w:rPr>
          <w:lang w:val="en-US"/>
        </w:rPr>
        <w:t>.</w:t>
      </w:r>
    </w:p>
    <w:p w14:paraId="49F9222F" w14:textId="77777777" w:rsidR="00FB7D23" w:rsidRDefault="00FB7D23" w:rsidP="00983E57">
      <w:pPr>
        <w:rPr>
          <w:lang w:val="en-US"/>
        </w:rPr>
      </w:pPr>
    </w:p>
    <w:p w14:paraId="243BAA40" w14:textId="31C16E12" w:rsidR="00FB7D23" w:rsidRPr="003935D6" w:rsidRDefault="00714B45" w:rsidP="00FB7D23">
      <w:pPr>
        <w:pStyle w:val="Heading1"/>
        <w:rPr>
          <w:lang w:val="en-US"/>
        </w:rPr>
      </w:pPr>
      <w:proofErr w:type="spellStart"/>
      <w:r w:rsidRPr="00714B45">
        <w:t>CRediT</w:t>
      </w:r>
      <w:proofErr w:type="spellEnd"/>
      <w:r>
        <w:t xml:space="preserve"> </w:t>
      </w:r>
      <w:r w:rsidR="00FB7D23">
        <w:rPr>
          <w:lang w:val="en-US"/>
        </w:rPr>
        <w:t>Contributorship</w:t>
      </w:r>
      <w:r>
        <w:rPr>
          <w:lang w:val="en-US"/>
        </w:rPr>
        <w:t xml:space="preserve"> Statement</w:t>
      </w:r>
    </w:p>
    <w:p w14:paraId="03FEE89C" w14:textId="4C2AFD8D" w:rsidR="00714B45" w:rsidRDefault="00FB7D23" w:rsidP="00682386">
      <w:pPr>
        <w:rPr>
          <w:lang w:val="en-US"/>
        </w:rPr>
      </w:pPr>
      <w:r>
        <w:rPr>
          <w:lang w:val="en-US"/>
        </w:rPr>
        <w:t>IH was responsible for all aspects of this research.</w:t>
      </w:r>
    </w:p>
    <w:p w14:paraId="608C27DB" w14:textId="77777777" w:rsidR="00714B45" w:rsidRDefault="00714B45" w:rsidP="009F32C6">
      <w:pPr>
        <w:pStyle w:val="Heading1"/>
        <w:jc w:val="both"/>
        <w:rPr>
          <w:lang w:val="en-US"/>
        </w:rPr>
      </w:pPr>
    </w:p>
    <w:p w14:paraId="13950E6E" w14:textId="6D043AA1" w:rsidR="005D6D66" w:rsidRDefault="005D6D66" w:rsidP="00714B45">
      <w:pPr>
        <w:pStyle w:val="Heading1"/>
        <w:rPr>
          <w:lang w:val="en-US"/>
        </w:rPr>
      </w:pPr>
      <w:r>
        <w:rPr>
          <w:lang w:val="en-US"/>
        </w:rPr>
        <w:t>Conflict of Interest</w:t>
      </w:r>
    </w:p>
    <w:p w14:paraId="763FD0CA" w14:textId="0575674F" w:rsidR="005D6D66" w:rsidRDefault="00AE33AD" w:rsidP="00AE33AD">
      <w:pPr>
        <w:rPr>
          <w:lang w:val="en-US"/>
        </w:rPr>
      </w:pPr>
      <w:r w:rsidRPr="00AE33AD">
        <w:rPr>
          <w:lang w:val="en-US"/>
        </w:rPr>
        <w:t xml:space="preserve">Prof Dermot Barnes-Holmes, one of the authors of </w:t>
      </w:r>
      <w:r>
        <w:rPr>
          <w:lang w:val="en-US"/>
        </w:rPr>
        <w:t>Foody</w:t>
      </w:r>
      <w:r w:rsidRPr="00AE33AD">
        <w:rPr>
          <w:lang w:val="en-US"/>
        </w:rPr>
        <w:t xml:space="preserve"> et al. (201</w:t>
      </w:r>
      <w:r>
        <w:rPr>
          <w:lang w:val="en-US"/>
        </w:rPr>
        <w:t>3</w:t>
      </w:r>
      <w:r w:rsidRPr="00AE33AD">
        <w:rPr>
          <w:lang w:val="en-US"/>
        </w:rPr>
        <w:t>), was my PhD supervisor between 2010 and 2015. I have not actively collaborated with Prof Barnes-Holmes since 2015. Articles led by third parties of which we were both co-authors were published up to 2018. I declare that I have no other conflicts of interest associated with the publication of this manuscript.</w:t>
      </w:r>
      <w:r w:rsidR="00FD7D67">
        <w:rPr>
          <w:lang w:val="en-US"/>
        </w:rPr>
        <w:t xml:space="preserve"> I declare that the I share a </w:t>
      </w:r>
      <w:proofErr w:type="spellStart"/>
      <w:r w:rsidR="00FD7D67">
        <w:rPr>
          <w:lang w:val="en-US"/>
        </w:rPr>
        <w:t>coauthorship</w:t>
      </w:r>
      <w:proofErr w:type="spellEnd"/>
      <w:r w:rsidR="00FD7D67">
        <w:rPr>
          <w:lang w:val="en-US"/>
        </w:rPr>
        <w:t xml:space="preserve"> of the Replication Database</w:t>
      </w:r>
      <w:r w:rsidR="005D7D33">
        <w:rPr>
          <w:lang w:val="en-US"/>
        </w:rPr>
        <w:t xml:space="preserve"> </w:t>
      </w:r>
      <w:r w:rsidR="005D7D33">
        <w:rPr>
          <w:lang w:val="en-US"/>
        </w:rPr>
        <w:fldChar w:fldCharType="begin"/>
      </w:r>
      <w:r w:rsidR="005D7D33">
        <w:rPr>
          <w:lang w:val="en-US"/>
        </w:rPr>
        <w:instrText xml:space="preserve"> ADDIN ZOTERO_ITEM CSL_CITATION {"citationID":"kAUGji2g","properties":{"unsorted":false,"formattedCitation":"(R\\uc0\\u246{}seler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instrText>
      </w:r>
      <w:r w:rsidR="005D7D33">
        <w:rPr>
          <w:lang w:val="en-US"/>
        </w:rPr>
        <w:fldChar w:fldCharType="separate"/>
      </w:r>
      <w:r w:rsidR="005D7D33" w:rsidRPr="005D7D33">
        <w:rPr>
          <w:rFonts w:eastAsiaTheme="minorHAnsi"/>
          <w:szCs w:val="24"/>
          <w:lang w:val="en-GB" w:eastAsia="en-US"/>
        </w:rPr>
        <w:t>(</w:t>
      </w:r>
      <w:proofErr w:type="spellStart"/>
      <w:r w:rsidR="005D7D33" w:rsidRPr="005D7D33">
        <w:rPr>
          <w:rFonts w:eastAsiaTheme="minorHAnsi"/>
          <w:szCs w:val="24"/>
          <w:lang w:val="en-GB" w:eastAsia="en-US"/>
        </w:rPr>
        <w:t>Röseler</w:t>
      </w:r>
      <w:proofErr w:type="spellEnd"/>
      <w:r w:rsidR="005D7D33" w:rsidRPr="005D7D33">
        <w:rPr>
          <w:rFonts w:eastAsiaTheme="minorHAnsi"/>
          <w:szCs w:val="24"/>
          <w:lang w:val="en-GB" w:eastAsia="en-US"/>
        </w:rPr>
        <w:t xml:space="preserve"> et al., 2024)</w:t>
      </w:r>
      <w:r w:rsidR="005D7D33">
        <w:rPr>
          <w:lang w:val="en-US"/>
        </w:rPr>
        <w:fldChar w:fldCharType="end"/>
      </w:r>
      <w:r w:rsidR="005D7D33">
        <w:rPr>
          <w:lang w:val="en-US"/>
        </w:rPr>
        <w:t>,</w:t>
      </w:r>
      <w:r w:rsidR="00FD7D67">
        <w:rPr>
          <w:lang w:val="en-US"/>
        </w:rPr>
        <w:t xml:space="preserve"> a Big Team Science project with over 100 authors, with editor of the Journal of Replication Research. </w:t>
      </w:r>
    </w:p>
    <w:p w14:paraId="1CD4EEB9" w14:textId="77777777" w:rsidR="00FB5823" w:rsidRPr="003935D6" w:rsidRDefault="00FB5823" w:rsidP="00CA6152">
      <w:pPr>
        <w:ind w:firstLine="0"/>
        <w:rPr>
          <w:lang w:val="en-US"/>
        </w:rPr>
      </w:pPr>
    </w:p>
    <w:p w14:paraId="2EF15E71" w14:textId="58FF38F5" w:rsidR="00F572DD" w:rsidRPr="003935D6" w:rsidRDefault="00F572DD" w:rsidP="005E6D03">
      <w:pPr>
        <w:pStyle w:val="Heading1"/>
        <w:rPr>
          <w:lang w:val="en-US"/>
        </w:rPr>
      </w:pPr>
      <w:r w:rsidRPr="003935D6">
        <w:rPr>
          <w:lang w:val="en-US"/>
        </w:rPr>
        <w:t>References</w:t>
      </w:r>
    </w:p>
    <w:p w14:paraId="167082D0" w14:textId="77777777" w:rsidR="00160EA4" w:rsidRPr="00160EA4" w:rsidRDefault="00F572DD" w:rsidP="00160EA4">
      <w:pPr>
        <w:pStyle w:val="Bibliography"/>
        <w:rPr>
          <w:rFonts w:eastAsiaTheme="minorHAnsi"/>
          <w:lang w:eastAsia="en-US"/>
        </w:rPr>
      </w:pPr>
      <w:r w:rsidRPr="003935D6">
        <w:rPr>
          <w:lang w:val="en-US"/>
        </w:rPr>
        <w:fldChar w:fldCharType="begin"/>
      </w:r>
      <w:r w:rsidR="005D7D33">
        <w:rPr>
          <w:lang w:val="en-US"/>
        </w:rPr>
        <w:instrText xml:space="preserve"> ADDIN ZOTERO_BIBL {"uncited":[],"omitted":[],"custom":[]} CSL_BIBLIOGRAPHY </w:instrText>
      </w:r>
      <w:r w:rsidRPr="003935D6">
        <w:rPr>
          <w:lang w:val="en-US"/>
        </w:rPr>
        <w:fldChar w:fldCharType="separate"/>
      </w:r>
      <w:r w:rsidR="00160EA4" w:rsidRPr="00160EA4">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160EA4" w:rsidRPr="00160EA4">
        <w:rPr>
          <w:rFonts w:eastAsiaTheme="minorHAnsi"/>
          <w:i/>
          <w:iCs/>
          <w:lang w:eastAsia="en-US"/>
        </w:rPr>
        <w:t>The Wiley Handbook of Contextual Behavioral Science</w:t>
      </w:r>
      <w:r w:rsidR="00160EA4" w:rsidRPr="00160EA4">
        <w:rPr>
          <w:rFonts w:eastAsiaTheme="minorHAnsi"/>
          <w:lang w:eastAsia="en-US"/>
        </w:rPr>
        <w:t xml:space="preserve"> (pp. 365–382). Blackwell-</w:t>
      </w:r>
      <w:r w:rsidR="00160EA4" w:rsidRPr="00160EA4">
        <w:rPr>
          <w:rFonts w:eastAsiaTheme="minorHAnsi"/>
          <w:lang w:eastAsia="en-US"/>
        </w:rPr>
        <w:lastRenderedPageBreak/>
        <w:t>Wiley. http://onlinelibrary.wiley.com/doi/10.1002/9781118489857.ch18/</w:t>
      </w:r>
    </w:p>
    <w:p w14:paraId="7557335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Cobb, C. L., Crumly, B., Montero-Zamora, P., Schwartz, S. J., &amp; Martínez Jr., C. R. (2023). The problem of miscitation in psychological science: Righting the ship. </w:t>
      </w:r>
      <w:r w:rsidRPr="00160EA4">
        <w:rPr>
          <w:rFonts w:eastAsiaTheme="minorHAnsi"/>
          <w:i/>
          <w:iCs/>
          <w:lang w:eastAsia="en-US"/>
        </w:rPr>
        <w:t>American Psychologist</w:t>
      </w:r>
      <w:r w:rsidRPr="00160EA4">
        <w:rPr>
          <w:rFonts w:eastAsiaTheme="minorHAnsi"/>
          <w:lang w:eastAsia="en-US"/>
        </w:rPr>
        <w:t xml:space="preserve">, </w:t>
      </w:r>
      <w:r w:rsidRPr="00160EA4">
        <w:rPr>
          <w:rFonts w:eastAsiaTheme="minorHAnsi"/>
          <w:i/>
          <w:iCs/>
          <w:lang w:eastAsia="en-US"/>
        </w:rPr>
        <w:t>79</w:t>
      </w:r>
      <w:r w:rsidRPr="00160EA4">
        <w:rPr>
          <w:rFonts w:eastAsiaTheme="minorHAnsi"/>
          <w:lang w:eastAsia="en-US"/>
        </w:rPr>
        <w:t>(2), 299–311. https://doi.org/10.1037/amp0001138</w:t>
      </w:r>
    </w:p>
    <w:p w14:paraId="2D5958EA"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Derksen, M., &amp; Morawski, J. (2022). Kinds of Replication: Examining the Meanings of “Conceptual Replication” and “Direct Replication.” </w:t>
      </w:r>
      <w:r w:rsidRPr="00160EA4">
        <w:rPr>
          <w:rFonts w:eastAsiaTheme="minorHAnsi"/>
          <w:i/>
          <w:iCs/>
          <w:lang w:eastAsia="en-US"/>
        </w:rPr>
        <w:t>Perspectives on Psychological Science</w:t>
      </w:r>
      <w:r w:rsidRPr="00160EA4">
        <w:rPr>
          <w:rFonts w:eastAsiaTheme="minorHAnsi"/>
          <w:lang w:eastAsia="en-US"/>
        </w:rPr>
        <w:t xml:space="preserve">, </w:t>
      </w:r>
      <w:r w:rsidRPr="00160EA4">
        <w:rPr>
          <w:rFonts w:eastAsiaTheme="minorHAnsi"/>
          <w:i/>
          <w:iCs/>
          <w:lang w:eastAsia="en-US"/>
        </w:rPr>
        <w:t>17</w:t>
      </w:r>
      <w:r w:rsidRPr="00160EA4">
        <w:rPr>
          <w:rFonts w:eastAsiaTheme="minorHAnsi"/>
          <w:lang w:eastAsia="en-US"/>
        </w:rPr>
        <w:t>(5), 1490–1505. https://doi.org/10.1177/17456916211041116</w:t>
      </w:r>
    </w:p>
    <w:p w14:paraId="57B4C76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Dixon, M. R., &amp; Hayes, S. C. (2022). On the Disruptive Effects of Behavior Analysis on Behavior Analysis: The High Cost of Keeping Out Acceptance and Commitment Therapy and Training. </w:t>
      </w:r>
      <w:r w:rsidRPr="00160EA4">
        <w:rPr>
          <w:rFonts w:eastAsiaTheme="minorHAnsi"/>
          <w:i/>
          <w:iCs/>
          <w:lang w:eastAsia="en-US"/>
        </w:rPr>
        <w:t>Behavior Analysis in Practice</w:t>
      </w:r>
      <w:r w:rsidRPr="00160EA4">
        <w:rPr>
          <w:rFonts w:eastAsiaTheme="minorHAnsi"/>
          <w:lang w:eastAsia="en-US"/>
        </w:rPr>
        <w:t xml:space="preserve">, </w:t>
      </w:r>
      <w:r w:rsidRPr="00160EA4">
        <w:rPr>
          <w:rFonts w:eastAsiaTheme="minorHAnsi"/>
          <w:i/>
          <w:iCs/>
          <w:lang w:eastAsia="en-US"/>
        </w:rPr>
        <w:t>18</w:t>
      </w:r>
      <w:r w:rsidRPr="00160EA4">
        <w:rPr>
          <w:rFonts w:eastAsiaTheme="minorHAnsi"/>
          <w:lang w:eastAsia="en-US"/>
        </w:rPr>
        <w:t>, 1–7. https://doi.org/10.1007/s40617-022-00742-4</w:t>
      </w:r>
    </w:p>
    <w:p w14:paraId="4D535FD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Foody, M., Barnes-Holmes, Y., Barnes-Holmes, D., &amp; Luciano, C. (2013). An Empirical Investigation of Hierarchical versus Distinction Relations in a Self-based ACT Exercise. </w:t>
      </w:r>
      <w:r w:rsidRPr="00160EA4">
        <w:rPr>
          <w:rFonts w:eastAsiaTheme="minorHAnsi"/>
          <w:i/>
          <w:iCs/>
          <w:lang w:eastAsia="en-US"/>
        </w:rPr>
        <w:t>International Journal of Psychology</w:t>
      </w:r>
      <w:r w:rsidRPr="00160EA4">
        <w:rPr>
          <w:rFonts w:eastAsiaTheme="minorHAnsi"/>
          <w:lang w:eastAsia="en-US"/>
        </w:rPr>
        <w:t xml:space="preserve">, </w:t>
      </w:r>
      <w:r w:rsidRPr="00160EA4">
        <w:rPr>
          <w:rFonts w:eastAsiaTheme="minorHAnsi"/>
          <w:i/>
          <w:iCs/>
          <w:lang w:eastAsia="en-US"/>
        </w:rPr>
        <w:t>13</w:t>
      </w:r>
      <w:r w:rsidRPr="00160EA4">
        <w:rPr>
          <w:rFonts w:eastAsiaTheme="minorHAnsi"/>
          <w:lang w:eastAsia="en-US"/>
        </w:rPr>
        <w:t>(3), 373–388.</w:t>
      </w:r>
    </w:p>
    <w:p w14:paraId="12907A4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Foody, M., Barnes-Holmes, Y., Barnes-Holmes, D., Rai, L., &amp; Luciano, C. (2015). An Empirical Investigation of the Role of Self, Hierarchy, and Distinction in a Common Act Exercise. </w:t>
      </w:r>
      <w:r w:rsidRPr="00160EA4">
        <w:rPr>
          <w:rFonts w:eastAsiaTheme="minorHAnsi"/>
          <w:i/>
          <w:iCs/>
          <w:lang w:eastAsia="en-US"/>
        </w:rPr>
        <w:t>The Psychological Record</w:t>
      </w:r>
      <w:r w:rsidRPr="00160EA4">
        <w:rPr>
          <w:rFonts w:eastAsiaTheme="minorHAnsi"/>
          <w:lang w:eastAsia="en-US"/>
        </w:rPr>
        <w:t xml:space="preserve">, </w:t>
      </w:r>
      <w:r w:rsidRPr="00160EA4">
        <w:rPr>
          <w:rFonts w:eastAsiaTheme="minorHAnsi"/>
          <w:i/>
          <w:iCs/>
          <w:lang w:eastAsia="en-US"/>
        </w:rPr>
        <w:t>65</w:t>
      </w:r>
      <w:r w:rsidRPr="00160EA4">
        <w:rPr>
          <w:rFonts w:eastAsiaTheme="minorHAnsi"/>
          <w:lang w:eastAsia="en-US"/>
        </w:rPr>
        <w:t>(2), 231–243. https://doi.org/10.1007/s40732-014-0103-2</w:t>
      </w:r>
    </w:p>
    <w:p w14:paraId="4BAF87A0"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Gelman, A. (2016, September 21). What has happened down here is the winds have changed. </w:t>
      </w:r>
      <w:r w:rsidRPr="00160EA4">
        <w:rPr>
          <w:rFonts w:eastAsiaTheme="minorHAnsi"/>
          <w:i/>
          <w:iCs/>
          <w:lang w:eastAsia="en-US"/>
        </w:rPr>
        <w:t>Statistical Modeling, Causal Inference, and Social Science</w:t>
      </w:r>
      <w:r w:rsidRPr="00160EA4">
        <w:rPr>
          <w:rFonts w:eastAsiaTheme="minorHAnsi"/>
          <w:lang w:eastAsia="en-US"/>
        </w:rPr>
        <w:t>. http://andrewgelman.com/2016/09/21/what-has-happened-down-here-is-the-winds-have-changed/</w:t>
      </w:r>
    </w:p>
    <w:p w14:paraId="27F2E7C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Gelman, A., &amp; King, A. (2025, February 25). Social Science Is Broken. Here’s How to Fix It. </w:t>
      </w:r>
      <w:r w:rsidRPr="00160EA4">
        <w:rPr>
          <w:rFonts w:eastAsiaTheme="minorHAnsi"/>
          <w:i/>
          <w:iCs/>
          <w:lang w:eastAsia="en-US"/>
        </w:rPr>
        <w:t>The Chronicle of Higher Education</w:t>
      </w:r>
      <w:r w:rsidRPr="00160EA4">
        <w:rPr>
          <w:rFonts w:eastAsiaTheme="minorHAnsi"/>
          <w:lang w:eastAsia="en-US"/>
        </w:rPr>
        <w:t>. https://www.chronicle.com/article/social-science-is-broken-heres-how-to-fix-it</w:t>
      </w:r>
    </w:p>
    <w:p w14:paraId="2CB3AC25"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160EA4">
        <w:rPr>
          <w:rFonts w:eastAsiaTheme="minorHAnsi"/>
          <w:i/>
          <w:iCs/>
          <w:lang w:eastAsia="en-US"/>
        </w:rPr>
        <w:t>Anxiety, Stress, &amp; Coping</w:t>
      </w:r>
      <w:r w:rsidRPr="00160EA4">
        <w:rPr>
          <w:rFonts w:eastAsiaTheme="minorHAnsi"/>
          <w:lang w:eastAsia="en-US"/>
        </w:rPr>
        <w:t xml:space="preserve">, </w:t>
      </w:r>
      <w:r w:rsidRPr="00160EA4">
        <w:rPr>
          <w:rFonts w:eastAsiaTheme="minorHAnsi"/>
          <w:i/>
          <w:iCs/>
          <w:lang w:eastAsia="en-US"/>
        </w:rPr>
        <w:t>35</w:t>
      </w:r>
      <w:r w:rsidRPr="00160EA4">
        <w:rPr>
          <w:rFonts w:eastAsiaTheme="minorHAnsi"/>
          <w:lang w:eastAsia="en-US"/>
        </w:rPr>
        <w:t>(5), 557–573. https://doi.org/10.1080/10615806.2021.1985472</w:t>
      </w:r>
    </w:p>
    <w:p w14:paraId="03DFC6E9"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Gomide, C. P., Perez, W. F., &amp; Pessôa, C. V. B. B. (2024). Perspective taking reduces the correspondence bias: A systematically replication of Hooper et al. (2015).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32</w:t>
      </w:r>
      <w:r w:rsidRPr="00160EA4">
        <w:rPr>
          <w:rFonts w:eastAsiaTheme="minorHAnsi"/>
          <w:lang w:eastAsia="en-US"/>
        </w:rPr>
        <w:t>, 100735. https://doi.org/10.1016/j.jcbs.2024.100735</w:t>
      </w:r>
    </w:p>
    <w:p w14:paraId="3ADE865A"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Hantula, D. A. (2019). Editorial: Replication and Reliability in Behavior Science and Behavior Analysis: A Call for a Conversation. </w:t>
      </w:r>
      <w:r w:rsidRPr="00160EA4">
        <w:rPr>
          <w:rFonts w:eastAsiaTheme="minorHAnsi"/>
          <w:i/>
          <w:iCs/>
          <w:lang w:eastAsia="en-US"/>
        </w:rPr>
        <w:t xml:space="preserve">Perspectives </w:t>
      </w:r>
      <w:r w:rsidRPr="00160EA4">
        <w:rPr>
          <w:rFonts w:eastAsiaTheme="minorHAnsi"/>
          <w:i/>
          <w:iCs/>
          <w:lang w:eastAsia="en-US"/>
        </w:rPr>
        <w:t>on Behavior Science</w:t>
      </w:r>
      <w:r w:rsidRPr="00160EA4">
        <w:rPr>
          <w:rFonts w:eastAsiaTheme="minorHAnsi"/>
          <w:lang w:eastAsia="en-US"/>
        </w:rPr>
        <w:t xml:space="preserve">, </w:t>
      </w:r>
      <w:r w:rsidRPr="00160EA4">
        <w:rPr>
          <w:rFonts w:eastAsiaTheme="minorHAnsi"/>
          <w:i/>
          <w:iCs/>
          <w:lang w:eastAsia="en-US"/>
        </w:rPr>
        <w:t>42</w:t>
      </w:r>
      <w:r w:rsidRPr="00160EA4">
        <w:rPr>
          <w:rFonts w:eastAsiaTheme="minorHAnsi"/>
          <w:lang w:eastAsia="en-US"/>
        </w:rPr>
        <w:t>(1), 1–11. https://doi.org/10.1007/s40614-019-00194-2</w:t>
      </w:r>
    </w:p>
    <w:p w14:paraId="05D4FCE5"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Harte, C., &amp; Barnes-Holmes, D. (2023). A primer on relational frame theory (RFT). In M. P. Twohig, M. E. Levin, &amp; J. M. Petersen (Eds.), </w:t>
      </w:r>
      <w:r w:rsidRPr="00160EA4">
        <w:rPr>
          <w:rFonts w:eastAsiaTheme="minorHAnsi"/>
          <w:i/>
          <w:iCs/>
          <w:lang w:eastAsia="en-US"/>
        </w:rPr>
        <w:t>The Oxford Handbook of Acceptance and Commitment Therapy</w:t>
      </w:r>
      <w:r w:rsidRPr="00160EA4">
        <w:rPr>
          <w:rFonts w:eastAsiaTheme="minorHAnsi"/>
          <w:lang w:eastAsia="en-US"/>
        </w:rPr>
        <w:t xml:space="preserve"> (1st ed.). Oxford University Press. https://doi.org/10.1093/oxfordhb/9780197550076.001.0001</w:t>
      </w:r>
    </w:p>
    <w:p w14:paraId="56F69AA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Hayes, S. C., Barnes-Holmes, D., &amp; Roche, B. (2001). </w:t>
      </w:r>
      <w:r w:rsidRPr="00160EA4">
        <w:rPr>
          <w:rFonts w:eastAsiaTheme="minorHAnsi"/>
          <w:i/>
          <w:iCs/>
          <w:lang w:eastAsia="en-US"/>
        </w:rPr>
        <w:t>Relational frame theory: A post-Skinnerian account of human language and cognition</w:t>
      </w:r>
      <w:r w:rsidRPr="00160EA4">
        <w:rPr>
          <w:rFonts w:eastAsiaTheme="minorHAnsi"/>
          <w:lang w:eastAsia="en-US"/>
        </w:rPr>
        <w:t>. Kluwer Academic/Plenum Press.</w:t>
      </w:r>
    </w:p>
    <w:p w14:paraId="4D971098"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Hayes, S. C., Strosahl, K., &amp; Wilson, K. G. (1999). </w:t>
      </w:r>
      <w:r w:rsidRPr="00160EA4">
        <w:rPr>
          <w:rFonts w:eastAsiaTheme="minorHAnsi"/>
          <w:i/>
          <w:iCs/>
          <w:lang w:eastAsia="en-US"/>
        </w:rPr>
        <w:t>Acceptance and Commitment Therapy: An experiential approach to behavior change</w:t>
      </w:r>
      <w:r w:rsidRPr="00160EA4">
        <w:rPr>
          <w:rFonts w:eastAsiaTheme="minorHAnsi"/>
          <w:lang w:eastAsia="en-US"/>
        </w:rPr>
        <w:t>. Guilford Press.</w:t>
      </w:r>
    </w:p>
    <w:p w14:paraId="37646598"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Hulbert-Williams, L., Pendrous, R., Hochard, K. D., &amp; Hulbert-Williams, N. J. (2020). In search of scope: A response to Ruiz et al. (2020).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18</w:t>
      </w:r>
      <w:r w:rsidRPr="00160EA4">
        <w:rPr>
          <w:rFonts w:eastAsiaTheme="minorHAnsi"/>
          <w:lang w:eastAsia="en-US"/>
        </w:rPr>
        <w:t>, 306–311. https://doi.org/10.1016/j.jcbs.2020.10.008</w:t>
      </w:r>
    </w:p>
    <w:p w14:paraId="219A51E9"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Hussey, I. (2020). </w:t>
      </w:r>
      <w:r w:rsidRPr="00160EA4">
        <w:rPr>
          <w:rFonts w:eastAsiaTheme="minorHAnsi"/>
          <w:i/>
          <w:iCs/>
          <w:lang w:eastAsia="en-US"/>
        </w:rPr>
        <w:t>General claims require generalized effects: A reply to Ruiz et al.’s (2020) ‘A systematic and critical response to Pendrous et al. (2020) replication study.’</w:t>
      </w:r>
      <w:r w:rsidRPr="00160EA4">
        <w:rPr>
          <w:rFonts w:eastAsiaTheme="minorHAnsi"/>
          <w:lang w:eastAsia="en-US"/>
        </w:rPr>
        <w:t xml:space="preserve"> PsyArXiv. https://doi.org/10.31234/osf.io/83z2y</w:t>
      </w:r>
    </w:p>
    <w:p w14:paraId="38451B61"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Hussey, I., &amp; Cummins, J. (2025, August 11). Post-publication peer-review should focus on highly influential articles. </w:t>
      </w:r>
      <w:r w:rsidRPr="00160EA4">
        <w:rPr>
          <w:rFonts w:eastAsiaTheme="minorHAnsi"/>
          <w:i/>
          <w:iCs/>
          <w:lang w:eastAsia="en-US"/>
        </w:rPr>
        <w:t>Mmmdata.Io</w:t>
      </w:r>
      <w:r w:rsidRPr="00160EA4">
        <w:rPr>
          <w:rFonts w:eastAsiaTheme="minorHAnsi"/>
          <w:lang w:eastAsia="en-US"/>
        </w:rPr>
        <w:t>. https://mmmdata.io/posts/2025/08/post-publication-peer-review-should-focus-on-highly-influential-articles/</w:t>
      </w:r>
    </w:p>
    <w:p w14:paraId="4E3839D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Kelly, A. D., &amp; Kelly, M. E. (2021). Acceptance and Commitment Training in Applied Behavior Analysis: Where Have You Been All My Life? </w:t>
      </w:r>
      <w:r w:rsidRPr="00160EA4">
        <w:rPr>
          <w:rFonts w:eastAsiaTheme="minorHAnsi"/>
          <w:i/>
          <w:iCs/>
          <w:lang w:eastAsia="en-US"/>
        </w:rPr>
        <w:t>Behavior Analysis in Practice</w:t>
      </w:r>
      <w:r w:rsidRPr="00160EA4">
        <w:rPr>
          <w:rFonts w:eastAsiaTheme="minorHAnsi"/>
          <w:lang w:eastAsia="en-US"/>
        </w:rPr>
        <w:t xml:space="preserve">, </w:t>
      </w:r>
      <w:r w:rsidRPr="00160EA4">
        <w:rPr>
          <w:rFonts w:eastAsiaTheme="minorHAnsi"/>
          <w:i/>
          <w:iCs/>
          <w:lang w:eastAsia="en-US"/>
        </w:rPr>
        <w:t>15</w:t>
      </w:r>
      <w:r w:rsidRPr="00160EA4">
        <w:rPr>
          <w:rFonts w:eastAsiaTheme="minorHAnsi"/>
          <w:lang w:eastAsia="en-US"/>
        </w:rPr>
        <w:t>(1), Article 1. https://doi.org/10.1007/s40617-021-00587-3</w:t>
      </w:r>
    </w:p>
    <w:p w14:paraId="5E10ED7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Law, S., &amp; Hayes, S. C. (2021). Murray Sidman: Fostering progress through foundational choices. </w:t>
      </w:r>
      <w:r w:rsidRPr="00160EA4">
        <w:rPr>
          <w:rFonts w:eastAsiaTheme="minorHAnsi"/>
          <w:i/>
          <w:iCs/>
          <w:lang w:eastAsia="en-US"/>
        </w:rPr>
        <w:t>Journal of the Experimental Analysis of Behavior</w:t>
      </w:r>
      <w:r w:rsidRPr="00160EA4">
        <w:rPr>
          <w:rFonts w:eastAsiaTheme="minorHAnsi"/>
          <w:lang w:eastAsia="en-US"/>
        </w:rPr>
        <w:t xml:space="preserve">, </w:t>
      </w:r>
      <w:r w:rsidRPr="00160EA4">
        <w:rPr>
          <w:rFonts w:eastAsiaTheme="minorHAnsi"/>
          <w:i/>
          <w:iCs/>
          <w:lang w:eastAsia="en-US"/>
        </w:rPr>
        <w:t>115</w:t>
      </w:r>
      <w:r w:rsidRPr="00160EA4">
        <w:rPr>
          <w:rFonts w:eastAsiaTheme="minorHAnsi"/>
          <w:lang w:eastAsia="en-US"/>
        </w:rPr>
        <w:t>(1), 21–30. https://doi.org/10.1002/jeab.640</w:t>
      </w:r>
    </w:p>
    <w:p w14:paraId="4A73A735"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160EA4">
        <w:rPr>
          <w:rFonts w:eastAsiaTheme="minorHAnsi"/>
          <w:i/>
          <w:iCs/>
          <w:lang w:eastAsia="en-US"/>
        </w:rPr>
        <w:t>Psychological Medicine</w:t>
      </w:r>
      <w:r w:rsidRPr="00160EA4">
        <w:rPr>
          <w:rFonts w:eastAsiaTheme="minorHAnsi"/>
          <w:lang w:eastAsia="en-US"/>
        </w:rPr>
        <w:t xml:space="preserve">, </w:t>
      </w:r>
      <w:r w:rsidRPr="00160EA4">
        <w:rPr>
          <w:rFonts w:eastAsiaTheme="minorHAnsi"/>
          <w:i/>
          <w:iCs/>
          <w:lang w:eastAsia="en-US"/>
        </w:rPr>
        <w:t>47</w:t>
      </w:r>
      <w:r w:rsidRPr="00160EA4">
        <w:rPr>
          <w:rFonts w:eastAsiaTheme="minorHAnsi"/>
          <w:lang w:eastAsia="en-US"/>
        </w:rPr>
        <w:t>(6), 1000–1011. https://doi.org/10.1017/S003329171600324X</w:t>
      </w:r>
    </w:p>
    <w:p w14:paraId="51E26B1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160EA4">
        <w:rPr>
          <w:rFonts w:eastAsiaTheme="minorHAnsi"/>
          <w:i/>
          <w:iCs/>
          <w:lang w:eastAsia="en-US"/>
        </w:rPr>
        <w:t>International Journal of Psychology</w:t>
      </w:r>
      <w:r w:rsidRPr="00160EA4">
        <w:rPr>
          <w:rFonts w:eastAsiaTheme="minorHAnsi"/>
          <w:lang w:eastAsia="en-US"/>
        </w:rPr>
        <w:t xml:space="preserve">, </w:t>
      </w:r>
      <w:r w:rsidRPr="00160EA4">
        <w:rPr>
          <w:rFonts w:eastAsiaTheme="minorHAnsi"/>
          <w:i/>
          <w:iCs/>
          <w:lang w:eastAsia="en-US"/>
        </w:rPr>
        <w:t>11</w:t>
      </w:r>
      <w:r w:rsidRPr="00160EA4">
        <w:rPr>
          <w:rFonts w:eastAsiaTheme="minorHAnsi"/>
          <w:lang w:eastAsia="en-US"/>
        </w:rPr>
        <w:t>(2), 165–182.</w:t>
      </w:r>
    </w:p>
    <w:p w14:paraId="7632BB66"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Luciano, C., Törneke, N., &amp; Ruiz, F. J. (2023). Clinical Behavior Analysis and RFT: </w:t>
      </w:r>
      <w:r w:rsidRPr="00160EA4">
        <w:rPr>
          <w:rFonts w:eastAsiaTheme="minorHAnsi"/>
          <w:lang w:eastAsia="en-US"/>
        </w:rPr>
        <w:lastRenderedPageBreak/>
        <w:t xml:space="preserve">Conceptualizing Psychopathology and Its Treatment. In M. P. Twohig, M. E. Levin, &amp; J. M. Petersen (Eds.), </w:t>
      </w:r>
      <w:r w:rsidRPr="00160EA4">
        <w:rPr>
          <w:rFonts w:eastAsiaTheme="minorHAnsi"/>
          <w:i/>
          <w:iCs/>
          <w:lang w:eastAsia="en-US"/>
        </w:rPr>
        <w:t>The Oxford Handbook of Acceptance and Commitment Therapy</w:t>
      </w:r>
      <w:r w:rsidRPr="00160EA4">
        <w:rPr>
          <w:rFonts w:eastAsiaTheme="minorHAnsi"/>
          <w:lang w:eastAsia="en-US"/>
        </w:rPr>
        <w:t xml:space="preserve"> (1st ed., pp. 109–142). Oxford University Press. https://doi.org/10.1093/oxfordhb/9780197550076.013.5</w:t>
      </w:r>
    </w:p>
    <w:p w14:paraId="134C2FCB"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Marin, F., Rohatgi, A., &amp; Charlot, S. (2017). </w:t>
      </w:r>
      <w:r w:rsidRPr="00160EA4">
        <w:rPr>
          <w:rFonts w:eastAsiaTheme="minorHAnsi"/>
          <w:i/>
          <w:iCs/>
          <w:lang w:eastAsia="en-US"/>
        </w:rPr>
        <w:t>WebPlotDigitizer, a polyvalent and free software to extract spectra from old astronomical publications: Application to ultraviolet spectropolarimetry</w:t>
      </w:r>
      <w:r w:rsidRPr="00160EA4">
        <w:rPr>
          <w:rFonts w:eastAsiaTheme="minorHAnsi"/>
          <w:lang w:eastAsia="en-US"/>
        </w:rPr>
        <w:t xml:space="preserve"> (arXiv:1708.02025). arXiv. http://arxiv.org/abs/1708.02025</w:t>
      </w:r>
    </w:p>
    <w:p w14:paraId="6CD23C43"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McLoughlin, S., &amp; Roche, B. T. (2022). ACT: A Process-Based Therapy in search of a process. </w:t>
      </w:r>
      <w:r w:rsidRPr="00160EA4">
        <w:rPr>
          <w:rFonts w:eastAsiaTheme="minorHAnsi"/>
          <w:i/>
          <w:iCs/>
          <w:lang w:eastAsia="en-US"/>
        </w:rPr>
        <w:t>Behavior Therapy</w:t>
      </w:r>
      <w:r w:rsidRPr="00160EA4">
        <w:rPr>
          <w:rFonts w:eastAsiaTheme="minorHAnsi"/>
          <w:lang w:eastAsia="en-US"/>
        </w:rPr>
        <w:t xml:space="preserve">, </w:t>
      </w:r>
      <w:r w:rsidRPr="00160EA4">
        <w:rPr>
          <w:rFonts w:eastAsiaTheme="minorHAnsi"/>
          <w:i/>
          <w:iCs/>
          <w:lang w:eastAsia="en-US"/>
        </w:rPr>
        <w:t>54</w:t>
      </w:r>
      <w:r w:rsidRPr="00160EA4">
        <w:rPr>
          <w:rFonts w:eastAsiaTheme="minorHAnsi"/>
          <w:lang w:eastAsia="en-US"/>
        </w:rPr>
        <w:t>(6), 939–955. https://doi.org/10.1016/j.beth.2022.07.010</w:t>
      </w:r>
    </w:p>
    <w:p w14:paraId="585EB50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Morris, S. B. (2008). Estimating Effect Sizes From Pretest-Posttest-Control Group Designs. </w:t>
      </w:r>
      <w:r w:rsidRPr="00160EA4">
        <w:rPr>
          <w:rFonts w:eastAsiaTheme="minorHAnsi"/>
          <w:i/>
          <w:iCs/>
          <w:lang w:eastAsia="en-US"/>
        </w:rPr>
        <w:t>Organizational Research Methods</w:t>
      </w:r>
      <w:r w:rsidRPr="00160EA4">
        <w:rPr>
          <w:rFonts w:eastAsiaTheme="minorHAnsi"/>
          <w:lang w:eastAsia="en-US"/>
        </w:rPr>
        <w:t xml:space="preserve">, </w:t>
      </w:r>
      <w:r w:rsidRPr="00160EA4">
        <w:rPr>
          <w:rFonts w:eastAsiaTheme="minorHAnsi"/>
          <w:i/>
          <w:iCs/>
          <w:lang w:eastAsia="en-US"/>
        </w:rPr>
        <w:t>11</w:t>
      </w:r>
      <w:r w:rsidRPr="00160EA4">
        <w:rPr>
          <w:rFonts w:eastAsiaTheme="minorHAnsi"/>
          <w:lang w:eastAsia="en-US"/>
        </w:rPr>
        <w:t>(2), 364–386. https://doi.org/10.1177/1094428106291059</w:t>
      </w:r>
    </w:p>
    <w:p w14:paraId="44547DFA"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O’Donohue, W., &amp; Masuda, A. (Eds.). (2022). </w:t>
      </w:r>
      <w:r w:rsidRPr="00160EA4">
        <w:rPr>
          <w:rFonts w:eastAsiaTheme="minorHAnsi"/>
          <w:i/>
          <w:iCs/>
          <w:lang w:eastAsia="en-US"/>
        </w:rPr>
        <w:t>Behavior therapy: First, second, and third waves.</w:t>
      </w:r>
      <w:r w:rsidRPr="00160EA4">
        <w:rPr>
          <w:rFonts w:eastAsiaTheme="minorHAnsi"/>
          <w:lang w:eastAsia="en-US"/>
        </w:rPr>
        <w:t xml:space="preserve"> Springer Nature. https://doi.org/10.1007/978-3-031-11677-3</w:t>
      </w:r>
    </w:p>
    <w:p w14:paraId="7871B9E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16</w:t>
      </w:r>
      <w:r w:rsidRPr="00160EA4">
        <w:rPr>
          <w:rFonts w:eastAsiaTheme="minorHAnsi"/>
          <w:lang w:eastAsia="en-US"/>
        </w:rPr>
        <w:t>, 17–24. https://doi.org/10.1016/j.jcbs.2020.02.003</w:t>
      </w:r>
    </w:p>
    <w:p w14:paraId="3DF4F9AE"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Rachman, S., Shafran, R., Mitchell, D., Trant, J., &amp; Teachman, B. (1996). How to remain neutral: An experimental analysis of neutralization. </w:t>
      </w:r>
      <w:r w:rsidRPr="00160EA4">
        <w:rPr>
          <w:rFonts w:eastAsiaTheme="minorHAnsi"/>
          <w:i/>
          <w:iCs/>
          <w:lang w:eastAsia="en-US"/>
        </w:rPr>
        <w:t>Behaviour Research and Therapy</w:t>
      </w:r>
      <w:r w:rsidRPr="00160EA4">
        <w:rPr>
          <w:rFonts w:eastAsiaTheme="minorHAnsi"/>
          <w:lang w:eastAsia="en-US"/>
        </w:rPr>
        <w:t xml:space="preserve">, </w:t>
      </w:r>
      <w:r w:rsidRPr="00160EA4">
        <w:rPr>
          <w:rFonts w:eastAsiaTheme="minorHAnsi"/>
          <w:i/>
          <w:iCs/>
          <w:lang w:eastAsia="en-US"/>
        </w:rPr>
        <w:t>34</w:t>
      </w:r>
      <w:r w:rsidRPr="00160EA4">
        <w:rPr>
          <w:rFonts w:eastAsiaTheme="minorHAnsi"/>
          <w:lang w:eastAsia="en-US"/>
        </w:rPr>
        <w:t>(11–12), 889–898. https://doi.org/10.1016/S0005-7967(96)00051-4</w:t>
      </w:r>
    </w:p>
    <w:p w14:paraId="7A1B554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Röseler, L., Kaiser, L., Doetsch, C., Klett, N., Seida, C., Schütz, A., Aczel, B., Adelina, N., Agostini, V., Alarie, S., Albayrak-Aydemir, N., Aldoh, A., Al-Hoorie, A. H., Azevedo, F., Baker, B. J., Barth, C. L., Beitner, J., Brick, C., Brohmer, H., … Zhang, Y. (2024). The Replication Database: Documenting the Replicability of Psychological Science. </w:t>
      </w:r>
      <w:r w:rsidRPr="00160EA4">
        <w:rPr>
          <w:rFonts w:eastAsiaTheme="minorHAnsi"/>
          <w:i/>
          <w:iCs/>
          <w:lang w:eastAsia="en-US"/>
        </w:rPr>
        <w:t>Journal of Open Psychology Data</w:t>
      </w:r>
      <w:r w:rsidRPr="00160EA4">
        <w:rPr>
          <w:rFonts w:eastAsiaTheme="minorHAnsi"/>
          <w:lang w:eastAsia="en-US"/>
        </w:rPr>
        <w:t xml:space="preserve">, </w:t>
      </w:r>
      <w:r w:rsidRPr="00160EA4">
        <w:rPr>
          <w:rFonts w:eastAsiaTheme="minorHAnsi"/>
          <w:i/>
          <w:iCs/>
          <w:lang w:eastAsia="en-US"/>
        </w:rPr>
        <w:t>12</w:t>
      </w:r>
      <w:r w:rsidRPr="00160EA4">
        <w:rPr>
          <w:rFonts w:eastAsiaTheme="minorHAnsi"/>
          <w:lang w:eastAsia="en-US"/>
        </w:rPr>
        <w:t>(1), 8. https://doi.org/10.5334/jopd.101</w:t>
      </w:r>
    </w:p>
    <w:p w14:paraId="05A4B46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Ruiz, F. J., Gil-Luciano, B., &amp; Segura-Vargas, M. A. (2023). Cognitive defusion. In M. P. Twohig, M. E. Levin, &amp; J. M. Petersen (Eds.), </w:t>
      </w:r>
      <w:r w:rsidRPr="00160EA4">
        <w:rPr>
          <w:rFonts w:eastAsiaTheme="minorHAnsi"/>
          <w:i/>
          <w:iCs/>
          <w:lang w:eastAsia="en-US"/>
        </w:rPr>
        <w:t>The Oxford Handbook of Acceptance and Commitment Therapy</w:t>
      </w:r>
      <w:r w:rsidRPr="00160EA4">
        <w:rPr>
          <w:rFonts w:eastAsiaTheme="minorHAnsi"/>
          <w:lang w:eastAsia="en-US"/>
        </w:rPr>
        <w:t>. Oxford University Press. https://doi.org/10.1093/oxfordhb/9780197550076.001.0001</w:t>
      </w:r>
    </w:p>
    <w:p w14:paraId="1AA8D0A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Ruiz, F. J., Luciano, C., &amp; Sierra, M. A. (2020). A systematic and critical response to Pendrous et al. (2020) replication study. </w:t>
      </w:r>
      <w:r w:rsidRPr="00160EA4">
        <w:rPr>
          <w:rFonts w:eastAsiaTheme="minorHAnsi"/>
          <w:i/>
          <w:iCs/>
          <w:lang w:eastAsia="en-US"/>
        </w:rPr>
        <w:t>Journal of Contextual Behavioral Science</w:t>
      </w:r>
      <w:r w:rsidRPr="00160EA4">
        <w:rPr>
          <w:rFonts w:eastAsiaTheme="minorHAnsi"/>
          <w:lang w:eastAsia="en-US"/>
        </w:rPr>
        <w:t xml:space="preserve">, </w:t>
      </w:r>
      <w:r w:rsidRPr="00160EA4">
        <w:rPr>
          <w:rFonts w:eastAsiaTheme="minorHAnsi"/>
          <w:i/>
          <w:iCs/>
          <w:lang w:eastAsia="en-US"/>
        </w:rPr>
        <w:t>17</w:t>
      </w:r>
      <w:r w:rsidRPr="00160EA4">
        <w:rPr>
          <w:rFonts w:eastAsiaTheme="minorHAnsi"/>
          <w:lang w:eastAsia="en-US"/>
        </w:rPr>
        <w:t>, 39–45. https://doi.org/10.1016/j.jcbs.2020.04.011</w:t>
      </w:r>
    </w:p>
    <w:p w14:paraId="595A0B62"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Sierra, M. A., Ruiz, F. J., Flórez, C. L., Hernández, D. R., &amp; Luciano, C. (2016). The Role of Common Physical Properties and Augmental Functions in Metaphor Effect. </w:t>
      </w:r>
      <w:r w:rsidRPr="00160EA4">
        <w:rPr>
          <w:rFonts w:eastAsiaTheme="minorHAnsi"/>
          <w:i/>
          <w:iCs/>
          <w:lang w:eastAsia="en-US"/>
        </w:rPr>
        <w:t>International Journal of Psychology</w:t>
      </w:r>
      <w:r w:rsidRPr="00160EA4">
        <w:rPr>
          <w:rFonts w:eastAsiaTheme="minorHAnsi"/>
          <w:lang w:eastAsia="en-US"/>
        </w:rPr>
        <w:t xml:space="preserve">, </w:t>
      </w:r>
      <w:r w:rsidRPr="00160EA4">
        <w:rPr>
          <w:rFonts w:eastAsiaTheme="minorHAnsi"/>
          <w:i/>
          <w:iCs/>
          <w:lang w:eastAsia="en-US"/>
        </w:rPr>
        <w:t>16</w:t>
      </w:r>
      <w:r w:rsidRPr="00160EA4">
        <w:rPr>
          <w:rFonts w:eastAsiaTheme="minorHAnsi"/>
          <w:lang w:eastAsia="en-US"/>
        </w:rPr>
        <w:t>(3), 265–279.</w:t>
      </w:r>
    </w:p>
    <w:p w14:paraId="6E73919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Simonsohn, U., Simmons, J. P., &amp; Nelson, L. D. (2015). </w:t>
      </w:r>
      <w:r w:rsidRPr="00160EA4">
        <w:rPr>
          <w:rFonts w:eastAsiaTheme="minorHAnsi"/>
          <w:i/>
          <w:iCs/>
          <w:lang w:eastAsia="en-US"/>
        </w:rPr>
        <w:t>Specification Curve: Descriptive and Inferential Statistics on All Reasonable Specifications</w:t>
      </w:r>
      <w:r w:rsidRPr="00160EA4">
        <w:rPr>
          <w:rFonts w:eastAsiaTheme="minorHAnsi"/>
          <w:lang w:eastAsia="en-US"/>
        </w:rPr>
        <w:t>. https://papers.ssrn.com/sol3/papers.cfm?abstract_id=2694998</w:t>
      </w:r>
    </w:p>
    <w:p w14:paraId="62A4D8F1"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Spellman, B. A. (2015). A short (personal) future history of revolution 2.0. </w:t>
      </w:r>
      <w:r w:rsidRPr="00160EA4">
        <w:rPr>
          <w:rFonts w:eastAsiaTheme="minorHAnsi"/>
          <w:i/>
          <w:iCs/>
          <w:lang w:eastAsia="en-US"/>
        </w:rPr>
        <w:t>Perspectives on Psychological Science</w:t>
      </w:r>
      <w:r w:rsidRPr="00160EA4">
        <w:rPr>
          <w:rFonts w:eastAsiaTheme="minorHAnsi"/>
          <w:lang w:eastAsia="en-US"/>
        </w:rPr>
        <w:t xml:space="preserve">, </w:t>
      </w:r>
      <w:r w:rsidRPr="00160EA4">
        <w:rPr>
          <w:rFonts w:eastAsiaTheme="minorHAnsi"/>
          <w:i/>
          <w:iCs/>
          <w:lang w:eastAsia="en-US"/>
        </w:rPr>
        <w:t>10</w:t>
      </w:r>
      <w:r w:rsidRPr="00160EA4">
        <w:rPr>
          <w:rFonts w:eastAsiaTheme="minorHAnsi"/>
          <w:lang w:eastAsia="en-US"/>
        </w:rPr>
        <w:t>(6), 886–899. https://doi.org/10.1177/1745691615609918</w:t>
      </w:r>
    </w:p>
    <w:p w14:paraId="69239141"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Steegen, S., Tuerlinckx, F., Gelman, A., &amp; Vanpaemel, W. (2016). Increasing transparency through a multiverse analysis. </w:t>
      </w:r>
      <w:r w:rsidRPr="00160EA4">
        <w:rPr>
          <w:rFonts w:eastAsiaTheme="minorHAnsi"/>
          <w:i/>
          <w:iCs/>
          <w:lang w:eastAsia="en-US"/>
        </w:rPr>
        <w:t>Perspectives on Psychological Science</w:t>
      </w:r>
      <w:r w:rsidRPr="00160EA4">
        <w:rPr>
          <w:rFonts w:eastAsiaTheme="minorHAnsi"/>
          <w:lang w:eastAsia="en-US"/>
        </w:rPr>
        <w:t xml:space="preserve">, </w:t>
      </w:r>
      <w:r w:rsidRPr="00160EA4">
        <w:rPr>
          <w:rFonts w:eastAsiaTheme="minorHAnsi"/>
          <w:i/>
          <w:iCs/>
          <w:lang w:eastAsia="en-US"/>
        </w:rPr>
        <w:t>11</w:t>
      </w:r>
      <w:r w:rsidRPr="00160EA4">
        <w:rPr>
          <w:rFonts w:eastAsiaTheme="minorHAnsi"/>
          <w:lang w:eastAsia="en-US"/>
        </w:rPr>
        <w:t>(5), 702–712.</w:t>
      </w:r>
    </w:p>
    <w:p w14:paraId="1488668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Tackett, J. L., Brandes, C. M., King, K. M., &amp; Markon, K. E. (2019). Psychology’s Replication Crisis and Clinical Psychological Science. </w:t>
      </w:r>
      <w:r w:rsidRPr="00160EA4">
        <w:rPr>
          <w:rFonts w:eastAsiaTheme="minorHAnsi"/>
          <w:i/>
          <w:iCs/>
          <w:lang w:eastAsia="en-US"/>
        </w:rPr>
        <w:t>Annual Review of Clinical Psychology</w:t>
      </w:r>
      <w:r w:rsidRPr="00160EA4">
        <w:rPr>
          <w:rFonts w:eastAsiaTheme="minorHAnsi"/>
          <w:lang w:eastAsia="en-US"/>
        </w:rPr>
        <w:t xml:space="preserve">, </w:t>
      </w:r>
      <w:r w:rsidRPr="00160EA4">
        <w:rPr>
          <w:rFonts w:eastAsiaTheme="minorHAnsi"/>
          <w:i/>
          <w:iCs/>
          <w:lang w:eastAsia="en-US"/>
        </w:rPr>
        <w:t>15</w:t>
      </w:r>
      <w:r w:rsidRPr="00160EA4">
        <w:rPr>
          <w:rFonts w:eastAsiaTheme="minorHAnsi"/>
          <w:lang w:eastAsia="en-US"/>
        </w:rPr>
        <w:t>(1), 579–604. https://doi.org/10.1146/annurev-clinpsy-050718-095710</w:t>
      </w:r>
    </w:p>
    <w:p w14:paraId="4FD2CCF8"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Task Force on the Strategies and Tactics of Contextual Behavioral Science Research. (2021). </w:t>
      </w:r>
      <w:r w:rsidRPr="00160EA4">
        <w:rPr>
          <w:rFonts w:eastAsiaTheme="minorHAnsi"/>
          <w:i/>
          <w:iCs/>
          <w:lang w:eastAsia="en-US"/>
        </w:rPr>
        <w:t>Adoption of Open Science Recommendations | Association for Contextual Behavioral Science</w:t>
      </w:r>
      <w:r w:rsidRPr="00160EA4">
        <w:rPr>
          <w:rFonts w:eastAsiaTheme="minorHAnsi"/>
          <w:lang w:eastAsia="en-US"/>
        </w:rPr>
        <w:t>. https://contextualscience.org/news/adoption_of_open_science_recommendations</w:t>
      </w:r>
    </w:p>
    <w:p w14:paraId="650E243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Twohig, M. P., Levin, M. E., &amp; Petersen, J. M. (Eds.). (2023). </w:t>
      </w:r>
      <w:r w:rsidRPr="00160EA4">
        <w:rPr>
          <w:rFonts w:eastAsiaTheme="minorHAnsi"/>
          <w:i/>
          <w:iCs/>
          <w:lang w:eastAsia="en-US"/>
        </w:rPr>
        <w:t>The Oxford Handbook of Acceptance and Commitment Therapy</w:t>
      </w:r>
      <w:r w:rsidRPr="00160EA4">
        <w:rPr>
          <w:rFonts w:eastAsiaTheme="minorHAnsi"/>
          <w:lang w:eastAsia="en-US"/>
        </w:rPr>
        <w:t xml:space="preserve"> (1st ed.). Oxford University Press. https://doi.org/10.1093/oxfordhb/9780197550076.001.0001</w:t>
      </w:r>
    </w:p>
    <w:p w14:paraId="6A8FBE1F"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van den Hout, M., Kindt, M., Weiland, T., &amp; Peters, M. (2002). Instructed neutralization, spontaneous neutralization and prevented neutralization after an obsession-like thought. </w:t>
      </w:r>
      <w:r w:rsidRPr="00160EA4">
        <w:rPr>
          <w:rFonts w:eastAsiaTheme="minorHAnsi"/>
          <w:i/>
          <w:iCs/>
          <w:lang w:eastAsia="en-US"/>
        </w:rPr>
        <w:t>Journal of Behavior Therapy and Experimental Psychiatry</w:t>
      </w:r>
      <w:r w:rsidRPr="00160EA4">
        <w:rPr>
          <w:rFonts w:eastAsiaTheme="minorHAnsi"/>
          <w:lang w:eastAsia="en-US"/>
        </w:rPr>
        <w:t xml:space="preserve">, </w:t>
      </w:r>
      <w:r w:rsidRPr="00160EA4">
        <w:rPr>
          <w:rFonts w:eastAsiaTheme="minorHAnsi"/>
          <w:i/>
          <w:iCs/>
          <w:lang w:eastAsia="en-US"/>
        </w:rPr>
        <w:t>33</w:t>
      </w:r>
      <w:r w:rsidRPr="00160EA4">
        <w:rPr>
          <w:rFonts w:eastAsiaTheme="minorHAnsi"/>
          <w:lang w:eastAsia="en-US"/>
        </w:rPr>
        <w:t>(3–4), 177–189. https://doi.org/10.1016/S0005-7916(02)00048-4</w:t>
      </w:r>
    </w:p>
    <w:p w14:paraId="277DA64C"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Wilkinson, J., Heal, C., Antoniou, G. A., Flemyng, E., Ahnström, L., Alteri, A., Avenell, A., Barker, T. H., Borg, D. N., Brown, N. J., Buhmann, R., Calvache, J. A., Carlsson, R., Carter, L.-A., Cashin, A. G., Cotterill, S., Färnqvist, K., Ferraro, M. C., Grohmann, S., … Kirkham, J. J. (2025). </w:t>
      </w:r>
      <w:r w:rsidRPr="00160EA4">
        <w:rPr>
          <w:rFonts w:eastAsiaTheme="minorHAnsi"/>
          <w:i/>
          <w:iCs/>
          <w:lang w:eastAsia="en-US"/>
        </w:rPr>
        <w:t>Assessing the feasibility and impact of clinical trial trustworthiness checks via an application to Cochrane Reviews: Stage 2 of the INSPECT-SR project</w:t>
      </w:r>
      <w:r w:rsidRPr="00160EA4">
        <w:rPr>
          <w:rFonts w:eastAsiaTheme="minorHAnsi"/>
          <w:lang w:eastAsia="en-US"/>
        </w:rPr>
        <w:t>. medRxiv. https://doi.org/10.1101/2024.11.25.24316905</w:t>
      </w:r>
    </w:p>
    <w:p w14:paraId="1A616ED4"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Wilkinson, J., Heal, C., Flemyng, E., Antoniou, G. A., Aburrow, T., Alfirevic, Z., Avenell, A., Barbour, V., Berghella, V., Bishop, D. V. M., Bordewijk, E. M., Brown, N. J. L., Christopher, J., Clarke, </w:t>
      </w:r>
      <w:r w:rsidRPr="00160EA4">
        <w:rPr>
          <w:rFonts w:eastAsiaTheme="minorHAnsi"/>
          <w:lang w:eastAsia="en-US"/>
        </w:rPr>
        <w:lastRenderedPageBreak/>
        <w:t xml:space="preserve">M., Dahly, D., Dennis, J., Dicker, P., Dumville, J., Frankish, H., … Kirkham, J. J. (2025). </w:t>
      </w:r>
      <w:r w:rsidRPr="00160EA4">
        <w:rPr>
          <w:rFonts w:eastAsiaTheme="minorHAnsi"/>
          <w:i/>
          <w:iCs/>
          <w:lang w:eastAsia="en-US"/>
        </w:rPr>
        <w:t>INSPECT-SR: A tool for assessing trustworthiness of randomised controlled trials</w:t>
      </w:r>
      <w:r w:rsidRPr="00160EA4">
        <w:rPr>
          <w:rFonts w:eastAsiaTheme="minorHAnsi"/>
          <w:lang w:eastAsia="en-US"/>
        </w:rPr>
        <w:t xml:space="preserve"> (p. 2025.09.03.25334905). medRxiv. https://doi.org/10.1101/2025.09.03.25334905</w:t>
      </w:r>
    </w:p>
    <w:p w14:paraId="26E57DDB" w14:textId="77777777" w:rsidR="00160EA4" w:rsidRPr="00160EA4" w:rsidRDefault="00160EA4" w:rsidP="00160EA4">
      <w:pPr>
        <w:pStyle w:val="Bibliography"/>
        <w:rPr>
          <w:rFonts w:eastAsiaTheme="minorHAnsi"/>
          <w:lang w:eastAsia="en-US"/>
        </w:rPr>
      </w:pPr>
      <w:r w:rsidRPr="00160EA4">
        <w:rPr>
          <w:rFonts w:eastAsiaTheme="minorHAnsi"/>
          <w:lang w:eastAsia="en-US"/>
        </w:rPr>
        <w:t xml:space="preserve">Zettle, R. D., &amp; Masuda, A. (2022). The Future of Third Wave Cognitive Behavior Therapies. In W. O’Donohue &amp; A. Masdua (Eds.), </w:t>
      </w:r>
      <w:r w:rsidRPr="00160EA4">
        <w:rPr>
          <w:rFonts w:eastAsiaTheme="minorHAnsi"/>
          <w:i/>
          <w:iCs/>
          <w:lang w:eastAsia="en-US"/>
        </w:rPr>
        <w:t>Behavior Therapy</w:t>
      </w:r>
      <w:r w:rsidRPr="00160EA4">
        <w:rPr>
          <w:rFonts w:eastAsiaTheme="minorHAnsi"/>
          <w:lang w:eastAsia="en-US"/>
        </w:rPr>
        <w:t>. https://doi.org/10.1007/978-3-031-11677-3_34</w:t>
      </w:r>
    </w:p>
    <w:p w14:paraId="3E4543E4" w14:textId="4D19EEEF" w:rsidR="001353FE" w:rsidRPr="003935D6" w:rsidRDefault="00F572DD" w:rsidP="00160EA4">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4618B" w14:textId="77777777" w:rsidR="00E325CC" w:rsidRDefault="00E325CC" w:rsidP="00127167">
      <w:r>
        <w:separator/>
      </w:r>
    </w:p>
  </w:endnote>
  <w:endnote w:type="continuationSeparator" w:id="0">
    <w:p w14:paraId="72724CED" w14:textId="77777777" w:rsidR="00E325CC" w:rsidRDefault="00E325CC" w:rsidP="00127167">
      <w:r>
        <w:continuationSeparator/>
      </w:r>
    </w:p>
  </w:endnote>
  <w:endnote w:type="continuationNotice" w:id="1">
    <w:p w14:paraId="223DEF4E" w14:textId="77777777" w:rsidR="00E325CC" w:rsidRDefault="00E325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9668376"/>
      <w:docPartObj>
        <w:docPartGallery w:val="Page Numbers (Bottom of Page)"/>
        <w:docPartUnique/>
      </w:docPartObj>
    </w:sdtPr>
    <w:sdtContent>
      <w:p w14:paraId="3FBF46E7" w14:textId="0225353A" w:rsidR="005742A9" w:rsidRDefault="005742A9" w:rsidP="00F56A5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D5457C" w14:textId="77777777" w:rsidR="005742A9" w:rsidRDefault="00574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95604598"/>
      <w:docPartObj>
        <w:docPartGallery w:val="Page Numbers (Bottom of Page)"/>
        <w:docPartUnique/>
      </w:docPartObj>
    </w:sdtPr>
    <w:sdtContent>
      <w:p w14:paraId="182F6393" w14:textId="26D9BAA7" w:rsidR="005742A9" w:rsidRDefault="005742A9" w:rsidP="005742A9">
        <w:pPr>
          <w:pStyle w:val="Footer"/>
          <w:framePr w:wrap="none" w:vAnchor="text" w:hAnchor="margin" w:xAlign="center" w:y="1"/>
          <w:ind w:right="-645"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1</w:t>
        </w:r>
        <w:r>
          <w:rPr>
            <w:rStyle w:val="PageNumber"/>
          </w:rPr>
          <w:fldChar w:fldCharType="end"/>
        </w:r>
      </w:p>
    </w:sdtContent>
  </w:sdt>
  <w:p w14:paraId="093AFA2D" w14:textId="77777777" w:rsidR="005742A9" w:rsidRDefault="0057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6E964" w14:textId="77777777" w:rsidR="00E325CC" w:rsidRDefault="00E325CC" w:rsidP="00127167">
      <w:r>
        <w:separator/>
      </w:r>
    </w:p>
  </w:footnote>
  <w:footnote w:type="continuationSeparator" w:id="0">
    <w:p w14:paraId="61CAFFBE" w14:textId="77777777" w:rsidR="00E325CC" w:rsidRDefault="00E325CC" w:rsidP="00127167">
      <w:r>
        <w:continuationSeparator/>
      </w:r>
    </w:p>
  </w:footnote>
  <w:footnote w:type="continuationNotice" w:id="1">
    <w:p w14:paraId="03EDA65B" w14:textId="77777777" w:rsidR="00E325CC" w:rsidRDefault="00E325CC"/>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074DD"/>
    <w:rsid w:val="000129E9"/>
    <w:rsid w:val="00013A8A"/>
    <w:rsid w:val="00013C1A"/>
    <w:rsid w:val="0001413F"/>
    <w:rsid w:val="0001416E"/>
    <w:rsid w:val="00015BED"/>
    <w:rsid w:val="00016688"/>
    <w:rsid w:val="0002051C"/>
    <w:rsid w:val="00020BB7"/>
    <w:rsid w:val="000212C1"/>
    <w:rsid w:val="00022494"/>
    <w:rsid w:val="00024D94"/>
    <w:rsid w:val="00025577"/>
    <w:rsid w:val="0002622D"/>
    <w:rsid w:val="00027EDC"/>
    <w:rsid w:val="00027F51"/>
    <w:rsid w:val="000308DC"/>
    <w:rsid w:val="000314D4"/>
    <w:rsid w:val="000316AC"/>
    <w:rsid w:val="000319B5"/>
    <w:rsid w:val="00032214"/>
    <w:rsid w:val="000322D0"/>
    <w:rsid w:val="000329E5"/>
    <w:rsid w:val="00034469"/>
    <w:rsid w:val="00034F46"/>
    <w:rsid w:val="000351E4"/>
    <w:rsid w:val="0003554D"/>
    <w:rsid w:val="00036BB8"/>
    <w:rsid w:val="00037072"/>
    <w:rsid w:val="00037EC6"/>
    <w:rsid w:val="00040DFD"/>
    <w:rsid w:val="0004118C"/>
    <w:rsid w:val="00042F0C"/>
    <w:rsid w:val="0004489D"/>
    <w:rsid w:val="00045803"/>
    <w:rsid w:val="00047227"/>
    <w:rsid w:val="0004745C"/>
    <w:rsid w:val="0004798A"/>
    <w:rsid w:val="00050DED"/>
    <w:rsid w:val="00052A35"/>
    <w:rsid w:val="000530BE"/>
    <w:rsid w:val="000531B0"/>
    <w:rsid w:val="00055E52"/>
    <w:rsid w:val="00057ED8"/>
    <w:rsid w:val="00062781"/>
    <w:rsid w:val="000628E2"/>
    <w:rsid w:val="000642FF"/>
    <w:rsid w:val="00065B19"/>
    <w:rsid w:val="000672F4"/>
    <w:rsid w:val="00067FB6"/>
    <w:rsid w:val="00070E62"/>
    <w:rsid w:val="000710F5"/>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0FBB"/>
    <w:rsid w:val="000C1608"/>
    <w:rsid w:val="000C4713"/>
    <w:rsid w:val="000C4EC2"/>
    <w:rsid w:val="000C5861"/>
    <w:rsid w:val="000C6781"/>
    <w:rsid w:val="000C6AC9"/>
    <w:rsid w:val="000C712C"/>
    <w:rsid w:val="000C7F61"/>
    <w:rsid w:val="000D029A"/>
    <w:rsid w:val="000D2013"/>
    <w:rsid w:val="000D4160"/>
    <w:rsid w:val="000E2083"/>
    <w:rsid w:val="000E2CC5"/>
    <w:rsid w:val="000E32AE"/>
    <w:rsid w:val="000E4430"/>
    <w:rsid w:val="000E4D23"/>
    <w:rsid w:val="000E5127"/>
    <w:rsid w:val="000E677C"/>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4DE9"/>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C35"/>
    <w:rsid w:val="00142FA5"/>
    <w:rsid w:val="00144589"/>
    <w:rsid w:val="001468CD"/>
    <w:rsid w:val="00147454"/>
    <w:rsid w:val="001476A3"/>
    <w:rsid w:val="00147E92"/>
    <w:rsid w:val="001509BD"/>
    <w:rsid w:val="00151E63"/>
    <w:rsid w:val="0015287C"/>
    <w:rsid w:val="00153E96"/>
    <w:rsid w:val="00154D0D"/>
    <w:rsid w:val="001609DB"/>
    <w:rsid w:val="00160EA4"/>
    <w:rsid w:val="00162218"/>
    <w:rsid w:val="001655A5"/>
    <w:rsid w:val="00166320"/>
    <w:rsid w:val="00166DBE"/>
    <w:rsid w:val="00167B8D"/>
    <w:rsid w:val="0017063C"/>
    <w:rsid w:val="00170E43"/>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5DC"/>
    <w:rsid w:val="001D2B7E"/>
    <w:rsid w:val="001D3A44"/>
    <w:rsid w:val="001D4CE1"/>
    <w:rsid w:val="001D5F22"/>
    <w:rsid w:val="001D6693"/>
    <w:rsid w:val="001D6802"/>
    <w:rsid w:val="001D6B54"/>
    <w:rsid w:val="001D793C"/>
    <w:rsid w:val="001E08CF"/>
    <w:rsid w:val="001E0902"/>
    <w:rsid w:val="001E0AFA"/>
    <w:rsid w:val="001E0C2B"/>
    <w:rsid w:val="001E3D52"/>
    <w:rsid w:val="001E5494"/>
    <w:rsid w:val="001E5DFF"/>
    <w:rsid w:val="001F0DE2"/>
    <w:rsid w:val="001F166F"/>
    <w:rsid w:val="001F4469"/>
    <w:rsid w:val="001F4D42"/>
    <w:rsid w:val="001F64A0"/>
    <w:rsid w:val="001F6C8F"/>
    <w:rsid w:val="002001DB"/>
    <w:rsid w:val="002035F8"/>
    <w:rsid w:val="002046D9"/>
    <w:rsid w:val="00204E92"/>
    <w:rsid w:val="0020506D"/>
    <w:rsid w:val="0020671D"/>
    <w:rsid w:val="002072EE"/>
    <w:rsid w:val="00210732"/>
    <w:rsid w:val="00211352"/>
    <w:rsid w:val="00211D20"/>
    <w:rsid w:val="00213DC5"/>
    <w:rsid w:val="00214997"/>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0208"/>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111"/>
    <w:rsid w:val="00294759"/>
    <w:rsid w:val="00294907"/>
    <w:rsid w:val="002979F3"/>
    <w:rsid w:val="002A0236"/>
    <w:rsid w:val="002A10F5"/>
    <w:rsid w:val="002A218E"/>
    <w:rsid w:val="002A3E05"/>
    <w:rsid w:val="002A3F2B"/>
    <w:rsid w:val="002A4A55"/>
    <w:rsid w:val="002A5C6A"/>
    <w:rsid w:val="002A6C5F"/>
    <w:rsid w:val="002A6E0C"/>
    <w:rsid w:val="002A7137"/>
    <w:rsid w:val="002B021F"/>
    <w:rsid w:val="002B127D"/>
    <w:rsid w:val="002B2BEF"/>
    <w:rsid w:val="002B2F3A"/>
    <w:rsid w:val="002B708D"/>
    <w:rsid w:val="002C02AC"/>
    <w:rsid w:val="002C2349"/>
    <w:rsid w:val="002C3730"/>
    <w:rsid w:val="002C4695"/>
    <w:rsid w:val="002C5680"/>
    <w:rsid w:val="002D09C1"/>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38CA"/>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C87"/>
    <w:rsid w:val="00396C9F"/>
    <w:rsid w:val="003A4074"/>
    <w:rsid w:val="003A49A0"/>
    <w:rsid w:val="003A7A9A"/>
    <w:rsid w:val="003B0886"/>
    <w:rsid w:val="003B2E01"/>
    <w:rsid w:val="003B5439"/>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22AA"/>
    <w:rsid w:val="003F4DE4"/>
    <w:rsid w:val="003F59FD"/>
    <w:rsid w:val="003F5AC7"/>
    <w:rsid w:val="00400E63"/>
    <w:rsid w:val="00401CA3"/>
    <w:rsid w:val="0040271C"/>
    <w:rsid w:val="00402DB9"/>
    <w:rsid w:val="00404623"/>
    <w:rsid w:val="00404BE1"/>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2C8B"/>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02BD"/>
    <w:rsid w:val="004A27D5"/>
    <w:rsid w:val="004A2B93"/>
    <w:rsid w:val="004A2C0C"/>
    <w:rsid w:val="004A3F98"/>
    <w:rsid w:val="004A47EE"/>
    <w:rsid w:val="004A594B"/>
    <w:rsid w:val="004A5CE9"/>
    <w:rsid w:val="004A6746"/>
    <w:rsid w:val="004B23DB"/>
    <w:rsid w:val="004B248E"/>
    <w:rsid w:val="004B48A4"/>
    <w:rsid w:val="004B591A"/>
    <w:rsid w:val="004B6C22"/>
    <w:rsid w:val="004C0211"/>
    <w:rsid w:val="004C12BC"/>
    <w:rsid w:val="004C1AF6"/>
    <w:rsid w:val="004C2AE2"/>
    <w:rsid w:val="004C33E3"/>
    <w:rsid w:val="004C345E"/>
    <w:rsid w:val="004C4378"/>
    <w:rsid w:val="004C4EF3"/>
    <w:rsid w:val="004C614F"/>
    <w:rsid w:val="004C7C8A"/>
    <w:rsid w:val="004D15E6"/>
    <w:rsid w:val="004D1970"/>
    <w:rsid w:val="004D1CB5"/>
    <w:rsid w:val="004D1F86"/>
    <w:rsid w:val="004D25F4"/>
    <w:rsid w:val="004D2D40"/>
    <w:rsid w:val="004D568E"/>
    <w:rsid w:val="004D5D9A"/>
    <w:rsid w:val="004D631E"/>
    <w:rsid w:val="004D7392"/>
    <w:rsid w:val="004D7555"/>
    <w:rsid w:val="004E123C"/>
    <w:rsid w:val="004E2F54"/>
    <w:rsid w:val="004E3E48"/>
    <w:rsid w:val="004E404E"/>
    <w:rsid w:val="004E4D53"/>
    <w:rsid w:val="004E6928"/>
    <w:rsid w:val="004E6D60"/>
    <w:rsid w:val="004E7506"/>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0B04"/>
    <w:rsid w:val="00541248"/>
    <w:rsid w:val="00542B7A"/>
    <w:rsid w:val="005432B8"/>
    <w:rsid w:val="0054354F"/>
    <w:rsid w:val="00543A6E"/>
    <w:rsid w:val="00544462"/>
    <w:rsid w:val="005462CE"/>
    <w:rsid w:val="00550658"/>
    <w:rsid w:val="00551451"/>
    <w:rsid w:val="00551D97"/>
    <w:rsid w:val="00553CAC"/>
    <w:rsid w:val="00553E2C"/>
    <w:rsid w:val="00554582"/>
    <w:rsid w:val="00554A16"/>
    <w:rsid w:val="0055546B"/>
    <w:rsid w:val="00555D7D"/>
    <w:rsid w:val="00556ED2"/>
    <w:rsid w:val="00560A85"/>
    <w:rsid w:val="005618B9"/>
    <w:rsid w:val="00561F22"/>
    <w:rsid w:val="00564044"/>
    <w:rsid w:val="005642EB"/>
    <w:rsid w:val="0056495B"/>
    <w:rsid w:val="00564D44"/>
    <w:rsid w:val="005651CF"/>
    <w:rsid w:val="00565B70"/>
    <w:rsid w:val="00566BFB"/>
    <w:rsid w:val="0056734B"/>
    <w:rsid w:val="00567F2A"/>
    <w:rsid w:val="005700F9"/>
    <w:rsid w:val="00570ABE"/>
    <w:rsid w:val="00571AA0"/>
    <w:rsid w:val="005742A9"/>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4EDE"/>
    <w:rsid w:val="005A6D22"/>
    <w:rsid w:val="005A7917"/>
    <w:rsid w:val="005B1F58"/>
    <w:rsid w:val="005B5C47"/>
    <w:rsid w:val="005B6369"/>
    <w:rsid w:val="005B7799"/>
    <w:rsid w:val="005B78FB"/>
    <w:rsid w:val="005C0EBA"/>
    <w:rsid w:val="005C48D0"/>
    <w:rsid w:val="005C5AC0"/>
    <w:rsid w:val="005C7986"/>
    <w:rsid w:val="005C7C53"/>
    <w:rsid w:val="005D298E"/>
    <w:rsid w:val="005D46BD"/>
    <w:rsid w:val="005D5D00"/>
    <w:rsid w:val="005D6D66"/>
    <w:rsid w:val="005D7D33"/>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25AB"/>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2386"/>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DB0"/>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4B45"/>
    <w:rsid w:val="00717AFA"/>
    <w:rsid w:val="00717B69"/>
    <w:rsid w:val="00720FEE"/>
    <w:rsid w:val="00721002"/>
    <w:rsid w:val="00722320"/>
    <w:rsid w:val="0072341B"/>
    <w:rsid w:val="00725987"/>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6D12"/>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C0461"/>
    <w:rsid w:val="007D00B5"/>
    <w:rsid w:val="007D3F5A"/>
    <w:rsid w:val="007D6E21"/>
    <w:rsid w:val="007E03FD"/>
    <w:rsid w:val="007E0CB2"/>
    <w:rsid w:val="007E1A69"/>
    <w:rsid w:val="007E27D9"/>
    <w:rsid w:val="007E36A2"/>
    <w:rsid w:val="007E506E"/>
    <w:rsid w:val="007E60C6"/>
    <w:rsid w:val="007E646A"/>
    <w:rsid w:val="007E681D"/>
    <w:rsid w:val="007E6A38"/>
    <w:rsid w:val="007F0BF8"/>
    <w:rsid w:val="007F1365"/>
    <w:rsid w:val="007F1753"/>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0E46"/>
    <w:rsid w:val="008144B8"/>
    <w:rsid w:val="0081466A"/>
    <w:rsid w:val="008150DF"/>
    <w:rsid w:val="0081523A"/>
    <w:rsid w:val="00816752"/>
    <w:rsid w:val="00817F02"/>
    <w:rsid w:val="008205E9"/>
    <w:rsid w:val="008206D2"/>
    <w:rsid w:val="00821385"/>
    <w:rsid w:val="00822887"/>
    <w:rsid w:val="00825D39"/>
    <w:rsid w:val="00827B7B"/>
    <w:rsid w:val="00827CFC"/>
    <w:rsid w:val="00830755"/>
    <w:rsid w:val="00831F0A"/>
    <w:rsid w:val="008323C4"/>
    <w:rsid w:val="00832EB7"/>
    <w:rsid w:val="00835E25"/>
    <w:rsid w:val="00837785"/>
    <w:rsid w:val="00841AA4"/>
    <w:rsid w:val="00842452"/>
    <w:rsid w:val="00843107"/>
    <w:rsid w:val="0084374D"/>
    <w:rsid w:val="00844463"/>
    <w:rsid w:val="00844499"/>
    <w:rsid w:val="0084479F"/>
    <w:rsid w:val="0084511C"/>
    <w:rsid w:val="00846674"/>
    <w:rsid w:val="008478D0"/>
    <w:rsid w:val="00847927"/>
    <w:rsid w:val="008504A9"/>
    <w:rsid w:val="008506B1"/>
    <w:rsid w:val="00851AF7"/>
    <w:rsid w:val="008560E5"/>
    <w:rsid w:val="00856518"/>
    <w:rsid w:val="00856DD9"/>
    <w:rsid w:val="00857884"/>
    <w:rsid w:val="00864138"/>
    <w:rsid w:val="00864CAA"/>
    <w:rsid w:val="00865A0E"/>
    <w:rsid w:val="008678D0"/>
    <w:rsid w:val="00870878"/>
    <w:rsid w:val="0087146E"/>
    <w:rsid w:val="00872B6F"/>
    <w:rsid w:val="008767FE"/>
    <w:rsid w:val="00876A5A"/>
    <w:rsid w:val="00877A4C"/>
    <w:rsid w:val="008817DC"/>
    <w:rsid w:val="00882C22"/>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C7C91"/>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2740"/>
    <w:rsid w:val="009033EF"/>
    <w:rsid w:val="0090380D"/>
    <w:rsid w:val="009043AF"/>
    <w:rsid w:val="00905A9C"/>
    <w:rsid w:val="009067A2"/>
    <w:rsid w:val="00910F14"/>
    <w:rsid w:val="009112E3"/>
    <w:rsid w:val="00913A2E"/>
    <w:rsid w:val="00913DAF"/>
    <w:rsid w:val="00916A47"/>
    <w:rsid w:val="00927BCF"/>
    <w:rsid w:val="0093120E"/>
    <w:rsid w:val="0093217E"/>
    <w:rsid w:val="00932609"/>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114A"/>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BDB"/>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43D0"/>
    <w:rsid w:val="009D60FD"/>
    <w:rsid w:val="009D6B77"/>
    <w:rsid w:val="009D6FB7"/>
    <w:rsid w:val="009D780A"/>
    <w:rsid w:val="009E2840"/>
    <w:rsid w:val="009E4469"/>
    <w:rsid w:val="009E4E4E"/>
    <w:rsid w:val="009E6A30"/>
    <w:rsid w:val="009F2B11"/>
    <w:rsid w:val="009F32C6"/>
    <w:rsid w:val="009F395D"/>
    <w:rsid w:val="009F6B62"/>
    <w:rsid w:val="009F714B"/>
    <w:rsid w:val="009F7278"/>
    <w:rsid w:val="00A00199"/>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37E0"/>
    <w:rsid w:val="00A25633"/>
    <w:rsid w:val="00A25B61"/>
    <w:rsid w:val="00A261BF"/>
    <w:rsid w:val="00A26777"/>
    <w:rsid w:val="00A3098F"/>
    <w:rsid w:val="00A3130A"/>
    <w:rsid w:val="00A3141D"/>
    <w:rsid w:val="00A32C37"/>
    <w:rsid w:val="00A34B06"/>
    <w:rsid w:val="00A35CD1"/>
    <w:rsid w:val="00A363C6"/>
    <w:rsid w:val="00A369F2"/>
    <w:rsid w:val="00A402C9"/>
    <w:rsid w:val="00A41135"/>
    <w:rsid w:val="00A41B18"/>
    <w:rsid w:val="00A423A5"/>
    <w:rsid w:val="00A448D4"/>
    <w:rsid w:val="00A450C9"/>
    <w:rsid w:val="00A469AE"/>
    <w:rsid w:val="00A46FF1"/>
    <w:rsid w:val="00A4773F"/>
    <w:rsid w:val="00A503B0"/>
    <w:rsid w:val="00A53C08"/>
    <w:rsid w:val="00A53C7B"/>
    <w:rsid w:val="00A565AF"/>
    <w:rsid w:val="00A57417"/>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93"/>
    <w:rsid w:val="00AC2A22"/>
    <w:rsid w:val="00AC347D"/>
    <w:rsid w:val="00AC4A92"/>
    <w:rsid w:val="00AC4B61"/>
    <w:rsid w:val="00AC5183"/>
    <w:rsid w:val="00AC72D1"/>
    <w:rsid w:val="00AC7A7C"/>
    <w:rsid w:val="00AD25E8"/>
    <w:rsid w:val="00AD315C"/>
    <w:rsid w:val="00AD4557"/>
    <w:rsid w:val="00AD4DD4"/>
    <w:rsid w:val="00AE1121"/>
    <w:rsid w:val="00AE22C8"/>
    <w:rsid w:val="00AE33AD"/>
    <w:rsid w:val="00AE4211"/>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4921"/>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15E7"/>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3E1E"/>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5EC7"/>
    <w:rsid w:val="00C46B52"/>
    <w:rsid w:val="00C5011A"/>
    <w:rsid w:val="00C54B15"/>
    <w:rsid w:val="00C55AFC"/>
    <w:rsid w:val="00C57851"/>
    <w:rsid w:val="00C60C14"/>
    <w:rsid w:val="00C60CE3"/>
    <w:rsid w:val="00C62276"/>
    <w:rsid w:val="00C62D58"/>
    <w:rsid w:val="00C644F3"/>
    <w:rsid w:val="00C6496E"/>
    <w:rsid w:val="00C64E50"/>
    <w:rsid w:val="00C67018"/>
    <w:rsid w:val="00C718FD"/>
    <w:rsid w:val="00C71CC5"/>
    <w:rsid w:val="00C75EA9"/>
    <w:rsid w:val="00C77A42"/>
    <w:rsid w:val="00C77D87"/>
    <w:rsid w:val="00C81292"/>
    <w:rsid w:val="00C82A54"/>
    <w:rsid w:val="00C847BB"/>
    <w:rsid w:val="00C872BD"/>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3EA5"/>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0812"/>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28BE"/>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86AC5"/>
    <w:rsid w:val="00D90863"/>
    <w:rsid w:val="00D90E35"/>
    <w:rsid w:val="00D934EB"/>
    <w:rsid w:val="00D93BA7"/>
    <w:rsid w:val="00D960AE"/>
    <w:rsid w:val="00D97AD0"/>
    <w:rsid w:val="00D97BB1"/>
    <w:rsid w:val="00DA14AA"/>
    <w:rsid w:val="00DA29ED"/>
    <w:rsid w:val="00DA30BC"/>
    <w:rsid w:val="00DA3CAE"/>
    <w:rsid w:val="00DA5CB8"/>
    <w:rsid w:val="00DA6A90"/>
    <w:rsid w:val="00DB0001"/>
    <w:rsid w:val="00DB245B"/>
    <w:rsid w:val="00DB35C6"/>
    <w:rsid w:val="00DB3957"/>
    <w:rsid w:val="00DB6194"/>
    <w:rsid w:val="00DB7063"/>
    <w:rsid w:val="00DB7228"/>
    <w:rsid w:val="00DC02B1"/>
    <w:rsid w:val="00DC0373"/>
    <w:rsid w:val="00DC1754"/>
    <w:rsid w:val="00DC23E3"/>
    <w:rsid w:val="00DC28D8"/>
    <w:rsid w:val="00DC2ADB"/>
    <w:rsid w:val="00DC3229"/>
    <w:rsid w:val="00DC35E5"/>
    <w:rsid w:val="00DC41E1"/>
    <w:rsid w:val="00DC64D6"/>
    <w:rsid w:val="00DC6B3F"/>
    <w:rsid w:val="00DD0701"/>
    <w:rsid w:val="00DD2073"/>
    <w:rsid w:val="00DD3463"/>
    <w:rsid w:val="00DD46A7"/>
    <w:rsid w:val="00DD48F1"/>
    <w:rsid w:val="00DD4B22"/>
    <w:rsid w:val="00DD579A"/>
    <w:rsid w:val="00DD5DF3"/>
    <w:rsid w:val="00DE0911"/>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0195"/>
    <w:rsid w:val="00E311D7"/>
    <w:rsid w:val="00E319E9"/>
    <w:rsid w:val="00E325CC"/>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0527"/>
    <w:rsid w:val="00EB1D20"/>
    <w:rsid w:val="00EB255B"/>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0CF5"/>
    <w:rsid w:val="00F412D6"/>
    <w:rsid w:val="00F42C1D"/>
    <w:rsid w:val="00F441CB"/>
    <w:rsid w:val="00F45679"/>
    <w:rsid w:val="00F52181"/>
    <w:rsid w:val="00F53B25"/>
    <w:rsid w:val="00F56B3D"/>
    <w:rsid w:val="00F572DD"/>
    <w:rsid w:val="00F573A9"/>
    <w:rsid w:val="00F6325A"/>
    <w:rsid w:val="00F65EEF"/>
    <w:rsid w:val="00F66AFC"/>
    <w:rsid w:val="00F66D40"/>
    <w:rsid w:val="00F66D7C"/>
    <w:rsid w:val="00F676B9"/>
    <w:rsid w:val="00F679BE"/>
    <w:rsid w:val="00F7042F"/>
    <w:rsid w:val="00F714DC"/>
    <w:rsid w:val="00F7224D"/>
    <w:rsid w:val="00F728E6"/>
    <w:rsid w:val="00F73E62"/>
    <w:rsid w:val="00F754D4"/>
    <w:rsid w:val="00F75791"/>
    <w:rsid w:val="00F7635D"/>
    <w:rsid w:val="00F823FE"/>
    <w:rsid w:val="00F828D2"/>
    <w:rsid w:val="00F83A48"/>
    <w:rsid w:val="00F83BBE"/>
    <w:rsid w:val="00F84013"/>
    <w:rsid w:val="00F84504"/>
    <w:rsid w:val="00F85EEF"/>
    <w:rsid w:val="00F87639"/>
    <w:rsid w:val="00F90D48"/>
    <w:rsid w:val="00F9405B"/>
    <w:rsid w:val="00F956EA"/>
    <w:rsid w:val="00F95C5C"/>
    <w:rsid w:val="00F95E4B"/>
    <w:rsid w:val="00FA08B4"/>
    <w:rsid w:val="00FA0962"/>
    <w:rsid w:val="00FA2434"/>
    <w:rsid w:val="00FA2B87"/>
    <w:rsid w:val="00FA32B7"/>
    <w:rsid w:val="00FA354D"/>
    <w:rsid w:val="00FA69F0"/>
    <w:rsid w:val="00FA6E62"/>
    <w:rsid w:val="00FB0752"/>
    <w:rsid w:val="00FB3AA0"/>
    <w:rsid w:val="00FB46B8"/>
    <w:rsid w:val="00FB49D1"/>
    <w:rsid w:val="00FB5823"/>
    <w:rsid w:val="00FB642E"/>
    <w:rsid w:val="00FB7D23"/>
    <w:rsid w:val="00FC1D94"/>
    <w:rsid w:val="00FC4B54"/>
    <w:rsid w:val="00FC4FB9"/>
    <w:rsid w:val="00FC52CD"/>
    <w:rsid w:val="00FC5F12"/>
    <w:rsid w:val="00FD17A1"/>
    <w:rsid w:val="00FD3435"/>
    <w:rsid w:val="00FD4406"/>
    <w:rsid w:val="00FD5324"/>
    <w:rsid w:val="00FD5356"/>
    <w:rsid w:val="00FD610D"/>
    <w:rsid w:val="00FD7814"/>
    <w:rsid w:val="00FD7D67"/>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 w:type="character" w:styleId="PageNumber">
    <w:name w:val="page number"/>
    <w:basedOn w:val="DefaultParagraphFont"/>
    <w:uiPriority w:val="99"/>
    <w:semiHidden/>
    <w:unhideWhenUsed/>
    <w:rsid w:val="005742A9"/>
  </w:style>
  <w:style w:type="paragraph" w:styleId="Revision">
    <w:name w:val="Revision"/>
    <w:hidden/>
    <w:uiPriority w:val="99"/>
    <w:semiHidden/>
    <w:rsid w:val="009033EF"/>
    <w:rPr>
      <w:rFonts w:ascii="CMU Serif Roman" w:eastAsia="Times New Roman" w:hAnsi="CMU Serif Roman" w:cs="CMU Serif Roman"/>
      <w:sz w:val="18"/>
      <w:szCs w:val="18"/>
      <w:lang w:eastAsia="en-GB"/>
    </w:rPr>
  </w:style>
  <w:style w:type="character" w:styleId="FollowedHyperlink">
    <w:name w:val="FollowedHyperlink"/>
    <w:basedOn w:val="DefaultParagraphFont"/>
    <w:uiPriority w:val="99"/>
    <w:semiHidden/>
    <w:unhideWhenUsed/>
    <w:rsid w:val="002113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osf.io/6wz3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ztd8n/"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osf.io/6wz3p" TargetMode="Externa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3.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2027</TotalTime>
  <Pages>14</Pages>
  <Words>25694</Words>
  <Characters>146462</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2320</cp:revision>
  <dcterms:created xsi:type="dcterms:W3CDTF">2023-02-24T11:09:00Z</dcterms:created>
  <dcterms:modified xsi:type="dcterms:W3CDTF">2026-06-16T08:28:00Z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id="pAsreFDD"/&gt;&lt;style id="http://www.zotero.org/styles/apa" locale="en-US" hasBibliography="1" bibliographyStyleHasBeenSet="1"/&gt;&lt;prefs&gt;&lt;pref name="fieldType" value="Field"/&gt;&lt;/prefs&gt;&lt;/data&gt;</vt:lpwstr>
  </property>
</Properties>
</file>