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85B905" w14:textId="77777777" w:rsidR="00F91A12" w:rsidRPr="00043D43" w:rsidRDefault="00F91A12" w:rsidP="00043D43">
      <w:pPr>
        <w:pStyle w:val="Title1"/>
      </w:pPr>
    </w:p>
    <w:p w14:paraId="6117DFAA" w14:textId="77777777" w:rsidR="00F91A12" w:rsidRPr="00043D43" w:rsidRDefault="00F91A12" w:rsidP="00043D43">
      <w:pPr>
        <w:pStyle w:val="Title1"/>
      </w:pPr>
    </w:p>
    <w:p w14:paraId="6BEC5758" w14:textId="77777777" w:rsidR="00F91A12" w:rsidRPr="00043D43" w:rsidRDefault="00F91A12" w:rsidP="00043D43">
      <w:pPr>
        <w:pStyle w:val="Title1"/>
      </w:pPr>
    </w:p>
    <w:p w14:paraId="64DFBBF5" w14:textId="77777777" w:rsidR="00F91A12" w:rsidRPr="00043D43" w:rsidRDefault="00F91A12" w:rsidP="00043D43">
      <w:pPr>
        <w:pStyle w:val="Title1"/>
      </w:pPr>
    </w:p>
    <w:p w14:paraId="763AA2E8" w14:textId="77777777" w:rsidR="00F91A12" w:rsidRPr="00043D43" w:rsidRDefault="00000000" w:rsidP="00043D43">
      <w:pPr>
        <w:pStyle w:val="Title1"/>
      </w:pPr>
      <w:r w:rsidRPr="00043D43">
        <w:t xml:space="preserve">Verification Report: </w:t>
      </w:r>
    </w:p>
    <w:p w14:paraId="4288969E" w14:textId="77777777" w:rsidR="00F91A12" w:rsidRPr="00043D43" w:rsidRDefault="00000000" w:rsidP="00043D43">
      <w:pPr>
        <w:pStyle w:val="Title1"/>
      </w:pPr>
      <w:r w:rsidRPr="00043D43">
        <w:t>A</w:t>
      </w:r>
      <w:r w:rsidR="00F33E7E" w:rsidRPr="00043D43">
        <w:t xml:space="preserve"> critical reanalysis of </w:t>
      </w:r>
      <w:r w:rsidR="004823A4" w:rsidRPr="00043D43">
        <w:t xml:space="preserve">Vahey et al. (2015) </w:t>
      </w:r>
    </w:p>
    <w:p w14:paraId="0D06FA4D" w14:textId="77777777" w:rsidR="00167923" w:rsidRPr="00043D43" w:rsidRDefault="00000000" w:rsidP="00043D43">
      <w:pPr>
        <w:pStyle w:val="Title1"/>
      </w:pPr>
      <w:r w:rsidRPr="00043D43">
        <w:t>“A meta-analysis of criterion effects for the Implicit Relational Assessment Procedure (IRAP) in the clinical domain”</w:t>
      </w:r>
    </w:p>
    <w:p w14:paraId="5FBD19B6" w14:textId="77777777" w:rsidR="00034410" w:rsidRPr="00043D43" w:rsidRDefault="00034410" w:rsidP="00043D43">
      <w:pPr>
        <w:pStyle w:val="authors"/>
      </w:pPr>
    </w:p>
    <w:p w14:paraId="74904EBB" w14:textId="77777777" w:rsidR="00034410" w:rsidRPr="00043D43" w:rsidRDefault="00000000" w:rsidP="00043D43">
      <w:pPr>
        <w:pStyle w:val="authors"/>
      </w:pPr>
      <w:r w:rsidRPr="00043D43">
        <w:t>Ian Hussey</w:t>
      </w:r>
    </w:p>
    <w:p w14:paraId="5F294030" w14:textId="77777777" w:rsidR="00167923" w:rsidRPr="00043D43" w:rsidRDefault="00167923" w:rsidP="00043D43">
      <w:pPr>
        <w:pStyle w:val="authors"/>
      </w:pPr>
    </w:p>
    <w:p w14:paraId="4C904CA0" w14:textId="0CA5E8FA" w:rsidR="000D085A" w:rsidRPr="00043D43" w:rsidRDefault="00000000" w:rsidP="00043D43">
      <w:pPr>
        <w:pStyle w:val="abstract"/>
      </w:pPr>
      <w:r w:rsidRPr="006C17C8">
        <w:t>Vahey et al.</w:t>
      </w:r>
      <w:r w:rsidR="009D7D06" w:rsidRPr="006C17C8">
        <w:t>’s</w:t>
      </w:r>
      <w:r w:rsidRPr="006C17C8">
        <w:t xml:space="preserve"> (2015)</w:t>
      </w:r>
      <w:r w:rsidR="00144468" w:rsidRPr="006C17C8">
        <w:t xml:space="preserve"> </w:t>
      </w:r>
      <w:r w:rsidR="009D7D06" w:rsidRPr="006C17C8">
        <w:t xml:space="preserve">meta-analysis </w:t>
      </w:r>
      <w:r w:rsidR="00021C43" w:rsidRPr="006C17C8">
        <w:t xml:space="preserve">concluded that </w:t>
      </w:r>
      <w:r w:rsidR="00FD43BB" w:rsidRPr="006C17C8">
        <w:t xml:space="preserve">the Implicit Relational Assessment Procedure (IRAP) has </w:t>
      </w:r>
      <w:r w:rsidR="004850D0" w:rsidRPr="006C17C8">
        <w:t xml:space="preserve">high clinical criterion validity (meta-analytic </w:t>
      </w:r>
      <m:oMath>
        <m:acc>
          <m:accPr>
            <m:chr m:val="̅"/>
            <m:ctrlPr>
              <w:rPr>
                <w:rFonts w:ascii="Cambria Math" w:hAnsi="Cambria Math"/>
              </w:rPr>
            </m:ctrlPr>
          </m:accPr>
          <m:e>
            <m:r>
              <w:rPr>
                <w:rFonts w:ascii="Cambria Math" w:hAnsi="Cambria Math"/>
              </w:rPr>
              <m:t>r</m:t>
            </m:r>
          </m:e>
        </m:acc>
      </m:oMath>
      <w:r w:rsidR="004850D0" w:rsidRPr="006C17C8">
        <w:t xml:space="preserve"> = .45) and therefore </w:t>
      </w:r>
      <w:r w:rsidR="004D065E" w:rsidRPr="006C17C8">
        <w:t>“the potential of the IRAP as a tool for clinical assessment” (p. 64)</w:t>
      </w:r>
      <w:r w:rsidR="00FD43BB" w:rsidRPr="006C17C8">
        <w:t>.</w:t>
      </w:r>
      <w:r w:rsidR="009D7D06" w:rsidRPr="006C17C8">
        <w:t xml:space="preserve"> Vahey et al.’s (2015) power analyses are frequently cited for </w:t>
      </w:r>
      <w:r w:rsidRPr="006C17C8">
        <w:t>sample size</w:t>
      </w:r>
      <w:r w:rsidR="009D7D06" w:rsidRPr="006C17C8">
        <w:t xml:space="preserve"> determination, especially their heuristic of </w:t>
      </w:r>
      <w:r w:rsidR="009D7D06" w:rsidRPr="006C17C8">
        <w:rPr>
          <w:i/>
          <w:iCs/>
        </w:rPr>
        <w:t>N</w:t>
      </w:r>
      <w:r w:rsidR="009D7D06" w:rsidRPr="006C17C8">
        <w:t xml:space="preserve"> &gt; 37</w:t>
      </w:r>
      <w:r w:rsidR="003A45E9" w:rsidRPr="006C17C8">
        <w:t xml:space="preserve">. </w:t>
      </w:r>
      <w:r w:rsidR="00CA0676" w:rsidRPr="006C17C8">
        <w:t>T</w:t>
      </w:r>
      <w:r w:rsidRPr="006C17C8">
        <w:t>h</w:t>
      </w:r>
      <w:r w:rsidR="00874DC3" w:rsidRPr="006C17C8">
        <w:t xml:space="preserve">is </w:t>
      </w:r>
      <w:r w:rsidRPr="006C17C8">
        <w:t xml:space="preserve">article </w:t>
      </w:r>
      <w:r w:rsidR="00C95C88" w:rsidRPr="006C17C8">
        <w:t xml:space="preserve">attempts to verify </w:t>
      </w:r>
      <w:r w:rsidR="00AC26C3" w:rsidRPr="006C17C8">
        <w:t>those results</w:t>
      </w:r>
      <w:r w:rsidR="0006572D" w:rsidRPr="006C17C8">
        <w:t xml:space="preserve">. </w:t>
      </w:r>
      <w:r w:rsidRPr="006C17C8">
        <w:t xml:space="preserve">Results were found to have very poor reproducibility at almost every stage of the </w:t>
      </w:r>
      <w:r w:rsidR="00091761">
        <w:t>data extraction and analysis</w:t>
      </w:r>
      <w:r w:rsidR="0074529F" w:rsidRPr="006C17C8">
        <w:t xml:space="preserve"> </w:t>
      </w:r>
      <w:r w:rsidR="00113C79" w:rsidRPr="006C17C8">
        <w:t>with</w:t>
      </w:r>
      <w:r w:rsidR="0074529F" w:rsidRPr="006C17C8">
        <w:t xml:space="preserve"> errors </w:t>
      </w:r>
      <w:r w:rsidR="002224CC">
        <w:t xml:space="preserve">generally </w:t>
      </w:r>
      <w:r w:rsidR="0074529F" w:rsidRPr="006C17C8">
        <w:t>biased towards inflating the effect size</w:t>
      </w:r>
      <w:r w:rsidR="009B2AFC" w:rsidRPr="006C17C8">
        <w:t xml:space="preserve">. </w:t>
      </w:r>
      <w:r w:rsidR="00F8025E" w:rsidRPr="006C17C8">
        <w:t xml:space="preserve">The reported meta-analysis results were found to be mathematically implausible and could not be reproduced despite numerous attempts. </w:t>
      </w:r>
      <w:r w:rsidR="007E7F62">
        <w:t xml:space="preserve">The reproduction attempt </w:t>
      </w:r>
      <w:r w:rsidR="00E97D10">
        <w:t xml:space="preserve">with the closest compressive set of results </w:t>
      </w:r>
      <w:r w:rsidR="007E7F62">
        <w:t>required making two serious errors</w:t>
      </w:r>
      <w:r w:rsidR="00AF256A">
        <w:t xml:space="preserve">: </w:t>
      </w:r>
      <w:r w:rsidR="007E7F62">
        <w:t xml:space="preserve">using the wrong data set and mislabelling Confidence Intervals as Credibility Intervals and vice versa. </w:t>
      </w:r>
      <w:r w:rsidR="001A187C" w:rsidRPr="006C17C8">
        <w:t>Multiple internal discrepancies were found in the effect sizes</w:t>
      </w:r>
      <w:r w:rsidR="00FA0E45">
        <w:t xml:space="preserve"> such as </w:t>
      </w:r>
      <w:r w:rsidR="001A187C" w:rsidRPr="006C17C8">
        <w:t xml:space="preserve">between the forest </w:t>
      </w:r>
      <w:r w:rsidR="00FA0E45">
        <w:t>plot and</w:t>
      </w:r>
      <w:r w:rsidR="001A187C" w:rsidRPr="006C17C8">
        <w:t xml:space="preserve"> funnel plot, and </w:t>
      </w:r>
      <w:r w:rsidR="00FA0E45">
        <w:t xml:space="preserve">between </w:t>
      </w:r>
      <w:r w:rsidR="001A187C" w:rsidRPr="006C17C8">
        <w:t xml:space="preserve">the forest plot </w:t>
      </w:r>
      <w:r w:rsidR="00FA0E45">
        <w:t>and</w:t>
      </w:r>
      <w:r w:rsidR="001A187C" w:rsidRPr="006C17C8">
        <w:t xml:space="preserve"> the supplementary data. </w:t>
      </w:r>
      <w:r w:rsidR="001F4B6A" w:rsidRPr="006C17C8">
        <w:t xml:space="preserve">23 of the 56 (41.1%) </w:t>
      </w:r>
      <w:r w:rsidR="00FA0E45">
        <w:t xml:space="preserve">individual </w:t>
      </w:r>
      <w:r w:rsidR="001F4B6A" w:rsidRPr="006C17C8">
        <w:t xml:space="preserve">effect sizes were not </w:t>
      </w:r>
      <w:r w:rsidR="00693926">
        <w:t xml:space="preserve">actually </w:t>
      </w:r>
      <w:r w:rsidR="001F4B6A" w:rsidRPr="006C17C8">
        <w:t xml:space="preserve">criterion effects </w:t>
      </w:r>
      <w:r w:rsidR="00FA0E45">
        <w:t xml:space="preserve">and did not meet the original inclusion </w:t>
      </w:r>
      <w:r w:rsidR="006703BA">
        <w:t>criteria</w:t>
      </w:r>
      <w:r w:rsidR="001F4B6A" w:rsidRPr="006C17C8">
        <w:t xml:space="preserve">. Inspection of the original articles revealed 360 additional effect sizes </w:t>
      </w:r>
      <w:r w:rsidR="00D44C38" w:rsidRPr="006C17C8">
        <w:t xml:space="preserve">that met inclusion criteria </w:t>
      </w:r>
      <w:r w:rsidR="001058C6" w:rsidRPr="006C17C8">
        <w:t>that</w:t>
      </w:r>
      <w:r w:rsidR="00D44C38" w:rsidRPr="006C17C8">
        <w:t xml:space="preserve"> should have been included. </w:t>
      </w:r>
      <w:r w:rsidR="00F8025E" w:rsidRPr="006C17C8">
        <w:t xml:space="preserve">A new </w:t>
      </w:r>
      <w:r w:rsidR="00AD48F0" w:rsidRPr="006C17C8">
        <w:t>meta-analy</w:t>
      </w:r>
      <w:r w:rsidR="00F8025E" w:rsidRPr="006C17C8">
        <w:t xml:space="preserve">sis was calculated to understand the compound impact of these errors. The </w:t>
      </w:r>
      <w:r w:rsidR="00AD48F0" w:rsidRPr="006C17C8">
        <w:t>effect size was half the size of the original (</w:t>
      </w:r>
      <m:oMath>
        <m:acc>
          <m:accPr>
            <m:chr m:val="̅"/>
            <m:ctrlPr>
              <w:rPr>
                <w:rFonts w:ascii="Cambria Math" w:hAnsi="Cambria Math"/>
              </w:rPr>
            </m:ctrlPr>
          </m:accPr>
          <m:e>
            <m:r>
              <w:rPr>
                <w:rFonts w:ascii="Cambria Math" w:hAnsi="Cambria Math"/>
              </w:rPr>
              <m:t>r</m:t>
            </m:r>
          </m:e>
        </m:acc>
      </m:oMath>
      <w:r w:rsidR="00AD48F0" w:rsidRPr="006C17C8">
        <w:t xml:space="preserve"> = .22), and the power analyses recommended sample sizes </w:t>
      </w:r>
      <w:r w:rsidR="003E6461" w:rsidRPr="006C17C8">
        <w:t xml:space="preserve">nearly 10 times larger </w:t>
      </w:r>
      <w:r w:rsidR="00B02D9A" w:rsidRPr="006C17C8">
        <w:t xml:space="preserve">than the original </w:t>
      </w:r>
      <w:r w:rsidR="00AD48F0" w:rsidRPr="006C17C8">
        <w:t>(</w:t>
      </w:r>
      <w:r w:rsidR="00AD48F0" w:rsidRPr="006C17C8">
        <w:rPr>
          <w:i/>
          <w:iCs/>
        </w:rPr>
        <w:t>N</w:t>
      </w:r>
      <w:r w:rsidR="00AD48F0" w:rsidRPr="006C17C8">
        <w:t xml:space="preserve"> &gt; </w:t>
      </w:r>
      <w:r w:rsidR="00FC70A0" w:rsidRPr="006C17C8">
        <w:t>346</w:t>
      </w:r>
      <w:r w:rsidR="00AD48F0" w:rsidRPr="006C17C8">
        <w:t>)</w:t>
      </w:r>
      <w:r w:rsidR="008272B7" w:rsidRPr="006C17C8">
        <w:t xml:space="preserve">, which no published </w:t>
      </w:r>
      <w:r w:rsidR="00427F19" w:rsidRPr="006C17C8">
        <w:t xml:space="preserve">original </w:t>
      </w:r>
      <w:r w:rsidR="008272B7" w:rsidRPr="006C17C8">
        <w:t xml:space="preserve">study </w:t>
      </w:r>
      <w:r w:rsidR="00427F19" w:rsidRPr="006C17C8">
        <w:t xml:space="preserve">using the IRAP </w:t>
      </w:r>
      <w:r w:rsidR="008272B7" w:rsidRPr="006C17C8">
        <w:t>has met</w:t>
      </w:r>
      <w:r w:rsidR="00AD48F0" w:rsidRPr="006C17C8">
        <w:t xml:space="preserve">. </w:t>
      </w:r>
      <w:r w:rsidR="00AD3AA4" w:rsidRPr="006C17C8">
        <w:t xml:space="preserve">In aggregate, this seriously undermines the credibility and utility of the original article’s conclusions and recommendations. </w:t>
      </w:r>
      <w:r w:rsidR="00747CBF" w:rsidRPr="006C17C8">
        <w:t xml:space="preserve">Vahey et al. (2015) </w:t>
      </w:r>
      <w:r w:rsidR="004F0E14" w:rsidRPr="006C17C8">
        <w:t>appears to</w:t>
      </w:r>
      <w:r w:rsidR="00747CBF" w:rsidRPr="006C17C8">
        <w:t xml:space="preserve"> need substantial correction</w:t>
      </w:r>
      <w:r w:rsidR="000F5299" w:rsidRPr="006C17C8">
        <w:t xml:space="preserve">. </w:t>
      </w:r>
      <w:r w:rsidR="0028714C" w:rsidRPr="006C17C8">
        <w:t>In particular, r</w:t>
      </w:r>
      <w:r w:rsidR="00747CBF" w:rsidRPr="006C17C8">
        <w:t xml:space="preserve">esearchers should </w:t>
      </w:r>
      <w:r w:rsidR="001C29F6" w:rsidRPr="006C17C8">
        <w:t xml:space="preserve">not </w:t>
      </w:r>
      <w:r w:rsidR="0028714C" w:rsidRPr="006C17C8">
        <w:t xml:space="preserve">rely on its results for </w:t>
      </w:r>
      <w:r w:rsidR="005D4060" w:rsidRPr="006C17C8">
        <w:t xml:space="preserve">sample size justification. </w:t>
      </w:r>
      <w:r w:rsidR="00947136" w:rsidRPr="006C17C8">
        <w:t>A list of suggest</w:t>
      </w:r>
      <w:r w:rsidR="000416BA" w:rsidRPr="006C17C8">
        <w:t>ion</w:t>
      </w:r>
      <w:r w:rsidR="00947136" w:rsidRPr="006C17C8">
        <w:t xml:space="preserve">s for error detection in meta-analyses is provided. </w:t>
      </w:r>
      <w:r w:rsidR="0086667E" w:rsidRPr="006C17C8">
        <w:t xml:space="preserve">All code and data available at </w:t>
      </w:r>
      <w:hyperlink r:id="rId8" w:history="1">
        <w:r w:rsidR="0086667E" w:rsidRPr="006C17C8">
          <w:rPr>
            <w:rStyle w:val="Hyperlink"/>
          </w:rPr>
          <w:t>osf.io/jg8td</w:t>
        </w:r>
      </w:hyperlink>
      <w:r w:rsidR="0086667E" w:rsidRPr="006C17C8">
        <w:t>.</w:t>
      </w:r>
    </w:p>
    <w:p w14:paraId="56D87223" w14:textId="77777777" w:rsidR="00167923" w:rsidRPr="00034410" w:rsidRDefault="00167923" w:rsidP="00F0388F">
      <w:pPr>
        <w:ind w:firstLine="0"/>
      </w:pPr>
    </w:p>
    <w:p w14:paraId="489F84A7" w14:textId="77777777" w:rsidR="00F0388F" w:rsidRDefault="00F0388F" w:rsidP="00034410">
      <w:pPr>
        <w:sectPr w:rsidR="00F0388F" w:rsidSect="00273625">
          <w:footerReference w:type="even" r:id="rId9"/>
          <w:footerReference w:type="default" r:id="rId10"/>
          <w:pgSz w:w="11900" w:h="16840"/>
          <w:pgMar w:top="1440" w:right="1440" w:bottom="1440" w:left="1440" w:header="709" w:footer="709" w:gutter="0"/>
          <w:cols w:space="708"/>
          <w:docGrid w:linePitch="360"/>
          <w15:footnoteColumns w:val="1"/>
        </w:sectPr>
      </w:pPr>
    </w:p>
    <w:p w14:paraId="2AB0CFA3" w14:textId="77777777" w:rsidR="0080605A" w:rsidRPr="00E92FBB" w:rsidRDefault="00000000" w:rsidP="0080605A">
      <w:pPr>
        <w:ind w:firstLine="0"/>
      </w:pPr>
      <w:r>
        <w:t xml:space="preserve">There is now a growing literature on post-publication scientific error detection in meta-analyses. Much of this has focused on quantifying the prevalence of issues that undermine the validity of meta-analysis results, such as errors in effect size extraction </w:t>
      </w:r>
      <w:r>
        <w:fldChar w:fldCharType="begin"/>
      </w:r>
      <w:r>
        <w:instrText xml:space="preserve"> ADDIN ZOTERO_ITEM CSL_CITATION {"citationID":"MK9rz5ZD","properties":{"formattedCitation":"(e.g., G\\uc0\\u248{}tzsche et al., 2007; Lakens et al., 2017; Maassen et al., 2020)","plainCitation":"(e.g., Gøtzsche et al., 2007; Lakens et al., 2017; Maassen et al., 2020)","noteIndex":0},"citationItems":[{"id":4753,"uris":["http://zotero.org/users/1687755/items/QR5MWFKZ"],"itemData":{"id":4753,"type":"article-journal","abstract":"ContextMeta-analysis of trials that have used different continuous or rating scales to record outcomes of a similar nature requires sophisticated data handling and data transformation to a uniform scale, the standardized mean difference (SMD). It is not known how reliable such meta-analyses are.ObjectiveTo study whether SMDs in meta-analyses are accurate.Data SourcesSystematic review of meta-analyses published in 2004 that reported a result as an SMD, with no language restrictions. Two trials were randomly selected from each meta-analysis. We attempted to replicate the results in each meta-analysis by independently calculating SMD using Hedges adjusted g.Data ExtractionOur primary outcome was the proportion of meta-analyses for which our result differed from that of the authors by 0.1 or more, either for the point estimate or for its confidence interval, for at least 1 of the 2 selected trials. We chose 0.1 as cut point because many commonly used treatments have an effect of 0.1 to 0.5, compared with placebo.ResultsOf the 27 meta-analyses included in this study, we could not replicate the result for at least 1 of the 2 trials within 0.1 in 10 of the meta-analyses (37%), and in 4 cases, the discrepancy was 0.6 or more for the point estimate. Common problems were erroneous number of patients, means, standard deviations, and sign for the effect estimate. In total, 17 meta-analyses (63%) had errors for at least 1 of the 2 trials examined. For the 10 meta-analyses with errors of at least 0.1, we checked the data from all the trials and conducted our own meta-analysis, using the authors' methods. Seven of these 10 meta-analyses were erroneous (70%); 1 was subsequently retracted, and in 2 a significant difference disappeared or appeared.ConclusionsThe high proportion of meta-analyses based on SMDs that show errors indicates that although the statistical process is ostensibly simple, data extraction is particularly liable to errors that can negate or even reverse the findings of the study. This has implications for researchers and implies that all readers, including journal reviewers and policy makers, should approach such meta-analyses with caution.","container-title":"JAMA","DOI":"10.1001/jama.298.4.430","ISSN":"0098-7484","issue":"4","journalAbbreviation":"JAMA","page":"430-437","source":"Silverchair","title":"Data Extraction Errors in Meta-analyses That Use Standardized Mean Differences","volume":"298","author":[{"family":"Gøtzsche","given":"Peter C."},{"family":"Hróbjartsson","given":"Asbjørn"},{"family":"Marić","given":"Katja"},{"family":"Tendal","given":"Britta"}],"issued":{"date-parts":[["2007",7,25]]}},"label":"page","prefix":"e.g., "},{"id":4644,"uris":["http://zotero.org/users/1687755/items/IBB5XYVT"],"itemData":{"id":4644,"type":"report","abstract":"Meta-analyses are an important tool to evaluate the literature. It is essential that meta-analyses can easily be reproduced to allow researchers to evaluate the impact of subjective choices on meta-analytic effect sizes, but also to update meta-analyses as new data comes in, or as novel statistical techniques (for example to correct for publication bias) are developed. Research in medicine has revealed meta-analyses often cannot be reproduced. In this project, we examined the reproducibility of meta-analyses in psychology by reproducing twenty published meta-analyses. Reproducing published meta-analyses was surprisingly difficult. 96% of meta-analyses published in 2013-2014 did not adhere to reporting guidelines. A third of these meta-analyses did not contain a table specifying all individual effect sizes. Five of the 20 randomly selected meta-analyses we attempted to reproduce could not be reproduced at all due to lack of access to raw data, no details about the effect sizes extracted from each study, or a lack of information about how effect sizes were coded. In the remaining meta-analyses, differences between the reported and reproduced effect size or sample size were common. We discuss a range of possible improvements, such as more clearly indicating which data were used to calculate an effect size, specifying all individual effect sizes, adding detailed information about equations that are used, and how multiple effect size estimates from the same study are combined, but also sharing raw data retrieved from original authors, or unpublished research reports. This project clearly illustrates there is a lot of room for improvement when it comes to the transparency and reproducibility of published meta-analyses.","genre":"preprint","note":"DOI: 10.31222/osf.io/xfbjf","publisher":"BITSS","source":"DOI.org (Crossref)","title":"Examining the Reproducibility of Meta-Analyses in Psychology: A Preliminary Report","title-short":"Examining the Reproducibility of Meta-Analyses in Psychology","URL":"https://osf.io/xfbjf","author":[{"family":"Lakens","given":"Daniël"},{"family":"Page-Gould","given":"Elizabeth"},{"family":"Assen","given":"Marcel A. L. M.","non-dropping-particle":"van"},{"family":"Spellman","given":"Bobbie"},{"family":"Schönbrodt","given":"Felix D."},{"family":"Hasselman","given":"Fred"},{"family":"Corker","given":"Katherine S."},{"family":"Grange","given":"Jim"},{"family":"Sharples","given":"Amanda"},{"family":"Cavender","given":"Corinne"},{"family":"Augusteijn","given":"Hilde"},{"family":"Augusteijn","given":"Hilde"},{"family":"Gerger","given":"Heike"},{"family":"Locher","given":"Cosima"},{"family":"Miller","given":"Ian Dennis"},{"family":"Anvari","given":"Farid"},{"family":"Scheel","given":"Anne M."}],"accessed":{"date-parts":[["2020",6,17]]},"issued":{"date-parts":[["2017",3,31]]}}},{"id":4654,"uris":["http://zotero.org/users/1687755/items/WUWAGAGT"],"itemData":{"id":4654,"type":"article-journal","abstract":"To determine the reproducibility of psychological meta-analyses, we investigated whether we could reproduce 500 primary study effect sizes drawn from 33 published meta-analyses based on the information given in the meta-analyses, and whether recomputations of primary study effect sizes altered the overall results of the meta-analysis. Results showed that almost half (k = 224) of all sampled primary effect sizes could not be reproduced based on the reported information in the meta-analysis, mostly because of incomplete or missing information on how effect sizes from primary studies were selected and computed. Overall, this led to small discrepancies in the computation of mean effect sizes, confidence intervals and heterogeneity estimates in 13 out of 33 meta-analyses. We provide recommendations to improve transparency in the reporting of the entire meta-analytic process, including the use of preregistration, data and workflow sharing, and explicit coding practices.","container-title":"PLOS ONE","DOI":"10.1371/journal.pone.0233107","ISSN":"1932-6203","issue":"5","journalAbbreviation":"PLOS ONE","language":"en","note":"publisher: Public Library of Science","page":"e0233107","source":"PLoS Journals","title":"Reproducibility of individual effect sizes in meta-analyses in psychology","volume":"15","author":[{"family":"Maassen","given":"Esther"},{"family":"Assen","given":"Marcel A. L. M.","dropping-particle":"van"},{"family":"Nuijten","given":"Michèle B."},{"family":"Olsson-Collentine","given":"Anton"},{"family":"Wicherts","given":"Jelte M."}],"issued":{"date-parts":[["2020",5,27]]}}}],"schema":"https://github.com/citation-style-language/schema/raw/master/csl-citation.json"} </w:instrText>
      </w:r>
      <w:r>
        <w:fldChar w:fldCharType="separate"/>
      </w:r>
      <w:r w:rsidRPr="00C11413">
        <w:t>(e.g., Gøtzsche et al., 2007; Lakens et al., 2017; Maassen et al., 2020)</w:t>
      </w:r>
      <w:r>
        <w:fldChar w:fldCharType="end"/>
      </w:r>
      <w:r>
        <w:t xml:space="preserve">, or indicators of reproducibility such as the </w:t>
      </w:r>
      <w:r w:rsidRPr="00C11413">
        <w:t>reproducib</w:t>
      </w:r>
      <w:r>
        <w:t xml:space="preserve">ility of the systematic </w:t>
      </w:r>
      <w:r w:rsidRPr="00C11413">
        <w:t xml:space="preserve">search </w:t>
      </w:r>
      <w:r>
        <w:t xml:space="preserve">strategy, </w:t>
      </w:r>
      <w:r w:rsidRPr="00C11413">
        <w:t xml:space="preserve">specification of the exact method to compute effect sizes, </w:t>
      </w:r>
      <w:r>
        <w:t xml:space="preserve">choice of </w:t>
      </w:r>
      <w:r w:rsidRPr="00C11413">
        <w:t>weighting</w:t>
      </w:r>
      <w:r>
        <w:t>s</w:t>
      </w:r>
      <w:r w:rsidRPr="00C11413">
        <w:t xml:space="preserve"> and estimator</w:t>
      </w:r>
      <w:r>
        <w:t xml:space="preserve"> function</w:t>
      </w:r>
      <w:r w:rsidRPr="00C11413">
        <w:t xml:space="preserve">, </w:t>
      </w:r>
      <w:r>
        <w:t xml:space="preserve">and sharing of data and code </w:t>
      </w:r>
      <w:r>
        <w:fldChar w:fldCharType="begin"/>
      </w:r>
      <w:r>
        <w:instrText xml:space="preserve"> ADDIN ZOTERO_ITEM CSL_CITATION {"citationID":"Ms4MoTlj","properties":{"formattedCitation":"(L\\uc0\\u243{}pez-Nicol\\uc0\\u225{}s et al., 2022)","plainCitation":"(López-Nicolás et al., 2022)","noteIndex":0},"citationItems":[{"id":4600,"uris":["http://zotero.org/users/1687755/items/MH7F7IGH"],"itemData":{"id":4600,"type":"article-journal","abstract":"Meta-analysis is a powerful and important tool to synthesize the literature about a research topic. Like other kinds of research, meta-analyses must be reproducible to be compliant with the principles of the scientific method. Furthermore, reproducible meta-analyses can be easily updated with new data and reanalysed applying new and more refined analysis techniques. We attempted to empirically assess the prevalence of transparency and reproducibility-related reporting practices in published meta-analyses from clinical psychology by examining a random sample of 100 meta-analyses. Our purpose was to identify the key points that could be improved, with the aim of providing some recommendations for carrying out reproducible meta-analyses. We conducted a meta-review of meta-analyses of psychological interventions published between 2000 and 2020. We searched PubMed, PsycInfo and Web of Science databases. A structured coding form to assess transparency indicators was created based on previous studies and existing meta-analysis guidelines. We found major issues concerning: completely reproducible search procedures report, specification of the exact method to compute effect sizes, choice of weighting factors and estimators, lack of availability of the raw statistics used to compute the effect size and of interoperability of available data, and practically total absence of analysis script code sharing. Based on our findings, we conclude with recommendations intended to improve the transparency, openness, and reproducibility-related reporting practices of meta-analyses in clinical psychology and related areas.","container-title":"Behavior Research Methods","DOI":"10.3758/s13428-021-01644-z","ISSN":"1554-3528","issue":"1","journalAbbreviation":"Behav Res","language":"en","page":"334-349","source":"Springer Link","title":"A meta-review of transparency and reproducibility-related reporting practices in published meta-analyses on clinical psychological interventions (2000–2020)","volume":"54","author":[{"family":"López-Nicolás","given":"Rubén"},{"family":"López-López","given":"José Antonio"},{"family":"Rubio-Aparicio","given":"María"},{"family":"Sánchez-Meca","given":"Julio"}],"issued":{"date-parts":[["2022",2,1]]}}}],"schema":"https://github.com/citation-style-language/schema/raw/master/csl-citation.json"} </w:instrText>
      </w:r>
      <w:r>
        <w:fldChar w:fldCharType="separate"/>
      </w:r>
      <w:r w:rsidRPr="00C11413">
        <w:t>(López-Nicolás et al., 2022)</w:t>
      </w:r>
      <w:r>
        <w:fldChar w:fldCharType="end"/>
      </w:r>
      <w:r>
        <w:t>. More recently, this has been supplemented with</w:t>
      </w:r>
      <w:r w:rsidR="00224408">
        <w:t xml:space="preserve"> work that is explicitly focused on</w:t>
      </w:r>
      <w:r>
        <w:t xml:space="preserve"> error detection that has the goal of examining what features of a meta-analysis can be checked and how, and where meta-analyses tend to </w:t>
      </w:r>
      <w:r>
        <w:t xml:space="preserve">make errors </w:t>
      </w:r>
      <w:r>
        <w:fldChar w:fldCharType="begin"/>
      </w:r>
      <w:r>
        <w:instrText xml:space="preserve"> ADDIN ZOTERO_ITEM CSL_CITATION {"citationID":"0ufZDgN2","properties":{"formattedCitation":"(Kadlec et al., 2023)","plainCitation":"(Kadlec et al., 2023)","noteIndex":0},"citationItems":[{"id":54,"uris":["http://zotero.org/users/1687755/items/WWKVT2EA"],"itemData":{"id":54,"type":"article-journal","abstract":"Meta-analysis and meta-regression are often highly cited and may influence practice. Unfortunately, statistical errors in meta-analyses are widespread and can lead to flawed conclusions. The purpose of this article was to review common statistical errors in meta-analyses and to document their frequency in highly cited meta-analyses from strength and conditioning research.","container-title":"Sports Medicine","DOI":"10.1007/s40279-022-01766-0","ISSN":"1179-2035","issue":"2","journalAbbreviation":"Sports Med","language":"en","page":"313-325","source":"Springer Link","title":"With Great Power Comes Great Responsibility: Common Errors in Meta-Analyses and Meta-Regressions in Strength &amp; Conditioning Research","title-short":"With Great Power Comes Great Responsibility","volume":"53","author":[{"family":"Kadlec","given":"Daniel"},{"family":"Sainani","given":"Kristin L."},{"family":"Nimphius","given":"Sophia"}],"issued":{"date-parts":[["2023",2,1]]}},"label":"page"}],"schema":"https://github.com/citation-style-language/schema/raw/master/csl-citation.json"} </w:instrText>
      </w:r>
      <w:r>
        <w:fldChar w:fldCharType="separate"/>
      </w:r>
      <w:r>
        <w:rPr>
          <w:noProof/>
        </w:rPr>
        <w:t>(Kadlec et al., 2023)</w:t>
      </w:r>
      <w:r>
        <w:fldChar w:fldCharType="end"/>
      </w:r>
      <w:r>
        <w:t>. Th</w:t>
      </w:r>
      <w:r w:rsidR="00F063CD">
        <w:t>is</w:t>
      </w:r>
      <w:r>
        <w:t xml:space="preserve"> article continues in this vein: following the logic of error detection tools for original research articles </w:t>
      </w:r>
      <w:r>
        <w:fldChar w:fldCharType="begin"/>
      </w:r>
      <w:r>
        <w:instrText xml:space="preserve"> ADDIN ZOTERO_ITEM CSL_CITATION {"citationID":"AadGykF4","properties":{"formattedCitation":"(e.g., Heathers et al., 2018)","plainCitation":"(e.g., Heathers et al., 2018)","noteIndex":0},"citationItems":[{"id":75,"uris":["http://zotero.org/users/1687755/items/M3ZLFXPT"],"itemData":{"id":75,"type":"report","abstract":"Scientific publications have not traditionally been accompanied by data, either during the peer review process or when published. Concern has arisen that the literature in many fields may contain inaccuracies or errors that cannot be detected without inspecting the original data. Here, we introduce SPRITE (Sample Parameter Reconstruction via Interative TEchniques), a heuristic method for reconstructing plausible samples from descriptive statistics of granular data, allowing reviewers, editors, readers, and future researchers to gain insights into the possible distributions of item values in the original data set. This paper presents the principles of operation of SPRITE, as well as worked examples of its practical use for error detection in real published work. Full source code for three software implementations of SPRITE (in MATLAB, R, and Python) and two web-based implementations requiring no local installation (1, 2) are available for readers.","language":"en","note":"ISSN: 2167-9843\nDOI: 10.7287/peerj.preprints.26968v1","number":"e26968v1","publisher":"PeerJ Inc.","source":"peerj.com","title":"Recovering data from summary statistics: Sample Parameter Reconstruction via Iterative TEchniques (SPRITE)","title-short":"Recovering data from summary statistics","URL":"https://peerj.com/preprints/26968","author":[{"family":"Heathers","given":"James A."},{"family":"Anaya","given":"Jordan"},{"family":"Zee","given":"Tim","dropping-particle":"van der"},{"family":"Brown","given":"Nicholas JL"}],"accessed":{"date-parts":[["2023",5,31]]},"issued":{"date-parts":[["2018",5,30]]}},"label":"page","prefix":"e.g., "}],"schema":"https://github.com/citation-style-language/schema/raw/master/csl-citation.json"} </w:instrText>
      </w:r>
      <w:r>
        <w:fldChar w:fldCharType="separate"/>
      </w:r>
      <w:r>
        <w:rPr>
          <w:noProof/>
        </w:rPr>
        <w:t>(e.g., Heathers et al., 2018)</w:t>
      </w:r>
      <w:r>
        <w:fldChar w:fldCharType="end"/>
      </w:r>
      <w:r>
        <w:t xml:space="preserve">, it focuses on features of meta-analyses that are either informative but often overlooked or that repeat information. Both provide vectors for error detection. </w:t>
      </w:r>
      <w:r w:rsidR="0074245E">
        <w:t xml:space="preserve">Indeed, these principles of examining overlooked repeated information to assess the trustworthiness of published work are now being integrated into Cochrane’s systematic review process </w:t>
      </w:r>
      <w:r w:rsidR="0074245E">
        <w:fldChar w:fldCharType="begin"/>
      </w:r>
      <w:r w:rsidR="0074245E">
        <w:instrText xml:space="preserve"> ADDIN ZOTERO_ITEM CSL_CITATION {"citationID":"IBHTGa12","properties":{"formattedCitation":"(Wilkinson et al., 2023)","plainCitation":"(Wilkinson et al., 2023)","noteIndex":0},"citationItems":[{"id":26250,"uris":["http://zotero.org/users/1687755/items/GPA4IIIS"],"itemData":{"id":26250,"type":"article","abstract":"Introduction Randomised controlled trials (RCTs) inform healthcare decisions. It is now apparent that some published RCTs contain false data, and some appear to have been entirely fabricated. Systematic reviews are performed to identify and synthesise all RCTs that have been conducted on a given topic. While it is usual to assess methodological features of the RCTs in the process of undertaking a systematic review, it is not usual to consider whether the RCTs contain false data. Studies containing false data therefore go unnoticed, and contribute to systematic review conclusions. The INSPECT-SR project will develop a tool to assess the trustworthiness of RCTs in systematic reviews of healthcare related interventions.\nMethods and analysis The INSPECT-SR tool will be developed using expert consensus in combination with empirical evidence, over five stages: 1) a survey of experts to assemble a comprehensive list of checks for detecting problematic RCTs, 2) an evaluation of the feasibility and impact of applying the checks to systematic reviews, 3) a Delphi survey to determine which of the checks are supported by expert consensus, culminating in 4) a consensus meeting to select checks to be included in a draft tool and to determine its format, 5) prospective testing of the draft tool in the production of new health systematic reviews, to allow refinement based on user feedback. We anticipate that the INSPECT-SR tool will help researchers to identify problematic studies, and will help patients by protecting them from the influence of false data on their healthcare.","DOI":"10.1101/2023.09.21.23295626","language":"en","license":"© 2023, Posted by Cold Spring Harbor Laboratory. This pre-print is available under a Creative Commons License (Attribution 4.0 International), CC BY 4.0, as described at http://creativecommons.org/licenses/by/4.0/","note":"page: 2023.09.21.23295626","publisher":"medRxiv","source":"medRxiv","title":"Protocol for the development of a tool (INSPECT-SR) to identify problematic randomised controlled trials in systematic reviews of health interventions","URL":"https://www.medrxiv.org/content/10.1101/2023.09.21.23295626v1","author":[{"family":"Wilkinson","given":"Jack"},{"family":"Heal","given":"Calvin"},{"family":"Antoniou","given":"George A."},{"family":"Alfirevic","given":"Zarko"},{"family":"Avenell","given":"Alison"},{"family":"Barbour","given":"Virginia"},{"family":"Brown","given":"Nicholas J. L."},{"family":"Carlisle","given":"John"},{"family":"Dicker","given":"Patrick"},{"family":"Dumville","given":"Jo"},{"family":"Grey","given":"Andrew"},{"family":"Gurrin","given":"Lyle C."},{"family":"Hayden","given":"Jill A."},{"family":"Heathers","given":"James"},{"family":"Hunter","given":"Kylie E."},{"family":"Lasserson","given":"Toby"},{"family":"Lam","given":"Emily"},{"family":"Lensen","given":"Sarah"},{"family":"Li","given":"Tianjing"},{"family":"Li","given":"Wentao"},{"family":"Loder","given":"Elizabeth"},{"family":"Lundh","given":"Andreas"},{"family":"Meyerowitz-Katz","given":"Gideon"},{"family":"Mol","given":"Ben W."},{"family":"Connell","given":"Neil E. O’"},{"family":"Parker","given":"Lisa"},{"family":"Redman","given":"Barbara K."},{"family":"Seidler","given":"Anna Lene"},{"family":"Sheldrick","given":"Kyle A."},{"family":"Sydenham","given":"Emma"},{"family":"Torgerson","given":"David J."},{"family":"Wely","given":"Madelon","dropping-particle":"van"},{"family":"Wang","given":"Rui"},{"family":"Bero","given":"Lisa"},{"family":"Kirkham","given":"Jamie J."}],"accessed":{"date-parts":[["2024",1,24]]},"issued":{"date-parts":[["2023",9,25]]}}}],"schema":"https://github.com/citation-style-language/schema/raw/master/csl-citation.json"} </w:instrText>
      </w:r>
      <w:r w:rsidR="0074245E">
        <w:fldChar w:fldCharType="separate"/>
      </w:r>
      <w:r w:rsidR="0074245E">
        <w:rPr>
          <w:noProof/>
        </w:rPr>
        <w:t>(Wilkinson et al., 2023)</w:t>
      </w:r>
      <w:r w:rsidR="0074245E">
        <w:fldChar w:fldCharType="end"/>
      </w:r>
      <w:r w:rsidR="0074245E">
        <w:t xml:space="preserve">. </w:t>
      </w:r>
      <w:r>
        <w:t xml:space="preserve">The intended meta-scientific utility of this manuscript is therefore to provide a relatively fine-grain description of what information was inspected for errors and how, in the hope that some of these methods of </w:t>
      </w:r>
      <w:r w:rsidRPr="00E92FBB">
        <w:lastRenderedPageBreak/>
        <w:t>verification allow other meta-analyses to be more efficiently and effectively inspected for errors.</w:t>
      </w:r>
    </w:p>
    <w:p w14:paraId="3EB539E4" w14:textId="707283B6" w:rsidR="00BC1572" w:rsidRDefault="00DA092D" w:rsidP="00C93578">
      <w:r>
        <w:t xml:space="preserve">Briefly, </w:t>
      </w:r>
      <w:r w:rsidR="00BC1572" w:rsidRPr="00E92FBB">
        <w:t xml:space="preserve">Implicit Relational Assessment Procedure </w:t>
      </w:r>
      <w:r w:rsidR="007F3475" w:rsidRPr="00E92FBB">
        <w:fldChar w:fldCharType="begin"/>
      </w:r>
      <w:r w:rsidR="007F3475" w:rsidRPr="00E92FBB">
        <w:instrText xml:space="preserve"> ADDIN ZOTERO_ITEM CSL_CITATION {"citationID":"GegimLVW","properties":{"formattedCitation":"(IRAP: Barnes-Holmes et al., 2006, 2010)","plainCitation":"(IRAP: Barnes-Holmes et al., 2006, 2010)","noteIndex":0},"citationItems":[{"id":1724,"uris":["http://zotero.org/users/1687755/items/A8CJRWUP"],"itemData":{"id":1724,"type":"article-journal","container-title":"The Irish Psychologist","issue":"7","page":"169–177","source":"Google Scholar","title":"Do you really know what you believe? Developing the Implicit Relational Assessment Procedure (IRAP) as a direct measure of implicit beliefs","title-short":"Do you really know what you believe?","volume":"32","author":[{"family":"Barnes-Holmes","given":"Dermot"},{"family":"Barnes-Holmes","given":"Yvonne"},{"family":"Power","given":"Patricia"},{"family":"Hayden","given":"Eilish"},{"family":"Milne","given":"Rebecca"},{"family":"Stewart","given":"Ian"}],"issued":{"date-parts":[["2006"]]}},"label":"page","prefix":"IRAP: "},{"id":4868,"uris":["http://zotero.org/users/1687755/items/XI3TJMRH"],"itemData":{"id":4868,"type":"article-journal","container-title":"The Psychological Record","DOI":"https://doi.org/10.1007/BF03395726","issue":"3","page":"527-542","title":"A sketch of the Implicit Relational Assessment Procedure (IRAP) and the Relational Elaboration and Coherence (REC) model","volume":"60","author":[{"family":"Barnes-Holmes","given":"Dermot"},{"family":"Barnes-Holmes","given":"Yvonne"},{"family":"Stewart","given":"Ian"},{"family":"Boles","given":"Shawn"}],"issued":{"date-parts":[["2010"]]}}}],"schema":"https://github.com/citation-style-language/schema/raw/master/csl-citation.json"} </w:instrText>
      </w:r>
      <w:r w:rsidR="007F3475" w:rsidRPr="00E92FBB">
        <w:fldChar w:fldCharType="separate"/>
      </w:r>
      <w:r w:rsidR="007F3475" w:rsidRPr="00E92FBB">
        <w:t>(IRAP: Barnes-Holmes et al., 2006, 2010)</w:t>
      </w:r>
      <w:r w:rsidR="007F3475" w:rsidRPr="00E92FBB">
        <w:fldChar w:fldCharType="end"/>
      </w:r>
      <w:r w:rsidR="007F3475">
        <w:t xml:space="preserve"> is a reaction-time based measure that has been used in over 150 publications </w:t>
      </w:r>
      <w:r w:rsidR="007F3475">
        <w:fldChar w:fldCharType="begin"/>
      </w:r>
      <w:r w:rsidR="007F3475">
        <w:instrText xml:space="preserve"> ADDIN ZOTERO_ITEM CSL_CITATION {"citationID":"mbJoRt8A","properties":{"formattedCitation":"(Hussey, 2023)","plainCitation":"(Hussey, 2023)","noteIndex":0},"citationItems":[{"id":5224,"uris":["http://zotero.org/users/1687755/items/V6AXJF9Q"],"itemData":{"id":5224,"type":"article-journal","abstract":"Following recent calls to examine the replicability of behavioral research, I examined two key determinants of replicability, namely sample sizes and statistical power, in research using the Implicit Relational Assessment Procedure (IRAP). A systematic review was used to gather all published studies employing the IRAP and extract their designs and sample sizes. The use of Null Hypothesis Significance Testing was found to be nearly ubiquitous, justifying the examination of statistical power. Using an established method, median sample sizes were used to estimate the statistical power to detect the average published effect size in psychological research (r = .20) in each year. Sample sizes and the statistical power they imply were found to be very low in IRAP studies (in 2022: median N = 64, power = 0.34). At the current rate of growth, the median study will only reach the recommended minimum power of at least 0.80 by 2080. The IRAP literature was directly compared with the Social and Personality psychology literature using an existing dataset. Median sample sizes and their implied statistical power were lower in the IRAP literature in all years than they were in Social and Personality psychology at the beginning of the Replication Crisis in 2011, and indeed in all subsequent years. Improvements in sample sizes and statistical power in the Social and Personality psychology literature were significantly and substantially larger than in the IRAP literature. Direct tests of the reproducibility and replicability of claims in the IRAP literature are needed.","container-title":"Journal of Contextual Behavioral Science","DOI":"10.1016/j.jcbs.2023.06.008","ISSN":"2212-1447","journalAbbreviation":"Journal of Contextual Behavioral Science","page":"86-97","source":"ScienceDirect","title":"A systematic review of null hypothesis significance testing, sample sizes, and statistical power in research using the Implicit Relational Assessment Procedure","volume":"29","author":[{"family":"Hussey","given":"Ian"}],"issued":{"date-parts":[["2023",7,1]]}}}],"schema":"https://github.com/citation-style-language/schema/raw/master/csl-citation.json"} </w:instrText>
      </w:r>
      <w:r w:rsidR="007F3475">
        <w:fldChar w:fldCharType="separate"/>
      </w:r>
      <w:r w:rsidR="007F3475">
        <w:rPr>
          <w:noProof/>
        </w:rPr>
        <w:t>(Hussey, 2023)</w:t>
      </w:r>
      <w:r w:rsidR="007F3475">
        <w:fldChar w:fldCharType="end"/>
      </w:r>
      <w:r w:rsidR="007F3475">
        <w:t>. Typical implementations of the IRAP</w:t>
      </w:r>
      <w:r w:rsidR="0023388C">
        <w:t xml:space="preserve"> </w:t>
      </w:r>
      <w:r w:rsidR="007F3475">
        <w:t>involve presenting “sample” words</w:t>
      </w:r>
      <w:r w:rsidR="00C93578">
        <w:t xml:space="preserve"> or images</w:t>
      </w:r>
      <w:r w:rsidR="007F3475">
        <w:t xml:space="preserve"> at the top of the screen and “target” words</w:t>
      </w:r>
      <w:r w:rsidR="00C93578">
        <w:t xml:space="preserve"> or images</w:t>
      </w:r>
      <w:r w:rsidR="007F3475">
        <w:t xml:space="preserve"> in the middle of the screen. Participants must respond with one of two response options that involve opposing relational terms, such as True/False or (</w:t>
      </w:r>
      <w:r w:rsidR="006B4B14">
        <w:t xml:space="preserve">more rarely) similar/different, which are assigned to a left vs. right response key on the keyboard. </w:t>
      </w:r>
      <w:r w:rsidR="00C93578">
        <w:t xml:space="preserve">Participants complete pairs of blocks of trials, most commonly three pairs of blocks of ‘consistent’ vs. ‘inconsistent’ trials, with 24 trials per block. Each trial requires the participant to provide a specific response to advance to the next trial. The other incorrect response causes corrective feedback to be presented on screen, most commonly a red X. The required response swaps between blocks. For example, a disgust IRAP could employ disgusting vs. pleasant images as sample stimuli and positive vs. negative words as target stimuli. On the ‘consistent’ blocks, when presented with a disgusting image and the words “I feel sick”, the required response would be “True”. On ‘inconsistent’ blocks, the required response would instead be “False”. </w:t>
      </w:r>
      <w:r w:rsidR="008F6DD8">
        <w:t>Participants are instructed and trained to maintain accuracy and speed criteria in practice blocks (e.g., median reaction time &lt; 2000ms and percentage accuracy &gt; 80%)</w:t>
      </w:r>
      <w:r w:rsidR="00982F6A">
        <w:t xml:space="preserve"> before being presented with a fixed number of test blocks. </w:t>
      </w:r>
      <w:r w:rsidR="00BB7CA7">
        <w:t>Reaction time d</w:t>
      </w:r>
      <w:r w:rsidR="00982F6A">
        <w:t xml:space="preserve">ata from the test blocks are typically scored using a version of the Greenwald </w:t>
      </w:r>
      <w:r w:rsidR="00982F6A" w:rsidRPr="00982F6A">
        <w:rPr>
          <w:i/>
          <w:iCs/>
        </w:rPr>
        <w:t>D</w:t>
      </w:r>
      <w:r w:rsidR="00982F6A">
        <w:t xml:space="preserve"> metric developed for the Implicit Association Test </w:t>
      </w:r>
      <w:r w:rsidR="00982F6A">
        <w:fldChar w:fldCharType="begin"/>
      </w:r>
      <w:r w:rsidR="00475EDA">
        <w:instrText xml:space="preserve"> ADDIN ZOTERO_ITEM CSL_CITATION {"citationID":"kHOXouLU","properties":{"unsorted":true,"formattedCitation":"(Greenwald et al., 2003; Hussey et al., 2015; although for issues with D and a more robust alterantive see De Schryver et al., 2018)","plainCitation":"(Greenwald et al., 2003; Hussey et al., 2015; although for issues with D and a more robust alterantive see De Schryver et al., 2018)","noteIndex":0},"citationItems":[{"id":1735,"uris":["http://zotero.org/users/1687755/items/BDWCSHP8"],"itemData":{"id":1735,"type":"article-journal","container-title":"Journal of Personality and Social Psychology","DOI":"10.1037/0022-3514.85.2.197","ISSN":"1939-1315, 0022-3514","issue":"2","language":"en","page":"197-216","source":"CrossRef","title":"Understanding and using the Implicit Association Test: I. An improved scoring algorithm.","title-short":"Understanding and using the Implicit Association Test","volume":"85","author":[{"family":"Greenwald","given":"Anthony G."},{"family":"Nosek","given":"Brian A."},{"family":"Banaji","given":"Mahzarin R."}],"issued":{"date-parts":[["2003"]]}}},{"id":2687,"uris":["http://zotero.org/users/1687755/items/QDNB6VD9"],"itemData":{"id":2687,"type":"article-journal","abstract":"This Professional Interest Brief seeks to provide a clear guide to interpreting data generated by Implicit Relational Assessment Procedure (IRAP). The interpretation of IRAP data is not immediately intuitive and yet has received little explicit attention in the published literature. As such, it is hoped that this guide will help clarify this matter, particularly for those new to using the IRAP or intending to use the measure in the future. In doing so, we hope to make the measure more accessible and facilitate continued use of the methodology and its contribution to the contemporary Relational Frame Theory (RFT) literature.","container-title":"Journal of Contextual Behavioral Science","DOI":"10.1016/j.jcbs.2015.05.001","ISSN":"2212-1447","issue":"3","journalAbbreviation":"Journal of Contextual Behavioral Science","page":"157-162","source":"ScienceDirect","title":"Interpreting and inverting with less cursing: A guide to interpreting IRAP data","title-short":"Interpreting and inverting with less cursing","volume":"4","author":[{"family":"Hussey","given":"Ian"},{"family":"Thompson","given":"Miles"},{"family":"McEnteggart","given":"Ciara"},{"family":"Barnes-Holmes","given":"Dermot"},{"family":"Barnes-Holmes","given":"Yvonne"}],"issued":{"date-parts":[["2015",7]]}}},{"id":1101,"uris":["http://zotero.org/users/1687755/items/GWGYDUED"],"itemData":{"id":1101,"type":"article-journal","abstract":"The Implicit Relational Assessment Procedure (IRAP) has been used to assess the probability of arbitrarily applicable relational responding or as an indirect measure of implicit attitudes. To date, IRAP effects have commonly been quantified using the DIRAP scoring algorithm, which was derived from Greenwald, Nosek and Banaji's (2003) D effect size measure. In the article, we highlight the difference between an effect size measure and a scoring algorithm, discuss the drawbacks associated with D, and propose an alternative: a probabilistic, semiparametric measure referred to as the Probabilistic Index (Thas, De Neve, Clement, &amp; Ottoy, 2012). Using a relatively large IRAP dataset, we demonstrate how the PI is more robust to the influence of outliers and skew (which are typical of reaction time data). Finally, we conclude that PI models, in addition to producing point estimate scores, can also provide confidence intervals, significance tests, and afford the possibility to include covariates, all of which may aid single subject design studies.","container-title":"Journal of Contextual Behavioral Science","DOI":"10.1016/j.jcbs.2018.01.001","ISSN":"2212-1447","journalAbbreviation":"Journal of Contextual Behavioral Science","page":"97-103","source":"ScienceDirect","title":"The PIIRAP: An alternative scoring algorithm for the IRAP using a probabilistic semiparametric effect size measure","title-short":"The PIIRAP","volume":"7","author":[{"family":"De Schryver","given":"Maarten"},{"family":"Hussey","given":"Ian"},{"family":"De Neve","given":"Jan"},{"family":"Cartwright","given":"Aoife"},{"family":"Barnes-Holmes","given":"Dermot"}],"issued":{"date-parts":[["2018",1,1]]}},"label":"page","prefix":"although for issues with D and a more robust alterantive see "}],"schema":"https://github.com/citation-style-language/schema/raw/master/csl-citation.json"} </w:instrText>
      </w:r>
      <w:r w:rsidR="00982F6A">
        <w:fldChar w:fldCharType="separate"/>
      </w:r>
      <w:r w:rsidR="00475EDA">
        <w:rPr>
          <w:noProof/>
        </w:rPr>
        <w:t xml:space="preserve">(Greenwald et al., 2003; Hussey et al., 2015; although for issues with </w:t>
      </w:r>
      <w:r w:rsidR="00475EDA" w:rsidRPr="00475EDA">
        <w:rPr>
          <w:i/>
          <w:iCs/>
          <w:noProof/>
        </w:rPr>
        <w:t>D</w:t>
      </w:r>
      <w:r w:rsidR="00475EDA">
        <w:rPr>
          <w:noProof/>
        </w:rPr>
        <w:t xml:space="preserve"> and a more robust alterantive see De Schryver et al., 2018)</w:t>
      </w:r>
      <w:r w:rsidR="00982F6A">
        <w:fldChar w:fldCharType="end"/>
      </w:r>
      <w:r w:rsidR="00F80EE3">
        <w:t xml:space="preserve"> to quantify the IRAP effect: the relative speed at which participants emit one pattern of relational responses relative to the other. This </w:t>
      </w:r>
      <w:r w:rsidR="00D2188C">
        <w:t>effect is sometimes used as a metric of (relational) implicit attitudes or beliefs and at other times is used in the study of the dynamics of relational responding</w:t>
      </w:r>
      <w:r w:rsidR="00DF0C5A">
        <w:t xml:space="preserve">. </w:t>
      </w:r>
    </w:p>
    <w:p w14:paraId="5C1A794E" w14:textId="651147EE" w:rsidR="00C842F7" w:rsidRDefault="00000000" w:rsidP="00F063CD">
      <w:r w:rsidRPr="00034410">
        <w:t xml:space="preserve">Vahey et al.’s </w:t>
      </w:r>
      <w:r w:rsidRPr="00034410">
        <w:fldChar w:fldCharType="begin"/>
      </w:r>
      <w:r w:rsidRPr="00034410">
        <w:instrText xml:space="preserve"> ADDIN ZOTERO_ITEM CSL_CITATION {"citationID":"e3PmKru9","properties":{"formattedCitation":"(2015)","plainCitation":"(2015)","noteIndex":0},"citationItems":[{"id":1617,"uris":["http://zotero.org/users/1687755/items/4SHQ9XKM"],"itemData":{"id":1617,"type":"article-journal","abstract":"AbstractBackground and objectives\nThe Implicit Relational Assessment Procedure (IRAP) is a technique that is attracting a substantial body of research literature, particularly within the clinical domain.\nMethod\nIn response, the present paper outlines a meta-analysis of clinically-focused IRAP effects (N = 494) to provide the first estimate of how well such effects validate against their respective criterion variables in general.\nResults\nThe meta-analysis incorporated clinically-focused IRAP effects from 15 studies yielding a large effect size, r ¯  = .45, with a desirably narrow 95% credibility interval (.23, .67). The funnel plot and subsequent sensitivity analyses indicated that this meta-effect was not subject to publication bias.\nLimitations\nThe present meta-effect is an estimate based upon an IRAP literature that is still evolving rapidly in the clinical domain, and so as per its accompanying credibility interval, all conclusions that follow are necessarily provisional even if bounded. Apart from the fact that the current meta-effect might be subject to inadvertent under- and/or over-estimations of the current literature, the present meta-effect might strengthen with further refinements of the IRAP.\nConclusions\nThe current meta-effect provides the means to calculate what sample size would be required to achieve a statistical power of .80 when testing the criterion validity of clinically-focused IRAP effects using a given parametric statistic. For example, first-order Pearson correlations would hypothetically require an N of 29–37 for such purposes depending upon how conservatively over-estimation of the present meta-effect is controlled for. Overall, the IRAP compares favourably with alternative implicit measures in clinical psychology.","container-title":"Journal of Behavior Therapy and Experimental Psychiatry","DOI":"10.1016/j.jbtep.2015.01.004","ISSN":"0005-7916","journalAbbreviation":"Journal of Behavior Therapy and Experimental Psychiatry","page":"59-65","source":"ScienceDirect","title":"A meta-analysis of criterion effects for the Implicit Relational Assessment Procedure (IRAP) in the clinical domain","volume":"48","author":[{"family":"Vahey","given":"Nigel A."},{"family":"Nicholson","given":"Emma"},{"family":"Barnes-Holmes","given":"Dermot"}],"issued":{"date-parts":[["2015",9]]}},"label":"page","suppress-author":true}],"schema":"https://github.com/citation-style-language/schema/raw/master/csl-citation.json"} </w:instrText>
      </w:r>
      <w:r w:rsidRPr="00034410">
        <w:fldChar w:fldCharType="separate"/>
      </w:r>
      <w:r w:rsidRPr="00034410">
        <w:t>(2015)</w:t>
      </w:r>
      <w:r w:rsidRPr="00034410">
        <w:fldChar w:fldCharType="end"/>
      </w:r>
      <w:r w:rsidR="000D2430" w:rsidRPr="00034410">
        <w:t xml:space="preserve"> meta-analysis concluded that </w:t>
      </w:r>
      <w:r w:rsidR="007F3475">
        <w:t xml:space="preserve">the IRAP </w:t>
      </w:r>
      <w:r w:rsidR="000D2430" w:rsidRPr="00034410">
        <w:t xml:space="preserve">possesses good </w:t>
      </w:r>
      <w:r w:rsidR="007F3475">
        <w:t xml:space="preserve">clinical </w:t>
      </w:r>
      <w:r w:rsidR="000D2430" w:rsidRPr="00034410">
        <w:t xml:space="preserve">criterion validity </w:t>
      </w:r>
      <w:r w:rsidRPr="00034410">
        <w:t xml:space="preserve">and that </w:t>
      </w:r>
      <w:r w:rsidR="007F3475">
        <w:t xml:space="preserve">results </w:t>
      </w:r>
      <w:r w:rsidR="00150CC4">
        <w:t>“</w:t>
      </w:r>
      <w:r w:rsidR="00457274" w:rsidRPr="00034410">
        <w:t>demonstrates the potential of the IRAP as a tool for clinical assessment”</w:t>
      </w:r>
      <w:r w:rsidR="00150CC4">
        <w:t xml:space="preserve"> (p. 64)</w:t>
      </w:r>
      <w:r w:rsidRPr="00034410">
        <w:t xml:space="preserve">. </w:t>
      </w:r>
      <w:r w:rsidR="008513BA" w:rsidRPr="00034410">
        <w:t>Based on a non-systematic review</w:t>
      </w:r>
      <w:r w:rsidR="0038777F">
        <w:t xml:space="preserve"> followed by a meta-analysis</w:t>
      </w:r>
      <w:r w:rsidR="008513BA" w:rsidRPr="00034410">
        <w:t>, th</w:t>
      </w:r>
      <w:r w:rsidR="00702047">
        <w:t>ose</w:t>
      </w:r>
      <w:r w:rsidR="008513BA" w:rsidRPr="00034410">
        <w:t xml:space="preserve"> authors </w:t>
      </w:r>
      <w:r w:rsidR="000D2430" w:rsidRPr="00034410">
        <w:t xml:space="preserve">(a) provided an estimate of the association between IRAP effects and clinically relevant criterion variables, (b) reported that the IRAP compares </w:t>
      </w:r>
      <w:r w:rsidR="00EB7476" w:rsidRPr="00034410">
        <w:t>favorably</w:t>
      </w:r>
      <w:r w:rsidR="000D2430" w:rsidRPr="00034410">
        <w:t xml:space="preserve"> to other popular implicit measures, including the Implicit Association Test </w:t>
      </w:r>
      <w:r w:rsidR="000D2430" w:rsidRPr="00034410">
        <w:fldChar w:fldCharType="begin"/>
      </w:r>
      <w:r w:rsidR="007C23EB" w:rsidRPr="00034410">
        <w:instrText xml:space="preserve"> ADDIN ZOTERO_ITEM CSL_CITATION {"citationID":"ZUfIn3Nj","properties":{"formattedCitation":"(Greenwald et al., 1998)","plainCitation":"(Greenwald et al., 1998)","noteIndex":0},"citationItems":[{"id":1469,"uris":["http://zotero.org/users/1687755/items/DAREVDNK"],"itemData":{"id":1469,"type":"article-journal","abstract":"An implicit association test (IAT) measures differential association of 2 target concepts with an attribute. The 2 concepts appear in a 2-choice task (2-choice task (e.g., flower vs. insect names), and the attribute in a 2nd task (e.g., pleasant vs. unpleasant words for an evaluation attribute). When instructions oblige highly associated categories (e.g., flower + pleasant) to share a response key, performance is faster than when less associated categories (e.g., insect &amp; pleasant) share a key. This performance difference implicitly measures differential association of the 2 concepts with the attribute. In 3 experiments, the IAT was sensitive to (a) near-universal evaluative differences (e.g., flower vs. insect), (b) expected individual differences in evaluative associations (Japanese + pleasant vs. Korean + pleasant for Japanese vs. Korean subjects), and (c) consciously disavowed evaluative differences (Black + pleasant vs. White + pleasant for self-described unprejudiced White subjects).","container-title":"Journal of personality and social psychology","DOI":"10.1037/0022-3514.74.6.1464","ISSN":"0022-3514","issue":"6","journalAbbreviation":"J Pers Soc Psychol","language":"eng","note":"PMID: 9654756","page":"1464-1480","source":"NCBI PubMed","title":"Measuring individual differences in implicit cognition: the Implicit Association Test","title-short":"Measuring individual differences in implicit cognition","volume":"74","author":[{"family":"Greenwald","given":"Anthony G."},{"family":"McGhee","given":"D E"},{"family":"Schwartz","given":"J L"}],"issued":{"date-parts":[["1998",6]]}}}],"schema":"https://github.com/citation-style-language/schema/raw/master/csl-citation.json"} </w:instrText>
      </w:r>
      <w:r w:rsidR="000D2430" w:rsidRPr="00034410">
        <w:fldChar w:fldCharType="separate"/>
      </w:r>
      <w:r w:rsidR="000D2430" w:rsidRPr="00034410">
        <w:t>(Greenwald et al., 1998)</w:t>
      </w:r>
      <w:r w:rsidR="000D2430" w:rsidRPr="00034410">
        <w:fldChar w:fldCharType="end"/>
      </w:r>
      <w:r w:rsidR="000D2430" w:rsidRPr="00034410">
        <w:t>, and (c) used the</w:t>
      </w:r>
      <w:r w:rsidR="00457274" w:rsidRPr="00034410">
        <w:t>ir meta-</w:t>
      </w:r>
      <w:r w:rsidR="00EB7476" w:rsidRPr="00034410">
        <w:t>analyzed</w:t>
      </w:r>
      <w:r w:rsidR="000D2430" w:rsidRPr="00034410">
        <w:t xml:space="preserve"> estimate of effect size to conduct power analyses </w:t>
      </w:r>
      <w:r w:rsidR="008425FE" w:rsidRPr="00034410">
        <w:t xml:space="preserve">and </w:t>
      </w:r>
      <w:r w:rsidR="000D2430" w:rsidRPr="00034410">
        <w:t>make sample size recommendations for future research</w:t>
      </w:r>
      <w:r w:rsidR="00802224" w:rsidRPr="00034410">
        <w:t xml:space="preserve"> using the IRAP</w:t>
      </w:r>
      <w:r w:rsidR="000D2430" w:rsidRPr="00034410">
        <w:t>.</w:t>
      </w:r>
      <w:r w:rsidRPr="00034410">
        <w:t xml:space="preserve"> While there has been a subsequent debate about the degree to which the IRAP is or is not an “</w:t>
      </w:r>
      <w:r w:rsidRPr="005F0161">
        <w:t xml:space="preserve">implicit” measure </w:t>
      </w:r>
      <w:r w:rsidRPr="005F0161">
        <w:fldChar w:fldCharType="begin"/>
      </w:r>
      <w:r w:rsidR="008D3041" w:rsidRPr="005F0161">
        <w:instrText xml:space="preserve"> ADDIN ZOTERO_ITEM CSL_CITATION {"citationID":"uSJLyHHf","properties":{"formattedCitation":"(Barnes-Holmes &amp; Harte, 2022a; Hussey, 2022)","plainCitation":"(Barnes-Holmes &amp; Harte, 2022a; Hussey, 2022)","noteIndex":0},"citationItems":[{"id":4707,"uris":["http://zotero.org/users/1687755/items/DJC2GMQM"],"itemData":{"id":4707,"type":"article-journal","abstract":"The implicit relational assessment procedure (IRAP) was initially developed as a way to assess the strength and probability of natural verbal relations, as defined within relational frame theory (RFT), and was conceptually rooted within the behavior-analytic tradition. However, the IRAP quickly became employed primarily as a measure of implicit cognition, more in line with mainstream psychology than behavior analysis. In doing so, research using the IRAP increasingly employed ill-defined mainstream psychological terms, focused on correlational analyses with traditional psychometry, and thus emphasized prediction over the prediction-and-influence of behavior. Although perhaps beneficial to the study of implicit cognition, this approach could be argued to have limited the IRAP’s utility in behavior analyses of human language and cognition. In the current article we will reflect on this suggestion, on the IRAPs place and current use in the field of behavior analysis, and on its potential future within behavioral psychology in light of recent conceptual and empirical advances in RFT. In doing so, it is hoped that the measure may be refined into a better understood, more precise, functional-analytic tool.","container-title":"Perspectives on Behavior Science","DOI":"10.1007/s40614-022-00352-z","ISSN":"2520-8977","journalAbbreviation":"Perspect Behav Sci","language":"en","source":"Springer Link","title":"The IRAP as a Measure of Implicit Cognition: A Case of Frankenstein’s Monster","title-short":"The IRAP as a Measure of Implicit Cognition","URL":"https://doi.org/10.1007/s40614-022-00352-z","author":[{"family":"Barnes-Holmes","given":"Dermot"},{"family":"Harte","given":"Colin"}],"accessed":{"date-parts":[["2022",8,2]]},"issued":{"date-parts":[["2022",7,29]]}}},{"id":5223,"uris":["http://zotero.org/users/1687755/items/8AY5SY46"],"itemData":{"id":5223,"type":"article-journal","abstract":"Barnes-Holmes &amp; Harte (2022) recently provided an account of the history of the development and use of the Implicit Relational Assessment Procedure (IRAP), and used this account as a springboard for suggestions for future research. Unfortunately, their core assertions are at odds with the published scientific record. This raises questions about the reliability of their recommendations. This reply uses a systematic review of the published IRAP literature to show that, contrary to Barnes-Holmes &amp; Harte’s (2022) account, (1) Barnes-Holmes repeatedly and explicitly stated that the IRAP is an implicit measure, and (2) Barnes-Holmes did not “lose control” of the task. Rather, he and his research group have produced the majority of all IRAP publications. The credibility of Barnes-Holmes &amp; Harte’s (2022) suggestions regarding the future of the IRAP is undermined by their inaccurate account of its past. However, their analogy with Frankenstein’s monster still holds, albeit under an alternative and correct reading of Shelly’s novel as a cautionary tale about scientific recklessness.","container-title":"PsyArXiv","DOI":"10.31234/osf.io/qmg6s","language":"en-us","source":"OSF Preprints","title":"Reply to Barnes-Holmes &amp; Harte (2022) “The IRAP as a Measure of Implicit Cognition: A Case of Frankenstein’s Monster”","title-short":"Reply to Barnes-Holmes &amp; Harte (2022) “The IRAP as a Measure of Implicit Cognition","URL":"https://psyarxiv.com/qmg6s/","author":[{"family":"Hussey","given":"Ian"}],"accessed":{"date-parts":[["2023",1,2]]},"issued":{"date-parts":[["2022",10,5]]}}}],"schema":"https://github.com/citation-style-language/schema/raw/master/csl-citation.json"} </w:instrText>
      </w:r>
      <w:r w:rsidRPr="005F0161">
        <w:fldChar w:fldCharType="separate"/>
      </w:r>
      <w:r w:rsidR="008D3041" w:rsidRPr="005F0161">
        <w:rPr>
          <w:noProof/>
        </w:rPr>
        <w:t xml:space="preserve">(Barnes-Holmes &amp; Harte, 2022a; Hussey, </w:t>
      </w:r>
      <w:r w:rsidR="008D3041" w:rsidRPr="005F0161">
        <w:rPr>
          <w:noProof/>
        </w:rPr>
        <w:t>2022)</w:t>
      </w:r>
      <w:r w:rsidRPr="005F0161">
        <w:fldChar w:fldCharType="end"/>
      </w:r>
      <w:r w:rsidRPr="005F0161">
        <w:t xml:space="preserve">, and indeed what the term even means </w:t>
      </w:r>
      <w:r w:rsidRPr="005F0161">
        <w:fldChar w:fldCharType="begin"/>
      </w:r>
      <w:r w:rsidRPr="005F0161">
        <w:instrText xml:space="preserve"> ADDIN ZOTERO_ITEM CSL_CITATION {"citationID":"wgbMLfX8","properties":{"unsorted":true,"formattedCitation":"(Corneille &amp; H\\uc0\\u252{}tter, 2020)","plainCitation":"(Corneille &amp; Hütter, 2020)","noteIndex":0},"citationItems":[{"id":428,"uris":["http://zotero.org/users/1687755/items/L3DDQX5Y"],"itemData":{"id":428,"type":"article-journal","abstract":"This article provides a comprehensive review of divergent conceptualizations of the “implicit” construct that have emerged in attitude research over the past two decades. In doing so, our goal is to raise awareness of the harmful consequences of conceptual ambiguities associated with this terminology. We identify three main conceptualizations of the “implicitness” construct: the procedural conceptualization (implicit-as-indirect), the functional conceptualization (implicit-as-automatic), and the mental theory conceptualization (implicit-as-associative), as well as two hybrid conceptualizations (implicit-as-indirect-and-automatic, implicit-as-driven-by-affective-gut-reactions). We discuss critical limitations associated with each conceptualization and explain that confusion also arises from their coexistence. We recommend discontinuing the usage of the “implicit” terminology in attitude research and research inspired by it. We offer terminological alternatives aimed at increasing both the precision of theorization and the practical value of future research.","container-title":"Personality and Social Psychology Review","DOI":"10.1177/1088868320911325","ISSN":"1088-8683","journalAbbreviation":"Pers Soc Psychol Rev","language":"en","note":"publisher: SAGE Publications Inc","page":"1088868320911325","source":"SAGE Journals","title":"Implicit? What Do You Mean? A Comprehensive Review of the Delusive Implicitness Construct in Attitude Research","title-short":"Implicit?","author":[{"family":"Corneille","given":"Olivier"},{"family":"Hütter","given":"Mandy"}],"issued":{"date-parts":[["2020",3,20]]}},"label":"page"}],"schema":"https://github.com/citation-style-language/schema/raw/master/csl-citation.json"} </w:instrText>
      </w:r>
      <w:r w:rsidRPr="005F0161">
        <w:fldChar w:fldCharType="separate"/>
      </w:r>
      <w:r w:rsidRPr="005F0161">
        <w:t>(Corneille &amp; Hütter, 2020)</w:t>
      </w:r>
      <w:r w:rsidRPr="005F0161">
        <w:fldChar w:fldCharType="end"/>
      </w:r>
      <w:r w:rsidRPr="005F0161">
        <w:t>, these debates are secondary to the</w:t>
      </w:r>
      <w:r w:rsidRPr="00034410">
        <w:t xml:space="preserve"> fact that the IRAP, and tasks like it, are claimed to be valid measures of individual differences based on sources of evidence such as Vahey et al. (2015). </w:t>
      </w:r>
    </w:p>
    <w:p w14:paraId="7EAC7E0C" w14:textId="77777777" w:rsidR="001537F8" w:rsidRPr="00034410" w:rsidRDefault="00000000" w:rsidP="00034410">
      <w:pPr>
        <w:pStyle w:val="Heading2"/>
      </w:pPr>
      <w:r w:rsidRPr="00034410">
        <w:t xml:space="preserve">Rationale for </w:t>
      </w:r>
      <w:r w:rsidR="00223420" w:rsidRPr="00034410">
        <w:t>verification</w:t>
      </w:r>
    </w:p>
    <w:p w14:paraId="3A6C94F6" w14:textId="77777777" w:rsidR="00C9290D" w:rsidRPr="00034410" w:rsidRDefault="00000000" w:rsidP="00034410">
      <w:r>
        <w:t>In addition to the meta-scientific utility of doing so discussed previously, t</w:t>
      </w:r>
      <w:r w:rsidR="0093498C" w:rsidRPr="00034410">
        <w:t xml:space="preserve">here are </w:t>
      </w:r>
      <w:r w:rsidR="005924D8" w:rsidRPr="00034410">
        <w:t xml:space="preserve">at least </w:t>
      </w:r>
      <w:r w:rsidR="008A44AB">
        <w:t>four</w:t>
      </w:r>
      <w:r>
        <w:t xml:space="preserve"> </w:t>
      </w:r>
      <w:r w:rsidR="00D96AB3" w:rsidRPr="00034410">
        <w:t>rationales for performing a verification of Vahey et al.</w:t>
      </w:r>
      <w:r>
        <w:t>’s</w:t>
      </w:r>
      <w:r w:rsidR="00D96AB3" w:rsidRPr="00034410">
        <w:t xml:space="preserve"> (201</w:t>
      </w:r>
      <w:r w:rsidR="00500BC6" w:rsidRPr="00034410">
        <w:t>5)</w:t>
      </w:r>
      <w:r>
        <w:t xml:space="preserve"> results</w:t>
      </w:r>
      <w:r w:rsidR="00B80A9A">
        <w:t>.</w:t>
      </w:r>
      <w:r w:rsidR="00500BC6" w:rsidRPr="00034410">
        <w:t xml:space="preserve"> </w:t>
      </w:r>
      <w:r w:rsidR="0001350A" w:rsidRPr="00034410">
        <w:t xml:space="preserve">First, there is good a priori reason to believe that meta-analyses in general often contain non-replicable results. Lakens et al. </w:t>
      </w:r>
      <w:r w:rsidR="0001350A" w:rsidRPr="00034410">
        <w:fldChar w:fldCharType="begin"/>
      </w:r>
      <w:r w:rsidR="007C23EB" w:rsidRPr="00034410">
        <w:instrText xml:space="preserve"> ADDIN ZOTERO_ITEM CSL_CITATION {"citationID":"d6XNcoxQ","properties":{"formattedCitation":"(2017)","plainCitation":"(2017)","noteIndex":0},"citationItems":[{"id":4644,"uris":["http://zotero.org/users/1687755/items/IBB5XYVT"],"itemData":{"id":4644,"type":"report","abstract":"Meta-analyses are an important tool to evaluate the literature. It is essential that meta-analyses can easily be reproduced to allow researchers to evaluate the impact of subjective choices on meta-analytic effect sizes, but also to update meta-analyses as new data comes in, or as novel statistical techniques (for example to correct for publication bias) are developed. Research in medicine has revealed meta-analyses often cannot be reproduced. In this project, we examined the reproducibility of meta-analyses in psychology by reproducing twenty published meta-analyses. Reproducing published meta-analyses was surprisingly difficult. 96% of meta-analyses published in 2013-2014 did not adhere to reporting guidelines. A third of these meta-analyses did not contain a table specifying all individual effect sizes. Five of the 20 randomly selected meta-analyses we attempted to reproduce could not be reproduced at all due to lack of access to raw data, no details about the effect sizes extracted from each study, or a lack of information about how effect sizes were coded. In the remaining meta-analyses, differences between the reported and reproduced effect size or sample size were common. We discuss a range of possible improvements, such as more clearly indicating which data were used to calculate an effect size, specifying all individual effect sizes, adding detailed information about equations that are used, and how multiple effect size estimates from the same study are combined, but also sharing raw data retrieved from original authors, or unpublished research reports. This project clearly illustrates there is a lot of room for improvement when it comes to the transparency and reproducibility of published meta-analyses.","genre":"preprint","note":"DOI: 10.31222/osf.io/xfbjf","publisher":"BITSS","source":"DOI.org (Crossref)","title":"Examining the Reproducibility of Meta-Analyses in Psychology: A Preliminary Report","title-short":"Examining the Reproducibility of Meta-Analyses in Psychology","URL":"https://osf.io/xfbjf","author":[{"family":"Lakens","given":"Daniël"},{"family":"Page-Gould","given":"Elizabeth"},{"family":"Assen","given":"Marcel A. L. M.","non-dropping-particle":"van"},{"family":"Spellman","given":"Bobbie"},{"family":"Schönbrodt","given":"Felix D."},{"family":"Hasselman","given":"Fred"},{"family":"Corker","given":"Katherine S."},{"family":"Grange","given":"Jim"},{"family":"Sharples","given":"Amanda"},{"family":"Cavender","given":"Corinne"},{"family":"Augusteijn","given":"Hilde"},{"family":"Augusteijn","given":"Hilde"},{"family":"Gerger","given":"Heike"},{"family":"Locher","given":"Cosima"},{"family":"Miller","given":"Ian Dennis"},{"family":"Anvari","given":"Farid"},{"family":"Scheel","given":"Anne M."}],"accessed":{"date-parts":[["2020",6,17]]},"issued":{"date-parts":[["2017",3,31]]}},"suppress-author":true}],"schema":"https://github.com/citation-style-language/schema/raw/master/csl-citation.json"} </w:instrText>
      </w:r>
      <w:r w:rsidR="0001350A" w:rsidRPr="00034410">
        <w:fldChar w:fldCharType="separate"/>
      </w:r>
      <w:r w:rsidR="0001350A" w:rsidRPr="00034410">
        <w:t>(2017)</w:t>
      </w:r>
      <w:r w:rsidR="0001350A" w:rsidRPr="00034410">
        <w:fldChar w:fldCharType="end"/>
      </w:r>
      <w:r w:rsidR="0001350A" w:rsidRPr="00034410">
        <w:t xml:space="preserve"> recently demonstrated that the results of the majority of a random sample of meta-analyses published in psychology cannot be </w:t>
      </w:r>
      <w:r w:rsidR="00A658AD" w:rsidRPr="00034410">
        <w:t xml:space="preserve">computationally </w:t>
      </w:r>
      <w:r w:rsidR="0001350A" w:rsidRPr="00034410">
        <w:t>reproduced</w:t>
      </w:r>
      <w:r w:rsidR="00B67C69" w:rsidRPr="00034410">
        <w:t xml:space="preserve">, </w:t>
      </w:r>
      <w:r w:rsidR="00104D58" w:rsidRPr="00034410">
        <w:t>often because of differences in individual effect sizes between those reported in meta-analyses and those reproduced from the original studies</w:t>
      </w:r>
      <w:r w:rsidR="0001350A" w:rsidRPr="00034410">
        <w:t xml:space="preserve">. </w:t>
      </w:r>
      <w:r w:rsidR="00104D58" w:rsidRPr="00034410">
        <w:t xml:space="preserve">Similarly, </w:t>
      </w:r>
      <w:r w:rsidR="0001350A" w:rsidRPr="00034410">
        <w:t xml:space="preserve">Maassen et al. </w:t>
      </w:r>
      <w:r w:rsidR="0001350A" w:rsidRPr="00034410">
        <w:fldChar w:fldCharType="begin"/>
      </w:r>
      <w:r w:rsidR="007C23EB" w:rsidRPr="00034410">
        <w:instrText xml:space="preserve"> ADDIN ZOTERO_ITEM CSL_CITATION {"citationID":"4Iu1pdzi","properties":{"formattedCitation":"(2020)","plainCitation":"(2020)","noteIndex":0},"citationItems":[{"id":4654,"uris":["http://zotero.org/users/1687755/items/WUWAGAGT"],"itemData":{"id":4654,"type":"article-journal","abstract":"To determine the reproducibility of psychological meta-analyses, we investigated whether we could reproduce 500 primary study effect sizes drawn from 33 published meta-analyses based on the information given in the meta-analyses, and whether recomputations of primary study effect sizes altered the overall results of the meta-analysis. Results showed that almost half (k = 224) of all sampled primary effect sizes could not be reproduced based on the reported information in the meta-analysis, mostly because of incomplete or missing information on how effect sizes from primary studies were selected and computed. Overall, this led to small discrepancies in the computation of mean effect sizes, confidence intervals and heterogeneity estimates in 13 out of 33 meta-analyses. We provide recommendations to improve transparency in the reporting of the entire meta-analytic process, including the use of preregistration, data and workflow sharing, and explicit coding practices.","container-title":"PLOS ONE","DOI":"10.1371/journal.pone.0233107","ISSN":"1932-6203","issue":"5","journalAbbreviation":"PLOS ONE","language":"en","note":"publisher: Public Library of Science","page":"e0233107","source":"PLoS Journals","title":"Reproducibility of individual effect sizes in meta-analyses in psychology","volume":"15","author":[{"family":"Maassen","given":"Esther"},{"family":"Assen","given":"Marcel A. L. M.","dropping-particle":"van"},{"family":"Nuijten","given":"Michèle B."},{"family":"Olsson-Collentine","given":"Anton"},{"family":"Wicherts","given":"Jelte M."}],"issued":{"date-parts":[["2020",5,27]]}},"suppress-author":true}],"schema":"https://github.com/citation-style-language/schema/raw/master/csl-citation.json"} </w:instrText>
      </w:r>
      <w:r w:rsidR="0001350A" w:rsidRPr="00034410">
        <w:fldChar w:fldCharType="separate"/>
      </w:r>
      <w:r w:rsidR="0001350A" w:rsidRPr="00034410">
        <w:t>(2020)</w:t>
      </w:r>
      <w:r w:rsidR="0001350A" w:rsidRPr="00034410">
        <w:fldChar w:fldCharType="end"/>
      </w:r>
      <w:r w:rsidR="0001350A" w:rsidRPr="00034410">
        <w:t xml:space="preserve"> found that almost half of </w:t>
      </w:r>
      <w:r w:rsidR="00B67C69" w:rsidRPr="00034410">
        <w:t xml:space="preserve">the individual </w:t>
      </w:r>
      <w:r w:rsidR="0001350A" w:rsidRPr="00034410">
        <w:t xml:space="preserve">effect sizes reported in meta-analyses of psychology research could not be reproduced from the original articles. This was attributed to to a variety of issues </w:t>
      </w:r>
      <w:r w:rsidR="006379D2" w:rsidRPr="00034410">
        <w:t xml:space="preserve">including </w:t>
      </w:r>
      <w:r w:rsidR="0001350A" w:rsidRPr="00034410">
        <w:t xml:space="preserve">errors in the extraction of effect sizes from original studies, insufficient details regarding data processing and transformation of effect sizes, </w:t>
      </w:r>
      <w:r w:rsidR="006379D2" w:rsidRPr="00034410">
        <w:t xml:space="preserve">and </w:t>
      </w:r>
      <w:r w:rsidR="0001350A" w:rsidRPr="00034410">
        <w:t>insufficient details of the specific meta-analytic approach employed.</w:t>
      </w:r>
      <w:r w:rsidR="00620486" w:rsidRPr="00034410">
        <w:t xml:space="preserve"> </w:t>
      </w:r>
      <w:r w:rsidR="007A688D" w:rsidRPr="00034410">
        <w:t>Comparable errors in meta-analyses have also been reported by others</w:t>
      </w:r>
      <w:r w:rsidR="003221C9" w:rsidRPr="00034410">
        <w:t xml:space="preserve"> </w:t>
      </w:r>
      <w:r w:rsidR="003221C9" w:rsidRPr="00034410">
        <w:fldChar w:fldCharType="begin"/>
      </w:r>
      <w:r w:rsidR="003221C9" w:rsidRPr="00034410">
        <w:instrText xml:space="preserve"> ADDIN ZOTERO_ITEM CSL_CITATION {"citationID":"Y8syCoG7","properties":{"formattedCitation":"(e.g., Kadlec et al., 2023; Lakens et al., 2017)","plainCitation":"(e.g., Kadlec et al., 2023; Lakens et al., 2017)","noteIndex":0},"citationItems":[{"id":54,"uris":["http://zotero.org/users/1687755/items/WWKVT2EA"],"itemData":{"id":54,"type":"article-journal","abstract":"Meta-analysis and meta-regression are often highly cited and may influence practice. Unfortunately, statistical errors in meta-analyses are widespread and can lead to flawed conclusions. The purpose of this article was to review common statistical errors in meta-analyses and to document their frequency in highly cited meta-analyses from strength and conditioning research.","container-title":"Sports Medicine","DOI":"10.1007/s40279-022-01766-0","ISSN":"1179-2035","issue":"2","journalAbbreviation":"Sports Med","language":"en","page":"313-325","source":"Springer Link","title":"With Great Power Comes Great Responsibility: Common Errors in Meta-Analyses and Meta-Regressions in Strength &amp; Conditioning Research","title-short":"With Great Power Comes Great Responsibility","volume":"53","author":[{"family":"Kadlec","given":"Daniel"},{"family":"Sainani","given":"Kristin L."},{"family":"Nimphius","given":"Sophia"}],"issued":{"date-parts":[["2023",2,1]]}},"label":"page","prefix":"e.g., "},{"id":4644,"uris":["http://zotero.org/users/1687755/items/IBB5XYVT"],"itemData":{"id":4644,"type":"report","abstract":"Meta-analyses are an important tool to evaluate the literature. It is essential that meta-analyses can easily be reproduced to allow researchers to evaluate the impact of subjective choices on meta-analytic effect sizes, but also to update meta-analyses as new data comes in, or as novel statistical techniques (for example to correct for publication bias) are developed. Research in medicine has revealed meta-analyses often cannot be reproduced. In this project, we examined the reproducibility of meta-analyses in psychology by reproducing twenty published meta-analyses. Reproducing published meta-analyses was surprisingly difficult. 96% of meta-analyses published in 2013-2014 did not adhere to reporting guidelines. A third of these meta-analyses did not contain a table specifying all individual effect sizes. Five of the 20 randomly selected meta-analyses we attempted to reproduce could not be reproduced at all due to lack of access to raw data, no details about the effect sizes extracted from each study, or a lack of information about how effect sizes were coded. In the remaining meta-analyses, differences between the reported and reproduced effect size or sample size were common. We discuss a range of possible improvements, such as more clearly indicating which data were used to calculate an effect size, specifying all individual effect sizes, adding detailed information about equations that are used, and how multiple effect size estimates from the same study are combined, but also sharing raw data retrieved from original authors, or unpublished research reports. This project clearly illustrates there is a lot of room for improvement when it comes to the transparency and reproducibility of published meta-analyses.","genre":"preprint","note":"DOI: 10.31222/osf.io/xfbjf","publisher":"BITSS","source":"DOI.org (Crossref)","title":"Examining the Reproducibility of Meta-Analyses in Psychology: A Preliminary Report","title-short":"Examining the Reproducibility of Meta-Analyses in Psychology","URL":"https://osf.io/xfbjf","author":[{"family":"Lakens","given":"Daniël"},{"family":"Page-Gould","given":"Elizabeth"},{"family":"Assen","given":"Marcel A. L. M.","non-dropping-particle":"van"},{"family":"Spellman","given":"Bobbie"},{"family":"Schönbrodt","given":"Felix D."},{"family":"Hasselman","given":"Fred"},{"family":"Corker","given":"Katherine S."},{"family":"Grange","given":"Jim"},{"family":"Sharples","given":"Amanda"},{"family":"Cavender","given":"Corinne"},{"family":"Augusteijn","given":"Hilde"},{"family":"Augusteijn","given":"Hilde"},{"family":"Gerger","given":"Heike"},{"family":"Locher","given":"Cosima"},{"family":"Miller","given":"Ian Dennis"},{"family":"Anvari","given":"Farid"},{"family":"Scheel","given":"Anne M."}],"accessed":{"date-parts":[["2020",6,17]]},"issued":{"date-parts":[["2017",3,31]]}}}],"schema":"https://github.com/citation-style-language/schema/raw/master/csl-citation.json"} </w:instrText>
      </w:r>
      <w:r w:rsidR="003221C9" w:rsidRPr="00034410">
        <w:fldChar w:fldCharType="separate"/>
      </w:r>
      <w:r w:rsidR="003221C9" w:rsidRPr="00034410">
        <w:t>(e.g., Kadlec et al., 2023; Lakens et al., 2017)</w:t>
      </w:r>
      <w:r w:rsidR="003221C9" w:rsidRPr="00034410">
        <w:fldChar w:fldCharType="end"/>
      </w:r>
      <w:r w:rsidR="003221C9" w:rsidRPr="00034410">
        <w:t>.</w:t>
      </w:r>
    </w:p>
    <w:p w14:paraId="729B6BEB" w14:textId="77F6757A" w:rsidR="00167923" w:rsidRPr="00DD4379" w:rsidRDefault="00000000" w:rsidP="00034410">
      <w:r w:rsidRPr="00034410">
        <w:t xml:space="preserve">Second, </w:t>
      </w:r>
      <w:r w:rsidR="00A22623" w:rsidRPr="00034410">
        <w:t>Vahey et al.</w:t>
      </w:r>
      <w:r w:rsidR="003F13D2" w:rsidRPr="00034410">
        <w:t>’s</w:t>
      </w:r>
      <w:r w:rsidR="00A22623" w:rsidRPr="00034410">
        <w:t xml:space="preserve"> (2015) </w:t>
      </w:r>
      <w:r w:rsidR="003F13D2" w:rsidRPr="00034410">
        <w:t xml:space="preserve">article </w:t>
      </w:r>
      <w:r w:rsidR="00A22623" w:rsidRPr="00034410">
        <w:t>has been well-cited and used to guide subsequent work</w:t>
      </w:r>
      <w:r w:rsidR="00166356" w:rsidRPr="00034410">
        <w:t>.</w:t>
      </w:r>
      <w:r w:rsidR="00A22623" w:rsidRPr="00034410">
        <w:t xml:space="preserve"> </w:t>
      </w:r>
      <w:r w:rsidR="00166356" w:rsidRPr="00034410">
        <w:t>A</w:t>
      </w:r>
      <w:r w:rsidR="00A22623" w:rsidRPr="00034410">
        <w:t>t the time of writing</w:t>
      </w:r>
      <w:r w:rsidR="00612B35" w:rsidRPr="00034410">
        <w:t xml:space="preserve"> in </w:t>
      </w:r>
      <w:r w:rsidR="00594AC1">
        <w:t>August</w:t>
      </w:r>
      <w:r w:rsidR="00612B35" w:rsidRPr="00034410">
        <w:t xml:space="preserve"> 2024</w:t>
      </w:r>
      <w:r w:rsidR="000954F4" w:rsidRPr="00034410">
        <w:t>,</w:t>
      </w:r>
      <w:r w:rsidR="00A22623" w:rsidRPr="00034410">
        <w:t xml:space="preserve"> it has been cited </w:t>
      </w:r>
      <w:r w:rsidR="00D17707" w:rsidRPr="00034410">
        <w:t>1</w:t>
      </w:r>
      <w:r w:rsidR="00F57646" w:rsidRPr="00034410">
        <w:t>4</w:t>
      </w:r>
      <w:r w:rsidR="00594AC1">
        <w:t>7</w:t>
      </w:r>
      <w:r w:rsidR="00A22623" w:rsidRPr="00034410">
        <w:t xml:space="preserve"> times </w:t>
      </w:r>
      <w:r w:rsidR="00F57646" w:rsidRPr="00034410">
        <w:t xml:space="preserve">on Google Scholar, </w:t>
      </w:r>
      <w:r w:rsidR="00A22623" w:rsidRPr="00034410">
        <w:t xml:space="preserve">with </w:t>
      </w:r>
      <w:r w:rsidR="00D6450B">
        <w:t xml:space="preserve">many </w:t>
      </w:r>
      <w:r w:rsidR="00D6450B" w:rsidRPr="00034410">
        <w:t xml:space="preserve">articles citing it to </w:t>
      </w:r>
      <w:r w:rsidR="00A22623" w:rsidRPr="00034410">
        <w:t>justify sample size decisions</w:t>
      </w:r>
      <w:r w:rsidR="00AE586D" w:rsidRPr="00034410">
        <w:t xml:space="preserve"> in lieu of a power analysis</w:t>
      </w:r>
      <w:r w:rsidR="008D0E58" w:rsidRPr="00034410">
        <w:t xml:space="preserve"> for that study</w:t>
      </w:r>
      <w:r w:rsidR="00486207">
        <w:t xml:space="preserve"> </w:t>
      </w:r>
      <w:r w:rsidR="00486207">
        <w:fldChar w:fldCharType="begin"/>
      </w:r>
      <w:r w:rsidR="00486207">
        <w:instrText xml:space="preserve"> ADDIN ZOTERO_ITEM CSL_CITATION {"citationID":"mGDC8f6k","properties":{"formattedCitation":"(e.g., Bast &amp; Barnes-Holmes, 2015; Farrell &amp; McHugh, 2017; Leech et al., 2018; Maloney &amp; Barnes-Holmes, 2016; Power et al., 2017; see supplementary materials for supporting quotes from each)","plainCitation":"(e.g., Bast &amp; Barnes-Holmes, 2015; Farrell &amp; McHugh, 2017; Leech et al., 2018; Maloney &amp; Barnes-Holmes, 2016; Power et al., 2017; see supplementary materials for supporting quotes from each)","noteIndex":0},"citationItems":[{"id":1177,"uris":["http://zotero.org/users/1687755/items/RVQ722GQ"],"itemData":{"id":1177,"type":"article-journal","abstract":"This study aimed to develop the Implicit Relational Assessment Procedure (IRAP) as a measure of response biases related to emotional reactions and expected outcomes in the context of minor failings and successes in everyday life. Additionally, the research explored the extent to which such implicit reactions were related to standardized measures of psychopathology, including depression, anxiety, stress, and a scale that was based directly on the IRAP. Sixty undergraduates completed two IRAPs and the explicit measures. The pattern of biases observed across the implicit and explicit measures diverged, and the correlations between the two types of measures were either absent or relatively weak. The results suggest that implicit measures may provide an additional source of information concerning self-forgiveness beyond that provided by explicit self-report measures per se.","container-title":"The Psychological Record","DOI":"10.1007/s40732-014-0100-5","ISSN":"0033-2933, 2163-3452","issue":"1","journalAbbreviation":"Psychol Rec","language":"en","page":"189-201","source":"link-springer-com.jproxy.nuim.ie","title":"Developing the Implicit Relational Assessment Procedure (IRAP) as a Measure of Self-Forgiveness Related to Failing and Succeeding Behaviors","volume":"65","author":[{"family":"Bast","given":"Diana Ferroni"},{"family":"Barnes-Holmes","given":"Dermot"}],"issued":{"date-parts":[["2015",3,1]]}},"label":"page","prefix":"e.g., "},{"id":1194,"uris":["http://zotero.org/users/1687755/items/HSW29RXH"],"itemData":{"id":1194,"type":"article-journal","abstract":"Women remain under-represented in the fields of Science, Technology, Engineering and Maths (STEM), constituting only 28% of science researchers worldwide. Research has identified implicit gender-bias as a major barrier to women's progression in these fields. Previous research using the Implicit Association Test (IAT) suggests that individuals studying or working in STEM fields exhibit different levels of implicit male-STEM bias than those in non-STEM fields. The Implicit Relational Assessment Procedure (IRAP), a non-relative measure, was compared with the IAT which allowed us to probe this difference further among STEM and non-STEM students. The IRAP revealed a more detailed and complex picture of gender-STEM bias. All groups demonstrated a significant implicit pro-male-STEM bias. However, there was also evidence of a pro-female-STEM bias, significant only among female STEM students. A number of correlations were observed between the explicit measure and the IRAP. The presence of a pro-female-STEM bias has implications for the development of interventions. If this relational response can become more normative it may influence attitudes and behavior towards women in STEM.","container-title":"Journal of Contextual Behavioral Science","DOI":"10.1016/j.jcbs.2017.02.001","ISSN":"2212-1447","issue":"1","journalAbbreviation":"Journal of Contextual Behavioral Science","page":"80-90","source":"ScienceDirect","title":"Examining gender-STEM bias among STEM and non-STEM students using the Implicit Relational Assessment Procedure (IRAP)","volume":"6","author":[{"family":"Farrell","given":"Lynn"},{"family":"McHugh","given":"Louise"}],"issued":{"date-parts":[["2017",1,1]]}}},{"id":4856,"uris":["http://zotero.org/users/1687755/items/U6UXDJM8"],"itemData":{"id":4856,"type":"article-journal","abstract":"Experiment 1 aimed to establish 'fearful' and 'pleasant' functions for arbitrary stimuli (geometric shapes) by relating those stimuli to pictures of spiders and pets using a training version of the Implicit Relational Assessment Procedure (IRAP). The transformation of these functions for the arbitrary stimuli was assessed by exposing participants to a ‘traditional’ version of the IRAP, the Fear-IRAP employed by Leech et al. (2016, 2017). A broadly similar pattern of response biases was recorded for the Fear-IRAP as had been observed in the previously published studies. Experiment 1 thus supported the assumed but untested assumption that the relational context provided by the IRAP may both serve to establish and reveal fear-related response biases in arbitrary stimuli. A second experiment attempted to replicate the effects observed in Experiment 1 but using pictures of ‘unfamiliar’ Australian marsupials as arbitrary stimuli. The pattern of results obtained in Experiment 2 failed to replicate the pattern observed in Experiment 1, or that reported in the previously published studies by Leech et al. Overall, the findings suggest a possibly important boundary condition for the IRAP as a training and/or testing context for establishing fear-related response biases for arbitrary stimuli. (PsycINFO Database Record (c) 2019 APA, all rights reserved)","archive_location":"2018-59135-006","container-title":"Behavioural Processes","DOI":"10.1016/j.beproc.2018.08.012","ISSN":"0376-6357","journalAbbreviation":"Behavioural Processes","note":"publisher: Elsevier Science","page":"24-35","title":"Training and testing for a transformation of fear and avoidance functions using the Implicit Relational Assessment Procedure: The first study","volume":"157","author":[{"family":"Leech","given":"Aileen"},{"family":"Bouyrden","given":"Jaber"},{"family":"Bruijsten","given":"Nathalie"},{"family":"Barnes-Holmes","given":"Dermot"},{"family":"McEnteggart","given":"Ciara"}],"issued":{"date-parts":[["2018",12]]}}},{"id":1174,"uris":["http://zotero.org/users/1687755/items/7LQSWMIZ"],"itemData":{"id":1174,"type":"article-journal","abstract":"The current study examined the role of relational contextual cues (Crels) versus relational coherence indicators (RCIs) as response options in the implicit relational assessment procedure (IRAP). Fifty-two university undergraduate participants successfully completed two consecutive IRAPs. Both IRAPs were similar except for the response options employed. The Crels similar and different served as response options for one IRAP with the RCIs true and false as response options for the other. The order in which the two different IRAPs were completed was counterbalanced across participants. Although the two types of response options yielded similar effects for the participants’ first exposures to the IRAPs, differences emerged during the second exposures. In addition, one of the four trial types from the IRAP appeared to be particularly sensitive to the Crel–RCI manipulation and the order in which the two types of IRAP blocks were presented (consistent-first versus inconsistent-first with natural verbal relations). The findings highlight the complex behavioral dynamics that may be involved in IRAP performances and suggest that even seemingly trivial components of the procedure require systematic analysis.","container-title":"The Psychological Record","DOI":"10.1007/s40732-016-0180-5","ISSN":"0033-2933, 2163-3452","issue":"3","journalAbbreviation":"Psychol Rec","language":"en","page":"395-403","source":"link-springer-com.jproxy.nuim.ie","title":"Exploring the Behavioral Dynamics of the Implicit Relational Assessment Procedure: The Role of Relational Contextual Cues Versus Relational Coherence Indicators as Response Options","title-short":"Exploring the Behavioral Dynamics of the Implicit Relational Assessment Procedure","volume":"66","author":[{"family":"Maloney","given":"Emma"},{"family":"Barnes-Holmes","given":"Dermot"}],"issued":{"date-parts":[["2016",9,1]]}}},{"id":1189,"uris":["http://zotero.org/users/1687755/items/UI8JFNU4"],"itemData":{"id":1189,"type":"article-journal","abstract":"The present study examined levels of racial bias among black and white individuals residing in Ireland using the Implicit Relational Assessment Procedure (IRAP) and a range of questionnaire measures. The IRAP required participants to respond quickly and accurately on a computer-based task. On some blocks of trials participants were required to respond in a pro-white and anti-black manner, whereas on other blocks responding in the opposite direction was required (anti-white/pro-black). The difference in response latencies between these two types of trials provided an index of racial bias. Performance on the IRAP (i) revealed in-group/out-group bias for the white but not the black participants; (ii) substantively increased the predictive validity of a range of questionnaire-based measures; and (iii) provided the best prediction of racial group. The results support the utility of the IRAP as a measure of racial bias, and indicate that this bias differed between black and white Irish residents.","container-title":"The Psychological Record","DOI":"10.1007/s40732-017-0223-6","ISSN":"0033-2933, 2163-3452","issue":"3","journalAbbreviation":"Psychol Rec","language":"en","page":"365-375","source":"link-springer-com.jproxy.nuim.ie","title":"Exploring Racial Bias in a European Country with a Recent History of Immigration of Black Africans","volume":"67","author":[{"family":"Power","given":"Patricia M."},{"family":"Harte","given":"Colin"},{"family":"Barnes-Holmes","given":"Dermot"},{"family":"Barnes-Holmes","given":"Yvonne"}],"issued":{"date-parts":[["2017",9,1]]}},"label":"page","suffix":"; see supplementary materials for supporting quotes from each"}],"schema":"https://github.com/citation-style-language/schema/raw/master/csl-citation.json"} </w:instrText>
      </w:r>
      <w:r w:rsidR="00486207">
        <w:fldChar w:fldCharType="separate"/>
      </w:r>
      <w:r w:rsidR="00486207">
        <w:rPr>
          <w:noProof/>
        </w:rPr>
        <w:t>(e.g., Bast &amp; Barnes-Holmes, 2015; Farrell &amp; McHugh, 2017; Leech et al., 2018; Maloney &amp; Barnes-Holmes, 2016; Power et al., 2017; see supplementary materials for supporting quotes from each)</w:t>
      </w:r>
      <w:r w:rsidR="00486207">
        <w:fldChar w:fldCharType="end"/>
      </w:r>
      <w:r w:rsidR="00A22623" w:rsidRPr="00034410">
        <w:t>.</w:t>
      </w:r>
      <w:r w:rsidR="007453D1" w:rsidRPr="00034410">
        <w:t xml:space="preserve"> Studies employing the</w:t>
      </w:r>
      <w:r w:rsidR="00A22623" w:rsidRPr="00034410">
        <w:t xml:space="preserve"> IRAP have typically involved small sample sizes</w:t>
      </w:r>
      <w:r w:rsidR="00494EFE" w:rsidRPr="00034410">
        <w:t xml:space="preserve"> of around 40 </w:t>
      </w:r>
      <w:r w:rsidR="00A50703" w:rsidRPr="00034410">
        <w:t xml:space="preserve">participants. </w:t>
      </w:r>
      <w:r w:rsidR="0009015C" w:rsidRPr="00034410">
        <w:t>T</w:t>
      </w:r>
      <w:r w:rsidR="00A50703" w:rsidRPr="00034410">
        <w:t xml:space="preserve">his </w:t>
      </w:r>
      <w:r w:rsidR="00347726" w:rsidRPr="00034410">
        <w:t xml:space="preserve">is </w:t>
      </w:r>
      <w:r w:rsidR="0009015C" w:rsidRPr="00034410">
        <w:t xml:space="preserve">frequently argued to be </w:t>
      </w:r>
      <w:r w:rsidR="00347726" w:rsidRPr="00034410">
        <w:t xml:space="preserve">acceptable because it </w:t>
      </w:r>
      <w:r w:rsidR="004D304F" w:rsidRPr="00034410">
        <w:t xml:space="preserve">is in line with </w:t>
      </w:r>
      <w:r w:rsidR="00A22623" w:rsidRPr="00034410">
        <w:t xml:space="preserve">Vahey et al.’s </w:t>
      </w:r>
      <w:r w:rsidR="00F6212C" w:rsidRPr="00034410">
        <w:t xml:space="preserve">(2015) </w:t>
      </w:r>
      <w:r w:rsidR="00A22623" w:rsidRPr="00034410">
        <w:t>sample size recommendation</w:t>
      </w:r>
      <w:r w:rsidR="002F1558" w:rsidRPr="00034410">
        <w:t xml:space="preserve">: “a sample size of at least </w:t>
      </w:r>
      <w:r w:rsidR="002F1558" w:rsidRPr="00034410">
        <w:rPr>
          <w:i/>
          <w:iCs/>
        </w:rPr>
        <w:t>N</w:t>
      </w:r>
      <w:r w:rsidR="002F1558" w:rsidRPr="00034410">
        <w:t xml:space="preserve"> = 37 would be required in order to achieve a statistical power of .80 when testing a continuous first-order correlation between a clinically-focused IRAP effect and a given criterion variable” (p. 63).</w:t>
      </w:r>
      <w:r w:rsidR="00126622" w:rsidRPr="00034410">
        <w:t xml:space="preserve"> </w:t>
      </w:r>
      <w:r w:rsidR="004A475C" w:rsidRPr="00034410">
        <w:t xml:space="preserve">Kavanagh et al. </w:t>
      </w:r>
      <w:r w:rsidR="003D3B8B" w:rsidRPr="00034410">
        <w:fldChar w:fldCharType="begin"/>
      </w:r>
      <w:r w:rsidR="007C23EB" w:rsidRPr="00034410">
        <w:instrText xml:space="preserve"> ADDIN ZOTERO_ITEM CSL_CITATION {"citationID":"Q4hgQrQ2","properties":{"formattedCitation":"(2022, p. 528)","plainCitation":"(2022, p. 528)","noteIndex":0},"citationItems":[{"id":5058,"uris":["http://zotero.org/users/1687755/items/8I8Y45WZ"],"itemData":{"id":5058,"type":"article-journal","abstract":"Cognitive perspective-taking research has primarily been conducted under the rubric of theory of mind (ToM), with the core skill believed to involve the correct attribution of mental states to oneself and others as a means of explaining and predicting behavior. Relational frame theory (RFT) has provided a behavioral account of performances on true and false belief protocols by appealing to the three perspective-taking (deictic) relations. The current research sought to investigate the relative strength of cognitive perspective-taking abilities within the context of a false belief vignette and related IRAP. Experiment 1 investigated the impact of block order presentation and vignette stimuli order on IRAP performances. That is, across four conditions, rule order presentations (i.e., vignette consistent vs. vignette inconsistent) and vignette stimuli presentation were manipulated. Results indicated that vignette consistent responding was observed to varying degrees across conditions. To decrease this variability across conditions, Experiment 2 presented a vignette before each block of trials but again the IRAP showed only limited sensitivity to the vignette. The current findings and considerations for future research are discussed in terms of a recently published conceptual analysis of false belief by Kavanagh et al. (2020).","container-title":"The Psychological Record","DOI":"10.1007/s40732-021-00500-y","ISSN":"2163-3452","issue":"4","journalAbbreviation":"Psychol Rec","language":"en","page":"525-549","source":"Springer Link","title":"Attempting to Analyze Perspective-Taking with a False Belief Vignette Using the Implicit Relational Assessment Procedure","volume":"72","author":[{"family":"Kavanagh","given":"Deirdre"},{"family":"Barnes-Holmes","given":"Yvonne"},{"family":"Barnes-Holmes","given":"Dermot"}],"issued":{"date-parts":[["2022",12,1]]}},"label":"page","suppress-author":true,"suffix":", p. 528"}],"schema":"https://github.com/citation-style-language/schema/raw/master/csl-citation.json"} </w:instrText>
      </w:r>
      <w:r w:rsidR="003D3B8B" w:rsidRPr="00034410">
        <w:fldChar w:fldCharType="separate"/>
      </w:r>
      <w:r w:rsidR="003D3B8B" w:rsidRPr="00034410">
        <w:rPr>
          <w:noProof/>
        </w:rPr>
        <w:t>(2022, p. 528)</w:t>
      </w:r>
      <w:r w:rsidR="003D3B8B" w:rsidRPr="00034410">
        <w:fldChar w:fldCharType="end"/>
      </w:r>
      <w:r w:rsidR="00A22623" w:rsidRPr="00034410">
        <w:t xml:space="preserve"> provide</w:t>
      </w:r>
      <w:r w:rsidR="009B4B75">
        <w:t>d</w:t>
      </w:r>
      <w:r w:rsidR="00A22623" w:rsidRPr="00034410">
        <w:t xml:space="preserve"> a particularly clear characterization of the </w:t>
      </w:r>
      <w:r w:rsidR="00FF422B" w:rsidRPr="00034410">
        <w:t xml:space="preserve">ongoing </w:t>
      </w:r>
      <w:r w:rsidR="00A22623" w:rsidRPr="00034410">
        <w:t xml:space="preserve">importance of Vahey et al.’s </w:t>
      </w:r>
      <w:r w:rsidR="00A22623" w:rsidRPr="00034410">
        <w:fldChar w:fldCharType="begin"/>
      </w:r>
      <w:r w:rsidR="007C23EB" w:rsidRPr="00034410">
        <w:instrText xml:space="preserve"> ADDIN ZOTERO_ITEM CSL_CITATION {"citationID":"Oq85LjsQ","properties":{"formattedCitation":"(2015)","plainCitation":"(2015)","noteIndex":0},"citationItems":[{"id":1617,"uris":["http://zotero.org/users/1687755/items/4SHQ9XKM"],"itemData":{"id":1617,"type":"article-journal","abstract":"AbstractBackground and objectives\nThe Implicit Relational Assessment Procedure (IRAP) is a technique that is attracting a substantial body of research literature, particularly within the clinical domain.\nMethod\nIn response, the present paper outlines a meta-analysis of clinically-focused IRAP effects (N = 494) to provide the first estimate of how well such effects validate against their respective criterion variables in general.\nResults\nThe meta-analysis incorporated clinically-focused IRAP effects from 15 studies yielding a large effect size, r ¯  = .45, with a desirably narrow 95% credibility interval (.23, .67). The funnel plot and subsequent sensitivity analyses indicated that this meta-effect was not subject to publication bias.\nLimitations\nThe present meta-effect is an estimate based upon an IRAP literature that is still evolving rapidly in the clinical domain, and so as per its accompanying credibility interval, all conclusions that follow are necessarily provisional even if bounded. Apart from the fact that the current meta-effect might be subject to inadvertent under- and/or over-estimations of the current literature, the present meta-effect might strengthen with further refinements of the IRAP.\nConclusions\nThe current meta-effect provides the means to calculate what sample size would be required to achieve a statistical power of .80 when testing the criterion validity of clinically-focused IRAP effects using a given parametric statistic. For example, first-order Pearson correlations would hypothetically require an N of 29–37 for such purposes depending upon how conservatively over-estimation of the present meta-effect is controlled for. Overall, the IRAP compares favourably with alternative implicit measures in clinical psychology.","container-title":"Journal of Behavior Therapy and Experimental Psychiatry","DOI":"10.1016/j.jbtep.2015.01.004","ISSN":"0005-7916","journalAbbreviation":"Journal of Behavior Therapy and Experimental Psychiatry","page":"59-65","source":"ScienceDirect","title":"A meta-analysis of criterion effects for the Implicit Relational Assessment Procedure (IRAP) in the clinical domain","volume":"48","author":[{"family":"Vahey","given":"Nigel A."},{"family":"Nicholson","given":"Emma"},{"family":"Barnes-Holmes","given":"Dermot"}],"issued":{"date-parts":[["2015",9]]}},"suppress-author":true}],"schema":"https://github.com/citation-style-language/schema/raw/master/csl-citation.json"} </w:instrText>
      </w:r>
      <w:r w:rsidR="00A22623" w:rsidRPr="00034410">
        <w:fldChar w:fldCharType="separate"/>
      </w:r>
      <w:r w:rsidR="00A22623" w:rsidRPr="00034410">
        <w:t>(2015)</w:t>
      </w:r>
      <w:r w:rsidR="00A22623" w:rsidRPr="00034410">
        <w:fldChar w:fldCharType="end"/>
      </w:r>
      <w:r w:rsidR="00A22623" w:rsidRPr="00034410">
        <w:t xml:space="preserve"> results for </w:t>
      </w:r>
      <w:r w:rsidR="00CA1794" w:rsidRPr="00034410">
        <w:t xml:space="preserve">practices in </w:t>
      </w:r>
      <w:r w:rsidR="00A22623" w:rsidRPr="00034410">
        <w:t xml:space="preserve">the broader IRAP literature: </w:t>
      </w:r>
      <w:r w:rsidR="009C05C1" w:rsidRPr="00034410">
        <w:t xml:space="preserve">“The general strategy for recruiting numbers of participants was guided by the results of a recent meta-analysis of IRAP effects in the clinical domain, indicating that a minimum of 29 is required to achieve a power of 0.8 for first-order correlations (Vahey et al., 2015).” </w:t>
      </w:r>
      <w:r w:rsidR="00A22623" w:rsidRPr="00034410">
        <w:t xml:space="preserve">Given that </w:t>
      </w:r>
      <w:r w:rsidR="005B1640" w:rsidRPr="00034410">
        <w:t xml:space="preserve">research </w:t>
      </w:r>
      <w:r w:rsidR="00A22623" w:rsidRPr="00034410">
        <w:t>continue</w:t>
      </w:r>
      <w:r w:rsidR="005B1640" w:rsidRPr="00034410">
        <w:t>s</w:t>
      </w:r>
      <w:r w:rsidR="00A22623" w:rsidRPr="00034410">
        <w:t xml:space="preserve"> to rely on the conclusions of Vahey et al.’s </w:t>
      </w:r>
      <w:r w:rsidR="00A22623" w:rsidRPr="00034410">
        <w:fldChar w:fldCharType="begin"/>
      </w:r>
      <w:r w:rsidR="007C23EB" w:rsidRPr="00034410">
        <w:instrText xml:space="preserve"> ADDIN ZOTERO_ITEM CSL_CITATION {"citationID":"JPEuisyd","properties":{"formattedCitation":"(2015)","plainCitation":"(2015)","noteIndex":0},"citationItems":[{"id":1617,"uris":["http://zotero.org/users/1687755/items/4SHQ9XKM"],"itemData":{"id":1617,"type":"article-journal","abstract":"AbstractBackground and objectives\nThe Implicit Relational Assessment Procedure (IRAP) is a technique that is attracting a substantial body of research literature, particularly within the clinical domain.\nMethod\nIn response, the present paper outlines a meta-analysis of clinically-focused IRAP effects (N = 494) to provide the first estimate of how well such effects validate against their respective criterion variables in general.\nResults\nThe meta-analysis incorporated clinically-focused IRAP effects from 15 studies yielding a large effect size, r ¯  = .45, with a desirably narrow 95% credibility interval (.23, .67). The funnel plot and subsequent sensitivity analyses indicated that this meta-effect was not subject to publication bias.\nLimitations\nThe present meta-effect is an estimate based upon an IRAP literature that is still evolving rapidly in the clinical domain, and so as per its accompanying credibility interval, all conclusions that follow are necessarily provisional even if bounded. Apart from the fact that the current meta-effect might be subject to inadvertent under- and/or over-estimations of the current literature, the present meta-effect might strengthen with further refinements of the IRAP.\nConclusions\nThe current meta-effect provides the means to calculate what sample size would be required to achieve a statistical power of .80 when testing the criterion validity of clinically-focused IRAP effects using a given parametric statistic. For example, first-order Pearson correlations would hypothetically require an N of 29–37 for such purposes depending upon how conservatively over-estimation of the present meta-effect is controlled for. Overall, the IRAP compares favourably with alternative implicit measures in clinical psychology.","container-title":"Journal of Behavior Therapy and Experimental Psychiatry","DOI":"10.1016/j.jbtep.2015.01.004","ISSN":"0005-7916","journalAbbreviation":"Journal of Behavior Therapy and Experimental Psychiatry","page":"59-65","source":"ScienceDirect","title":"A meta-analysis of criterion effects for the Implicit Relational Assessment Procedure (IRAP) in the clinical domain","volume":"48","author":[{"family":"Vahey","given":"Nigel A."},{"family":"Nicholson","given":"Emma"},{"family":"Barnes-Holmes","given":"Dermot"}],"issued":{"date-parts":[["2015",9]]}},"suppress-author":true}],"schema":"https://github.com/citation-style-language/schema/raw/master/csl-citation.json"} </w:instrText>
      </w:r>
      <w:r w:rsidR="00A22623" w:rsidRPr="00034410">
        <w:fldChar w:fldCharType="separate"/>
      </w:r>
      <w:r w:rsidR="00A22623" w:rsidRPr="00034410">
        <w:t>(2015)</w:t>
      </w:r>
      <w:r w:rsidR="00A22623" w:rsidRPr="00034410">
        <w:fldChar w:fldCharType="end"/>
      </w:r>
      <w:r w:rsidR="00A22623" w:rsidRPr="00034410">
        <w:t xml:space="preserve"> meta-analysis, </w:t>
      </w:r>
      <w:r w:rsidR="00945F4B" w:rsidRPr="00034410">
        <w:t xml:space="preserve">and that meta-analyses in general have been shown to have poor computational </w:t>
      </w:r>
      <w:r w:rsidR="00945F4B" w:rsidRPr="00DD4379">
        <w:lastRenderedPageBreak/>
        <w:t xml:space="preserve">reproducibility, </w:t>
      </w:r>
      <w:r w:rsidR="00A22623" w:rsidRPr="00DD4379">
        <w:t xml:space="preserve">it is therefore </w:t>
      </w:r>
      <w:r w:rsidR="00842324" w:rsidRPr="00DD4379">
        <w:t>useful</w:t>
      </w:r>
      <w:r w:rsidR="008B007D" w:rsidRPr="00DD4379">
        <w:t xml:space="preserve"> </w:t>
      </w:r>
      <w:r w:rsidR="00842324" w:rsidRPr="00DD4379">
        <w:t xml:space="preserve">to verify </w:t>
      </w:r>
      <w:r w:rsidR="00ED5CE9" w:rsidRPr="00DD4379">
        <w:t>Vahey et al.’s (2015)</w:t>
      </w:r>
      <w:r w:rsidR="00842324" w:rsidRPr="00DD4379">
        <w:t xml:space="preserve"> results</w:t>
      </w:r>
      <w:r w:rsidR="00A22623" w:rsidRPr="00DD4379">
        <w:t xml:space="preserve">. </w:t>
      </w:r>
    </w:p>
    <w:p w14:paraId="3021EFC0" w14:textId="040884CC" w:rsidR="00663892" w:rsidRPr="00DD4379" w:rsidRDefault="00663892" w:rsidP="00663892">
      <w:r w:rsidRPr="00DD4379">
        <w:t>Third, Vahey et al. (2015) may have been modest when they reported that their results imply the IRAP compares “</w:t>
      </w:r>
      <w:proofErr w:type="spellStart"/>
      <w:r w:rsidRPr="00DD4379">
        <w:t>favorably</w:t>
      </w:r>
      <w:proofErr w:type="spellEnd"/>
      <w:r w:rsidRPr="00DD4379">
        <w:t xml:space="preserve">” with other implicit measures. In fact, Vahey et al.’s (2015) reported meta-analytic effect size of </w:t>
      </w:r>
      <m:oMath>
        <m:acc>
          <m:accPr>
            <m:chr m:val="̅"/>
            <m:ctrlPr>
              <w:rPr>
                <w:rFonts w:ascii="Cambria Math" w:hAnsi="Cambria Math"/>
                <w:i/>
              </w:rPr>
            </m:ctrlPr>
          </m:accPr>
          <m:e>
            <m:r>
              <w:rPr>
                <w:rFonts w:ascii="Cambria Math" w:hAnsi="Cambria Math"/>
              </w:rPr>
              <m:t>r</m:t>
            </m:r>
          </m:e>
        </m:acc>
      </m:oMath>
      <w:r w:rsidRPr="00DD4379">
        <w:t xml:space="preserve"> = .46 would place it in &gt;90</w:t>
      </w:r>
      <w:r w:rsidRPr="00DD4379">
        <w:rPr>
          <w:vertAlign w:val="superscript"/>
        </w:rPr>
        <w:t>th</w:t>
      </w:r>
      <w:r w:rsidRPr="00DD4379">
        <w:t xml:space="preserve"> percentile of all meta-analytic effect sizes reported in psychology (Richard et al., 2003). Given that the IRAP is a reaction-time-based measure, which and such measures are inherently prone to noise and therefore poor reliability (as I discuss in the next section), the original result implies that the IRAP is a truly remarkable measure to be able to correlate so highly with a range of clinical criterion measures. Or, something is </w:t>
      </w:r>
      <w:r w:rsidR="00795A77" w:rsidRPr="00DD4379">
        <w:t xml:space="preserve">with </w:t>
      </w:r>
      <w:r w:rsidR="00795A77">
        <w:t>the results reported in</w:t>
      </w:r>
      <w:r w:rsidRPr="00DD4379">
        <w:t xml:space="preserve"> Vahey et al. (2015).</w:t>
      </w:r>
    </w:p>
    <w:p w14:paraId="20F75405" w14:textId="77777777" w:rsidR="00663892" w:rsidRPr="006E5A7A" w:rsidRDefault="00663892" w:rsidP="00663892">
      <w:r w:rsidRPr="00DD4379">
        <w:t xml:space="preserve">Fourth, in light of estimates of the IRAP’s low reliability </w:t>
      </w:r>
      <w:r w:rsidRPr="00DD4379">
        <w:fldChar w:fldCharType="begin"/>
      </w:r>
      <w:r w:rsidRPr="00DD4379">
        <w:instrText xml:space="preserve"> ADDIN ZOTERO_ITEM CSL_CITATION {"citationID":"s2E40MRn","properties":{"formattedCitation":"(Hussey &amp; Drake, 2020)","plainCitation":"(Hussey &amp; Drake, 2020)","noteIndex":0},"citationItems":[{"id":15,"uris":["http://zotero.org/users/1687755/items/MU3ZSDRR"],"itemData":{"id":15,"type":"article-journal","abstract":"Evidence for the IRAP’s reliability and validity is mixed, with one meta-analysis concluding it has good criterion validity and potential for clinical assessment, and two others concluding that it demonstrates low reliability. Here, we extend this evidence base through meta-analyses of all published and unpublished studies conducted in two labs. Individual participant data was used to estimate both internal consistency and test-retest reliability across a large number of domains (k = 16) and participants (N = 1576). Results suggest that internal consistency is poor (α = .51, 95% CI [.46, .56]) and test-retest reliability is very poor (ICC = .20, 95% CI [.05, .34]). We conclude that researchers should be very cautious about choosing to employ the IRAP or when interpreting its results.","container-title":"PsyArXiv","DOI":"10.31234/osf.io/ge3k7","note":"publisher: PsyArXiv","source":"psyarxiv.com","title":"The Implicit Relational Assessment Procedure demonstrates poor internal consistency and test-retest reliability: A meta-analysis","URL":"https://psyarxiv.com/ge3k7/","author":[{"family":"Hussey","given":"Ian"},{"family":"Drake","given":"Chad E."}],"accessed":{"date-parts":[["2020",6,12]]},"issued":{"date-parts":[["2020"]]}}}],"schema":"https://github.com/citation-style-language/schema/raw/master/csl-citation.json"} </w:instrText>
      </w:r>
      <w:r w:rsidRPr="00DD4379">
        <w:fldChar w:fldCharType="separate"/>
      </w:r>
      <w:r w:rsidRPr="00DD4379">
        <w:rPr>
          <w:noProof/>
        </w:rPr>
        <w:t>(Hussey &amp; Drake, 2020)</w:t>
      </w:r>
      <w:r w:rsidRPr="00DD4379">
        <w:fldChar w:fldCharType="end"/>
      </w:r>
      <w:r w:rsidRPr="00DD4379">
        <w:t xml:space="preserve">, there is good reason to believe that Vahey et al.’s (2015) meta-analytic estimate of </w:t>
      </w:r>
      <m:oMath>
        <m:acc>
          <m:accPr>
            <m:chr m:val="̅"/>
            <m:ctrlPr>
              <w:rPr>
                <w:rFonts w:ascii="Cambria Math" w:hAnsi="Cambria Math"/>
                <w:i/>
              </w:rPr>
            </m:ctrlPr>
          </m:accPr>
          <m:e>
            <m:r>
              <w:rPr>
                <w:rFonts w:ascii="Cambria Math" w:hAnsi="Cambria Math"/>
              </w:rPr>
              <m:t>r</m:t>
            </m:r>
          </m:e>
        </m:acc>
      </m:oMath>
      <w:r w:rsidRPr="00DD4379">
        <w:t xml:space="preserve"> = .45 is implausibly large. According to classical test theory, a measure's reliability refers to the proportion of the variance that is caused by the construct rather than noise </w:t>
      </w:r>
      <w:r w:rsidRPr="00DD4379">
        <w:fldChar w:fldCharType="begin"/>
      </w:r>
      <w:r w:rsidRPr="00DD4379">
        <w:instrText xml:space="preserve"> ADDIN ZOTERO_ITEM CSL_CITATION {"citationID":"OCVbfAsv","properties":{"formattedCitation":"(Allen &amp; Yen, 2002, p.73)","plainCitation":"(Allen &amp; Yen, 2002, p.73)","noteIndex":0},"citationItems":[{"id":5085,"uris":["http://zotero.org/users/1687755/items/WC4LA7X6"],"itemData":{"id":5085,"type":"book","publisher":"Waveland Press","title":"Introduction to measurement theory","author":[{"family":"Allen","given":"Mary J"},{"family":"Yen","given":"Wendy M"}],"issued":{"date-parts":[["2002"]]}},"label":"page","suffix":", p.73"}],"schema":"https://github.com/citation-style-language/schema/raw/master/csl-citation.json"} </w:instrText>
      </w:r>
      <w:r w:rsidRPr="00DD4379">
        <w:fldChar w:fldCharType="separate"/>
      </w:r>
      <w:r w:rsidRPr="00DD4379">
        <w:rPr>
          <w:noProof/>
        </w:rPr>
        <w:t>(Allen &amp; Yen, 2002, p.73)</w:t>
      </w:r>
      <w:r w:rsidRPr="00DD4379">
        <w:fldChar w:fldCharType="end"/>
      </w:r>
      <w:r w:rsidRPr="00DD4379">
        <w:t xml:space="preserve">. As such, reliability places a limit on the mean observable associations between scores on any two measures: the less reliably the two variables are measured, the lower the observable correlation between the two variables. The observed correlation between two measures </w:t>
      </w:r>
      <m:oMath>
        <m:r>
          <w:rPr>
            <w:rFonts w:ascii="Cambria Math" w:hAnsi="Cambria Math"/>
          </w:rPr>
          <m:t>x</m:t>
        </m:r>
      </m:oMath>
      <w:r w:rsidRPr="00DD4379">
        <w:t xml:space="preserve"> and </w:t>
      </w:r>
      <m:oMath>
        <m:r>
          <w:rPr>
            <w:rFonts w:ascii="Cambria Math" w:hAnsi="Cambria Math"/>
          </w:rPr>
          <m:t>y</m:t>
        </m:r>
      </m:oMath>
      <w:r w:rsidRPr="00DD4379">
        <w:t xml:space="preserve"> (</w:t>
      </w:r>
      <m:oMath>
        <m:sSubSup>
          <m:sSubSupPr>
            <m:ctrlPr>
              <w:rPr>
                <w:rFonts w:ascii="Cambria Math" w:hAnsi="Cambria Math"/>
                <w:i/>
              </w:rPr>
            </m:ctrlPr>
          </m:sSubSupPr>
          <m:e>
            <m:r>
              <w:rPr>
                <w:rFonts w:ascii="Cambria Math" w:hAnsi="Cambria Math"/>
              </w:rPr>
              <m:t>r</m:t>
            </m:r>
          </m:e>
          <m:sub>
            <m:r>
              <w:rPr>
                <w:rFonts w:ascii="Cambria Math" w:hAnsi="Cambria Math"/>
              </w:rPr>
              <m:t>xy</m:t>
            </m:r>
          </m:sub>
          <m:sup>
            <m:r>
              <w:rPr>
                <w:rFonts w:ascii="Cambria Math" w:hAnsi="Cambria Math"/>
              </w:rPr>
              <m:t>observed</m:t>
            </m:r>
          </m:sup>
        </m:sSubSup>
      </m:oMath>
      <w:r w:rsidRPr="00DD4379">
        <w:t>) is a function of the true correlation between the variables (</w:t>
      </w:r>
      <m:oMath>
        <m:sSubSup>
          <m:sSubSupPr>
            <m:ctrlPr>
              <w:rPr>
                <w:rFonts w:ascii="Cambria Math" w:hAnsi="Cambria Math"/>
                <w:i/>
              </w:rPr>
            </m:ctrlPr>
          </m:sSubSupPr>
          <m:e>
            <m:r>
              <w:rPr>
                <w:rFonts w:ascii="Cambria Math" w:hAnsi="Cambria Math"/>
              </w:rPr>
              <m:t>r</m:t>
            </m:r>
          </m:e>
          <m:sub>
            <m:r>
              <w:rPr>
                <w:rFonts w:ascii="Cambria Math" w:hAnsi="Cambria Math"/>
              </w:rPr>
              <m:t>xy</m:t>
            </m:r>
          </m:sub>
          <m:sup>
            <m:r>
              <w:rPr>
                <w:rFonts w:ascii="Cambria Math" w:hAnsi="Cambria Math"/>
              </w:rPr>
              <m:t>true</m:t>
            </m:r>
          </m:sup>
        </m:sSubSup>
      </m:oMath>
      <w:r w:rsidRPr="00DD4379">
        <w:t>) and the reliability of both measures (</w:t>
      </w:r>
      <w:r w:rsidRPr="006E5A7A">
        <w:t xml:space="preserve">their self-correlation </w:t>
      </w:r>
      <m:oMath>
        <m:sSub>
          <m:sSubPr>
            <m:ctrlPr>
              <w:rPr>
                <w:rFonts w:ascii="Cambria Math" w:hAnsi="Cambria Math"/>
                <w:i/>
              </w:rPr>
            </m:ctrlPr>
          </m:sSubPr>
          <m:e>
            <m:r>
              <w:rPr>
                <w:rFonts w:ascii="Cambria Math" w:hAnsi="Cambria Math"/>
              </w:rPr>
              <m:t>r</m:t>
            </m:r>
          </m:e>
          <m:sub>
            <m:r>
              <w:rPr>
                <w:rFonts w:ascii="Cambria Math" w:hAnsi="Cambria Math"/>
              </w:rPr>
              <m:t>xx</m:t>
            </m:r>
          </m:sub>
        </m:sSub>
      </m:oMath>
      <w:r w:rsidRPr="006E5A7A">
        <w:t xml:space="preserve"> and </w:t>
      </w:r>
      <m:oMath>
        <m:sSub>
          <m:sSubPr>
            <m:ctrlPr>
              <w:rPr>
                <w:rFonts w:ascii="Cambria Math" w:hAnsi="Cambria Math"/>
                <w:i/>
              </w:rPr>
            </m:ctrlPr>
          </m:sSubPr>
          <m:e>
            <m:r>
              <w:rPr>
                <w:rFonts w:ascii="Cambria Math" w:hAnsi="Cambria Math"/>
              </w:rPr>
              <m:t>r</m:t>
            </m:r>
          </m:e>
          <m:sub>
            <m:r>
              <w:rPr>
                <w:rFonts w:ascii="Cambria Math" w:hAnsi="Cambria Math"/>
              </w:rPr>
              <m:t>yy</m:t>
            </m:r>
          </m:sub>
        </m:sSub>
      </m:oMath>
      <w:r w:rsidRPr="006E5A7A">
        <w:t xml:space="preserve">). This can be quantified via </w:t>
      </w:r>
      <w:r w:rsidRPr="006E5A7A">
        <w:rPr>
          <w:lang w:val="en-US"/>
        </w:rPr>
        <w:t xml:space="preserve">the Attenuation Formula derived from classical test theory </w:t>
      </w:r>
      <w:r w:rsidRPr="006E5A7A">
        <w:fldChar w:fldCharType="begin"/>
      </w:r>
      <w:r w:rsidRPr="006E5A7A">
        <w:instrText xml:space="preserve"> ADDIN ZOTERO_ITEM CSL_CITATION {"citationID":"TCI4P71m","properties":{"formattedCitation":"(Revelle, 2009, equation 7.3)","plainCitation":"(Revelle, 2009, equation 7.3)","noteIndex":0},"citationItems":[{"id":5064,"uris":["http://zotero.org/users/1687755/items/XQWU33J8"],"itemData":{"id":5064,"type":"book","publisher":"Springer Evanston, IL","title":"An introduction to psychometric theory with applications in R","URL":"https://www.personality-project.org/r/book/","author":[{"family":"Revelle","given":"William"}],"issued":{"date-parts":[["2009"]]}},"label":"page","suffix":", equation 7.3"}],"schema":"https://github.com/citation-style-language/schema/raw/master/csl-citation.json"} </w:instrText>
      </w:r>
      <w:r w:rsidRPr="006E5A7A">
        <w:fldChar w:fldCharType="separate"/>
      </w:r>
      <w:r w:rsidRPr="006E5A7A">
        <w:rPr>
          <w:noProof/>
        </w:rPr>
        <w:t>(Revelle, 2009, equation 7.3)</w:t>
      </w:r>
      <w:r w:rsidRPr="006E5A7A">
        <w:fldChar w:fldCharType="end"/>
      </w:r>
      <w:r w:rsidRPr="006E5A7A">
        <w:t>:</w:t>
      </w:r>
    </w:p>
    <w:p w14:paraId="4B5F114B" w14:textId="77777777" w:rsidR="00663892" w:rsidRPr="006E5A7A" w:rsidRDefault="00663892" w:rsidP="00663892"/>
    <w:p w14:paraId="19273D0B" w14:textId="77777777" w:rsidR="00663892" w:rsidRPr="006E5A7A" w:rsidRDefault="00000000" w:rsidP="00663892">
      <m:oMathPara>
        <m:oMath>
          <m:eqArr>
            <m:eqArrPr>
              <m:maxDist m:val="1"/>
              <m:ctrlPr>
                <w:rPr>
                  <w:rFonts w:ascii="Cambria Math" w:hAnsi="Cambria Math"/>
                  <w:i/>
                </w:rPr>
              </m:ctrlPr>
            </m:eqArrPr>
            <m:e>
              <m:sSubSup>
                <m:sSubSupPr>
                  <m:ctrlPr>
                    <w:rPr>
                      <w:rFonts w:ascii="Cambria Math" w:hAnsi="Cambria Math"/>
                    </w:rPr>
                  </m:ctrlPr>
                </m:sSubSupPr>
                <m:e>
                  <m:r>
                    <w:rPr>
                      <w:rFonts w:ascii="Cambria Math" w:hAnsi="Cambria Math"/>
                    </w:rPr>
                    <m:t>r</m:t>
                  </m:r>
                </m:e>
                <m:sub>
                  <m:r>
                    <w:rPr>
                      <w:rFonts w:ascii="Cambria Math" w:hAnsi="Cambria Math"/>
                    </w:rPr>
                    <m:t>xy</m:t>
                  </m:r>
                </m:sub>
                <m:sup>
                  <m:r>
                    <w:rPr>
                      <w:rFonts w:ascii="Cambria Math" w:hAnsi="Cambria Math"/>
                    </w:rPr>
                    <m:t>true</m:t>
                  </m:r>
                </m:sup>
              </m:sSubSup>
              <m:r>
                <m:rPr>
                  <m:sty m:val="p"/>
                </m:rPr>
                <w:rPr>
                  <w:rFonts w:ascii="Cambria Math" w:hAnsi="Cambria Math"/>
                </w:rPr>
                <m:t xml:space="preserve">= </m:t>
              </m:r>
              <m:f>
                <m:fPr>
                  <m:ctrlPr>
                    <w:rPr>
                      <w:rFonts w:ascii="Cambria Math" w:hAnsi="Cambria Math"/>
                    </w:rPr>
                  </m:ctrlPr>
                </m:fPr>
                <m:num>
                  <m:sSubSup>
                    <m:sSubSupPr>
                      <m:ctrlPr>
                        <w:rPr>
                          <w:rFonts w:ascii="Cambria Math" w:hAnsi="Cambria Math"/>
                        </w:rPr>
                      </m:ctrlPr>
                    </m:sSubSupPr>
                    <m:e>
                      <m:r>
                        <w:rPr>
                          <w:rFonts w:ascii="Cambria Math" w:hAnsi="Cambria Math"/>
                        </w:rPr>
                        <m:t>r</m:t>
                      </m:r>
                    </m:e>
                    <m:sub>
                      <m:r>
                        <w:rPr>
                          <w:rFonts w:ascii="Cambria Math" w:hAnsi="Cambria Math"/>
                        </w:rPr>
                        <m:t>xy</m:t>
                      </m:r>
                    </m:sub>
                    <m:sup>
                      <m:r>
                        <w:rPr>
                          <w:rFonts w:ascii="Cambria Math" w:hAnsi="Cambria Math"/>
                        </w:rPr>
                        <m:t>observed</m:t>
                      </m:r>
                    </m:sup>
                  </m:sSubSup>
                </m:num>
                <m:den>
                  <m:rad>
                    <m:radPr>
                      <m:degHide m:val="1"/>
                      <m:ctrlPr>
                        <w:rPr>
                          <w:rFonts w:ascii="Cambria Math" w:hAnsi="Cambria Math"/>
                        </w:rPr>
                      </m:ctrlPr>
                    </m:radPr>
                    <m:deg/>
                    <m:e>
                      <m:sSub>
                        <m:sSubPr>
                          <m:ctrlPr>
                            <w:rPr>
                              <w:rFonts w:ascii="Cambria Math" w:hAnsi="Cambria Math"/>
                            </w:rPr>
                          </m:ctrlPr>
                        </m:sSubPr>
                        <m:e>
                          <m:r>
                            <w:rPr>
                              <w:rFonts w:ascii="Cambria Math" w:hAnsi="Cambria Math"/>
                            </w:rPr>
                            <m:t>r</m:t>
                          </m:r>
                        </m:e>
                        <m:sub>
                          <m:r>
                            <w:rPr>
                              <w:rFonts w:ascii="Cambria Math" w:hAnsi="Cambria Math"/>
                            </w:rPr>
                            <m:t>xx</m:t>
                          </m:r>
                        </m:sub>
                      </m:sSub>
                      <m:sSub>
                        <m:sSubPr>
                          <m:ctrlPr>
                            <w:rPr>
                              <w:rFonts w:ascii="Cambria Math" w:hAnsi="Cambria Math"/>
                            </w:rPr>
                          </m:ctrlPr>
                        </m:sSubPr>
                        <m:e>
                          <m:r>
                            <w:rPr>
                              <w:rFonts w:ascii="Cambria Math" w:hAnsi="Cambria Math"/>
                            </w:rPr>
                            <m:t>r</m:t>
                          </m:r>
                        </m:e>
                        <m:sub>
                          <m:r>
                            <w:rPr>
                              <w:rFonts w:ascii="Cambria Math" w:hAnsi="Cambria Math"/>
                            </w:rPr>
                            <m:t>yy</m:t>
                          </m:r>
                        </m:sub>
                      </m:sSub>
                    </m:e>
                  </m:rad>
                </m:den>
              </m:f>
              <m:r>
                <w:rPr>
                  <w:rFonts w:ascii="Cambria Math" w:hAnsi="Cambria Math"/>
                </w:rPr>
                <m:t xml:space="preserve"> #</m:t>
              </m:r>
              <m:d>
                <m:dPr>
                  <m:ctrlPr>
                    <w:rPr>
                      <w:rFonts w:ascii="Cambria Math" w:hAnsi="Cambria Math"/>
                      <w:i/>
                    </w:rPr>
                  </m:ctrlPr>
                </m:dPr>
                <m:e>
                  <m:r>
                    <w:rPr>
                      <w:rFonts w:ascii="Cambria Math" w:hAnsi="Cambria Math"/>
                    </w:rPr>
                    <m:t>1</m:t>
                  </m:r>
                </m:e>
              </m:d>
            </m:e>
          </m:eqArr>
        </m:oMath>
      </m:oMathPara>
    </w:p>
    <w:p w14:paraId="115D9DD3" w14:textId="77777777" w:rsidR="00663892" w:rsidRPr="006E5A7A" w:rsidRDefault="00663892" w:rsidP="00663892">
      <w:pPr>
        <w:ind w:firstLine="0"/>
      </w:pPr>
    </w:p>
    <w:p w14:paraId="4F7C5E6D" w14:textId="77777777" w:rsidR="00663892" w:rsidRPr="00DD4379" w:rsidRDefault="00663892" w:rsidP="00663892">
      <w:r w:rsidRPr="006E5A7A">
        <w:t>Two of the variables in Equation 1 already have empirical estimates. First, Vahey</w:t>
      </w:r>
      <w:r w:rsidRPr="00DD4379">
        <w:t xml:space="preserve"> et al.'s (2015) estimate of the observed correlation between the IRAP and criterion variables was</w:t>
      </w:r>
      <w:r w:rsidRPr="00DD4379">
        <w:rPr>
          <w:i/>
          <w:iCs/>
        </w:rPr>
        <w:t xml:space="preserve"> </w:t>
      </w:r>
      <m:oMath>
        <m:sSubSup>
          <m:sSubSupPr>
            <m:ctrlPr>
              <w:rPr>
                <w:rFonts w:ascii="Cambria Math" w:hAnsi="Cambria Math"/>
                <w:i/>
              </w:rPr>
            </m:ctrlPr>
          </m:sSubSupPr>
          <m:e>
            <m:r>
              <w:rPr>
                <w:rFonts w:ascii="Cambria Math" w:hAnsi="Cambria Math"/>
              </w:rPr>
              <m:t>r</m:t>
            </m:r>
          </m:e>
          <m:sub>
            <m:r>
              <w:rPr>
                <w:rFonts w:ascii="Cambria Math" w:hAnsi="Cambria Math"/>
              </w:rPr>
              <m:t>xy</m:t>
            </m:r>
          </m:sub>
          <m:sup>
            <m:r>
              <w:rPr>
                <w:rFonts w:ascii="Cambria Math" w:hAnsi="Cambria Math"/>
              </w:rPr>
              <m:t>true</m:t>
            </m:r>
          </m:sup>
        </m:sSubSup>
      </m:oMath>
      <w:r w:rsidRPr="00DD4379">
        <w:t xml:space="preserve"> = .45. Second, estimates of the IRAP’s reliability have been provided by a recent meta-analysis. At the trial-type level (i.e., the method of scoring IRAP as four scores that proponents of the task typically recommend), both internal consistency (</w:t>
      </w:r>
      <m:oMath>
        <m:r>
          <m:rPr>
            <m:sty m:val="p"/>
          </m:rPr>
          <w:rPr>
            <w:rFonts w:ascii="Cambria Math" w:hAnsi="Cambria Math"/>
          </w:rPr>
          <m:t>α</m:t>
        </m:r>
      </m:oMath>
      <w:r w:rsidRPr="00DD4379">
        <w:t xml:space="preserve"> = .27) and test-retest (ICC</w:t>
      </w:r>
      <w:r w:rsidRPr="00DD4379">
        <w:rPr>
          <w:vertAlign w:val="subscript"/>
        </w:rPr>
        <w:t>2</w:t>
      </w:r>
      <w:r w:rsidRPr="00DD4379">
        <w:t xml:space="preserve"> = .18) are extremely low </w:t>
      </w:r>
      <w:r w:rsidRPr="00DD4379">
        <w:fldChar w:fldCharType="begin"/>
      </w:r>
      <w:r w:rsidRPr="00DD4379">
        <w:instrText xml:space="preserve"> ADDIN ZOTERO_ITEM CSL_CITATION {"citationID":"19vSLMPh","properties":{"formattedCitation":"(Hussey &amp; Drake, 2020)","plainCitation":"(Hussey &amp; Drake, 2020)","noteIndex":0},"citationItems":[{"id":15,"uris":["http://zotero.org/users/1687755/items/MU3ZSDRR"],"itemData":{"id":15,"type":"article-journal","abstract":"Evidence for the IRAP’s reliability and validity is mixed, with one meta-analysis concluding it has good criterion validity and potential for clinical assessment, and two others concluding that it demonstrates low reliability. Here, we extend this evidence base through meta-analyses of all published and unpublished studies conducted in two labs. Individual participant data was used to estimate both internal consistency and test-retest reliability across a large number of domains (k = 16) and participants (N = 1576). Results suggest that internal consistency is poor (α = .51, 95% CI [.46, .56]) and test-retest reliability is very poor (ICC = .20, 95% CI [.05, .34]). We conclude that researchers should be very cautious about choosing to employ the IRAP or when interpreting its results.","container-title":"PsyArXiv","DOI":"10.31234/osf.io/ge3k7","note":"publisher: PsyArXiv","source":"psyarxiv.com","title":"The Implicit Relational Assessment Procedure demonstrates poor internal consistency and test-retest reliability: A meta-analysis","URL":"https://psyarxiv.com/ge3k7/","author":[{"family":"Hussey","given":"Ian"},{"family":"Drake","given":"Chad E."}],"accessed":{"date-parts":[["2020",6,12]]},"issued":{"date-parts":[["2020"]]}},"label":"page"}],"schema":"https://github.com/citation-style-language/schema/raw/master/csl-citation.json"} </w:instrText>
      </w:r>
      <w:r w:rsidRPr="00DD4379">
        <w:fldChar w:fldCharType="separate"/>
      </w:r>
      <w:r w:rsidRPr="00DD4379">
        <w:rPr>
          <w:noProof/>
        </w:rPr>
        <w:t>(Hussey &amp; Drake, 2020)</w:t>
      </w:r>
      <w:r w:rsidRPr="00DD4379">
        <w:fldChar w:fldCharType="end"/>
      </w:r>
      <w:r w:rsidRPr="00DD4379">
        <w:t>.</w:t>
      </w:r>
      <w:r w:rsidRPr="00DD4379">
        <w:rPr>
          <w:rStyle w:val="FootnoteReference"/>
        </w:rPr>
        <w:footnoteReference w:id="1"/>
      </w:r>
      <w:r w:rsidRPr="00DD4379">
        <w:t xml:space="preserve"> This leaves two remaining variables, the IRAP’s criterion validity after adjusting for measurement error (</w:t>
      </w:r>
      <m:oMath>
        <m:sSubSup>
          <m:sSubSupPr>
            <m:ctrlPr>
              <w:rPr>
                <w:rFonts w:ascii="Cambria Math" w:hAnsi="Cambria Math"/>
                <w:i/>
              </w:rPr>
            </m:ctrlPr>
          </m:sSubSupPr>
          <m:e>
            <m:r>
              <w:rPr>
                <w:rFonts w:ascii="Cambria Math" w:hAnsi="Cambria Math"/>
              </w:rPr>
              <m:t>r</m:t>
            </m:r>
          </m:e>
          <m:sub>
            <m:r>
              <w:rPr>
                <w:rFonts w:ascii="Cambria Math" w:hAnsi="Cambria Math"/>
              </w:rPr>
              <m:t>xy</m:t>
            </m:r>
          </m:sub>
          <m:sup>
            <m:r>
              <w:rPr>
                <w:rFonts w:ascii="Cambria Math" w:hAnsi="Cambria Math"/>
              </w:rPr>
              <m:t>true</m:t>
            </m:r>
          </m:sup>
        </m:sSubSup>
      </m:oMath>
      <w:r w:rsidRPr="00DD4379">
        <w:t>) and the criterion tasks’ mean reliability (</w:t>
      </w:r>
      <m:oMath>
        <m:sSub>
          <m:sSubPr>
            <m:ctrlPr>
              <w:rPr>
                <w:rFonts w:ascii="Cambria Math" w:hAnsi="Cambria Math"/>
              </w:rPr>
            </m:ctrlPr>
          </m:sSubPr>
          <m:e>
            <m:r>
              <w:rPr>
                <w:rFonts w:ascii="Cambria Math" w:hAnsi="Cambria Math"/>
              </w:rPr>
              <m:t>r</m:t>
            </m:r>
          </m:e>
          <m:sub>
            <m:r>
              <w:rPr>
                <w:rFonts w:ascii="Cambria Math" w:hAnsi="Cambria Math"/>
              </w:rPr>
              <m:t>yy</m:t>
            </m:r>
          </m:sub>
        </m:sSub>
      </m:oMath>
      <w:r w:rsidRPr="00DD4379">
        <w:t xml:space="preserve">). Both of these variables share the same constraint: as </w:t>
      </w:r>
      <w:r w:rsidRPr="00DD4379">
        <w:t>correlations, their value cannot be below -1 or above 1. For the moment, if we assume that the criterion tasks’ mean reliability is very good (</w:t>
      </w:r>
      <m:oMath>
        <m:sSub>
          <m:sSubPr>
            <m:ctrlPr>
              <w:rPr>
                <w:rFonts w:ascii="Cambria Math" w:hAnsi="Cambria Math"/>
              </w:rPr>
            </m:ctrlPr>
          </m:sSubPr>
          <m:e>
            <m:r>
              <w:rPr>
                <w:rFonts w:ascii="Cambria Math" w:hAnsi="Cambria Math"/>
              </w:rPr>
              <m:t>r</m:t>
            </m:r>
          </m:e>
          <m:sub>
            <m:r>
              <w:rPr>
                <w:rFonts w:ascii="Cambria Math" w:hAnsi="Cambria Math"/>
              </w:rPr>
              <m:t>yy</m:t>
            </m:r>
          </m:sub>
        </m:sSub>
      </m:oMath>
      <w:r w:rsidRPr="00DD4379">
        <w:t xml:space="preserve"> = 0.90). This would imply that the lower limit of the IRAP’s true criterion validity after adjusting for measurement error is somewhere between (a) implausibly high, </w:t>
      </w:r>
      <m:oMath>
        <m:sSubSup>
          <m:sSubSupPr>
            <m:ctrlPr>
              <w:rPr>
                <w:rFonts w:ascii="Cambria Math" w:hAnsi="Cambria Math"/>
                <w:i/>
              </w:rPr>
            </m:ctrlPr>
          </m:sSubSupPr>
          <m:e>
            <m:r>
              <w:rPr>
                <w:rFonts w:ascii="Cambria Math" w:hAnsi="Cambria Math"/>
              </w:rPr>
              <m:t>r</m:t>
            </m:r>
          </m:e>
          <m:sub>
            <m:r>
              <w:rPr>
                <w:rFonts w:ascii="Cambria Math" w:hAnsi="Cambria Math"/>
              </w:rPr>
              <m:t>xy</m:t>
            </m:r>
          </m:sub>
          <m:sup>
            <m:r>
              <w:rPr>
                <w:rFonts w:ascii="Cambria Math" w:hAnsi="Cambria Math"/>
              </w:rPr>
              <m:t>true</m:t>
            </m:r>
          </m:sup>
        </m:sSubSup>
      </m:oMath>
      <w:r w:rsidRPr="00DD4379">
        <w:t xml:space="preserve"> = .91 (when using the estimate of internal consistency), and (b) mathematically impossible, </w:t>
      </w:r>
      <m:oMath>
        <m:sSubSup>
          <m:sSubSupPr>
            <m:ctrlPr>
              <w:rPr>
                <w:rFonts w:ascii="Cambria Math" w:hAnsi="Cambria Math"/>
                <w:i/>
              </w:rPr>
            </m:ctrlPr>
          </m:sSubSupPr>
          <m:e>
            <m:r>
              <w:rPr>
                <w:rFonts w:ascii="Cambria Math" w:hAnsi="Cambria Math"/>
              </w:rPr>
              <m:t>r</m:t>
            </m:r>
          </m:e>
          <m:sub>
            <m:r>
              <w:rPr>
                <w:rFonts w:ascii="Cambria Math" w:hAnsi="Cambria Math"/>
              </w:rPr>
              <m:t>xy</m:t>
            </m:r>
          </m:sub>
          <m:sup>
            <m:r>
              <w:rPr>
                <w:rFonts w:ascii="Cambria Math" w:hAnsi="Cambria Math"/>
              </w:rPr>
              <m:t>true</m:t>
            </m:r>
          </m:sup>
        </m:sSubSup>
      </m:oMath>
      <w:r w:rsidRPr="00DD4379">
        <w:t xml:space="preserve"> = 1.12 (when using the estimate of test-retest reliability). Using lower and arguably more plausible values for the mean reliability of the criterion tasks produces even higher estimates for the true correlation, making both values impossible (i.e., when </w:t>
      </w:r>
      <m:oMath>
        <m:sSub>
          <m:sSubPr>
            <m:ctrlPr>
              <w:rPr>
                <w:rFonts w:ascii="Cambria Math" w:hAnsi="Cambria Math"/>
              </w:rPr>
            </m:ctrlPr>
          </m:sSubPr>
          <m:e>
            <m:r>
              <w:rPr>
                <w:rFonts w:ascii="Cambria Math" w:hAnsi="Cambria Math"/>
              </w:rPr>
              <m:t>r</m:t>
            </m:r>
          </m:e>
          <m:sub>
            <m:r>
              <w:rPr>
                <w:rFonts w:ascii="Cambria Math" w:hAnsi="Cambria Math"/>
              </w:rPr>
              <m:t>yy</m:t>
            </m:r>
          </m:sub>
        </m:sSub>
      </m:oMath>
      <w:r w:rsidRPr="00DD4379">
        <w:t xml:space="preserve"> = .70, </w:t>
      </w:r>
      <m:oMath>
        <m:sSubSup>
          <m:sSubSupPr>
            <m:ctrlPr>
              <w:rPr>
                <w:rFonts w:ascii="Cambria Math" w:hAnsi="Cambria Math"/>
                <w:i/>
              </w:rPr>
            </m:ctrlPr>
          </m:sSubSupPr>
          <m:e>
            <m:r>
              <w:rPr>
                <w:rFonts w:ascii="Cambria Math" w:hAnsi="Cambria Math"/>
              </w:rPr>
              <m:t>r</m:t>
            </m:r>
          </m:e>
          <m:sub>
            <m:r>
              <w:rPr>
                <w:rFonts w:ascii="Cambria Math" w:hAnsi="Cambria Math"/>
              </w:rPr>
              <m:t>xy</m:t>
            </m:r>
          </m:sub>
          <m:sup>
            <m:r>
              <w:rPr>
                <w:rFonts w:ascii="Cambria Math" w:hAnsi="Cambria Math"/>
              </w:rPr>
              <m:t>true</m:t>
            </m:r>
          </m:sup>
        </m:sSubSup>
      </m:oMath>
      <w:r w:rsidRPr="00DD4379">
        <w:t xml:space="preserve"> = 1.04 or 1.27 respectively). </w:t>
      </w:r>
    </w:p>
    <w:p w14:paraId="2AB7AB4F" w14:textId="77777777" w:rsidR="00663892" w:rsidRPr="00DD4379" w:rsidRDefault="00663892" w:rsidP="00663892">
      <w:r w:rsidRPr="00DD4379">
        <w:t xml:space="preserve">Given that these estimates range between highly implausible and impossible, something appears to be amiss. Either Vahey et al.’ s (2015) estimate of average criterion associations is somewhere between highly implausible and mathematically impossible given the IRAP's reliability (i.e., assuming Hussey &amp; Drake 2020 are right about the IRAP’s reliability), or Hussey &amp; Drake's (2020) estimates of the IRAP's average reliability is implausibly low given the IRAP's high criterion validity (i.e., assuming Vahey et al., 2015, are right about the IRAP’s criterion validity). Ultimately it will be up to the research community to determine whether our analyses in Hussey &amp; Drake (2020) are sound, and we provided open data and code to aid others in inspecting our work for errors. Because I am confident in our results reported there, I am instead motivated to inspect Vahey et al.’s (2015) data and analyses to determine if the issue lies there instead. </w:t>
      </w:r>
    </w:p>
    <w:p w14:paraId="6333CFFC" w14:textId="77777777" w:rsidR="00663892" w:rsidRPr="00DD4379" w:rsidRDefault="00663892" w:rsidP="00663892">
      <w:pPr>
        <w:pStyle w:val="Heading1"/>
      </w:pPr>
      <w:r w:rsidRPr="00DD4379">
        <w:t>Method &amp; Results</w:t>
      </w:r>
    </w:p>
    <w:p w14:paraId="55BEF207" w14:textId="77777777" w:rsidR="00663892" w:rsidRPr="00DD4379" w:rsidRDefault="00663892" w:rsidP="00663892">
      <w:r w:rsidRPr="00DD4379">
        <w:t xml:space="preserve">Vahey et al. (2015) reported the steps in their analyses in the conventional order: they identified effect sizes in the original article, applied inclusion and exclusion </w:t>
      </w:r>
    </w:p>
    <w:p w14:paraId="1957DD92" w14:textId="77777777" w:rsidR="00663892" w:rsidRPr="00DD4379" w:rsidRDefault="00663892" w:rsidP="00663892">
      <w:pPr>
        <w:ind w:firstLine="0"/>
      </w:pPr>
      <w:r w:rsidRPr="00DD4379">
        <w:t xml:space="preserve">criteria, extracted them, converted them to Pearson’s </w:t>
      </w:r>
      <w:r w:rsidRPr="00DD4379">
        <w:rPr>
          <w:i/>
          <w:iCs/>
        </w:rPr>
        <w:t>r</w:t>
      </w:r>
      <w:r w:rsidRPr="00DD4379">
        <w:t xml:space="preserve">, averaged them when multiple effect sizes came from a given study, fit a meta-analysis model, and performed a power analysis on the meta-effect size to guide sample size determination in future studies. Attempts to verify these steps for this article were conducted and reported here in reverse order. Subsequently, I report a new meta-analysis and power analysis using the re-extracted individual effect sizes. </w:t>
      </w:r>
    </w:p>
    <w:p w14:paraId="5ADBFA83" w14:textId="77777777" w:rsidR="00663892" w:rsidRPr="00DD4379" w:rsidRDefault="00663892" w:rsidP="00070B1E">
      <w:pPr>
        <w:pStyle w:val="Heading2"/>
      </w:pPr>
      <w:r w:rsidRPr="00DD4379">
        <w:t>Transparency statement</w:t>
      </w:r>
    </w:p>
    <w:p w14:paraId="713F4CF8" w14:textId="1BF3714A" w:rsidR="00663892" w:rsidRDefault="00663892" w:rsidP="00663892">
      <w:r w:rsidRPr="00DD4379">
        <w:t xml:space="preserve">All data, code, and formulae (e.g., to convert effect sizes) to reproduce the verification and extension analyses can be found in the supplementary materials (see </w:t>
      </w:r>
      <w:hyperlink r:id="rId11" w:history="1">
        <w:r w:rsidRPr="00DD4379">
          <w:rPr>
            <w:rStyle w:val="Hyperlink"/>
          </w:rPr>
          <w:t>osf.io/jg8td</w:t>
        </w:r>
      </w:hyperlink>
      <w:r w:rsidRPr="00DD4379">
        <w:t>). In the process of conducting this verification attempt, I contacted the corresponding</w:t>
      </w:r>
      <w:r w:rsidRPr="00034410">
        <w:t xml:space="preserve"> </w:t>
      </w:r>
    </w:p>
    <w:p w14:paraId="6BFE2C37" w14:textId="77777777" w:rsidR="000967B0" w:rsidRDefault="000967B0" w:rsidP="000967B0">
      <w:pPr>
        <w:ind w:firstLine="0"/>
        <w:sectPr w:rsidR="000967B0" w:rsidSect="008153E3">
          <w:type w:val="continuous"/>
          <w:pgSz w:w="11900" w:h="16840"/>
          <w:pgMar w:top="1440" w:right="1440" w:bottom="1440" w:left="1440" w:header="709" w:footer="709" w:gutter="0"/>
          <w:cols w:num="2" w:space="340"/>
          <w:titlePg/>
          <w:docGrid w:linePitch="360"/>
          <w15:footnoteColumns w:val="1"/>
        </w:sectPr>
      </w:pPr>
    </w:p>
    <w:p w14:paraId="5C73C12F" w14:textId="77777777" w:rsidR="000967B0" w:rsidRPr="00EE79F9" w:rsidRDefault="00000000" w:rsidP="00EE79F9">
      <w:pPr>
        <w:ind w:firstLine="0"/>
        <w:rPr>
          <w:b/>
          <w:bCs/>
        </w:rPr>
      </w:pPr>
      <w:r w:rsidRPr="00EE79F9">
        <w:rPr>
          <w:b/>
          <w:bCs/>
        </w:rPr>
        <w:lastRenderedPageBreak/>
        <w:t xml:space="preserve">Table 1. </w:t>
      </w:r>
      <w:r w:rsidRPr="004C1702">
        <w:t>Verifications of power analyses for 80% power.</w:t>
      </w:r>
    </w:p>
    <w:p w14:paraId="5FC7122C" w14:textId="77777777" w:rsidR="000967B0" w:rsidRDefault="000967B0" w:rsidP="000967B0">
      <w:pPr>
        <w:rPr>
          <w:sz w:val="16"/>
          <w:szCs w:val="16"/>
        </w:rPr>
      </w:pPr>
    </w:p>
    <w:tbl>
      <w:tblPr>
        <w:tblW w:w="8995" w:type="dxa"/>
        <w:jc w:val="center"/>
        <w:tblBorders>
          <w:top w:val="single" w:sz="4" w:space="0" w:color="auto"/>
        </w:tblBorders>
        <w:tblCellMar>
          <w:top w:w="15" w:type="dxa"/>
          <w:left w:w="15" w:type="dxa"/>
          <w:bottom w:w="15" w:type="dxa"/>
          <w:right w:w="15" w:type="dxa"/>
        </w:tblCellMar>
        <w:tblLook w:val="04A0" w:firstRow="1" w:lastRow="0" w:firstColumn="1" w:lastColumn="0" w:noHBand="0" w:noVBand="1"/>
      </w:tblPr>
      <w:tblGrid>
        <w:gridCol w:w="2577"/>
        <w:gridCol w:w="540"/>
        <w:gridCol w:w="1871"/>
        <w:gridCol w:w="627"/>
        <w:gridCol w:w="950"/>
        <w:gridCol w:w="900"/>
        <w:gridCol w:w="630"/>
        <w:gridCol w:w="900"/>
      </w:tblGrid>
      <w:tr w:rsidR="00AA6907" w14:paraId="3170701E" w14:textId="77777777" w:rsidTr="008902B8">
        <w:trPr>
          <w:tblHeader/>
          <w:jc w:val="center"/>
        </w:trPr>
        <w:tc>
          <w:tcPr>
            <w:tcW w:w="2577" w:type="dxa"/>
            <w:tcBorders>
              <w:bottom w:val="nil"/>
            </w:tcBorders>
            <w:shd w:val="clear" w:color="auto" w:fill="auto"/>
            <w:tcMar>
              <w:top w:w="0" w:type="dxa"/>
              <w:left w:w="75" w:type="dxa"/>
              <w:bottom w:w="0" w:type="dxa"/>
              <w:right w:w="75" w:type="dxa"/>
            </w:tcMar>
            <w:vAlign w:val="center"/>
          </w:tcPr>
          <w:p w14:paraId="7311039D" w14:textId="77777777" w:rsidR="00A30DBD" w:rsidRPr="001D3517" w:rsidRDefault="00A30DBD" w:rsidP="002D69CC">
            <w:pPr>
              <w:pStyle w:val="table"/>
            </w:pPr>
          </w:p>
        </w:tc>
        <w:tc>
          <w:tcPr>
            <w:tcW w:w="540" w:type="dxa"/>
            <w:tcBorders>
              <w:bottom w:val="nil"/>
            </w:tcBorders>
            <w:shd w:val="clear" w:color="auto" w:fill="auto"/>
            <w:tcMar>
              <w:top w:w="0" w:type="dxa"/>
              <w:left w:w="75" w:type="dxa"/>
              <w:bottom w:w="0" w:type="dxa"/>
              <w:right w:w="75" w:type="dxa"/>
            </w:tcMar>
            <w:vAlign w:val="center"/>
          </w:tcPr>
          <w:p w14:paraId="6EC491DF" w14:textId="77777777" w:rsidR="00A30DBD" w:rsidRPr="001D3517" w:rsidRDefault="00A30DBD" w:rsidP="002D69CC">
            <w:pPr>
              <w:pStyle w:val="table"/>
            </w:pPr>
          </w:p>
        </w:tc>
        <w:tc>
          <w:tcPr>
            <w:tcW w:w="1871" w:type="dxa"/>
            <w:tcBorders>
              <w:bottom w:val="nil"/>
            </w:tcBorders>
            <w:shd w:val="clear" w:color="auto" w:fill="auto"/>
            <w:tcMar>
              <w:top w:w="0" w:type="dxa"/>
              <w:left w:w="75" w:type="dxa"/>
              <w:bottom w:w="0" w:type="dxa"/>
              <w:right w:w="75" w:type="dxa"/>
            </w:tcMar>
            <w:vAlign w:val="center"/>
          </w:tcPr>
          <w:p w14:paraId="061D112D" w14:textId="77777777" w:rsidR="00A30DBD" w:rsidRPr="001D3517" w:rsidRDefault="00A30DBD" w:rsidP="002D69CC">
            <w:pPr>
              <w:pStyle w:val="table"/>
            </w:pPr>
          </w:p>
        </w:tc>
        <w:tc>
          <w:tcPr>
            <w:tcW w:w="1577" w:type="dxa"/>
            <w:gridSpan w:val="2"/>
            <w:tcBorders>
              <w:bottom w:val="single" w:sz="4" w:space="0" w:color="auto"/>
            </w:tcBorders>
            <w:shd w:val="clear" w:color="auto" w:fill="auto"/>
            <w:tcMar>
              <w:top w:w="0" w:type="dxa"/>
              <w:left w:w="75" w:type="dxa"/>
              <w:bottom w:w="0" w:type="dxa"/>
              <w:right w:w="75" w:type="dxa"/>
            </w:tcMar>
            <w:vAlign w:val="center"/>
          </w:tcPr>
          <w:p w14:paraId="242893E3" w14:textId="77777777" w:rsidR="00A30DBD" w:rsidRPr="001D3517" w:rsidRDefault="00000000" w:rsidP="002D69CC">
            <w:pPr>
              <w:pStyle w:val="table"/>
              <w:jc w:val="center"/>
            </w:pPr>
            <w:r w:rsidRPr="001D3517">
              <w:t xml:space="preserve">Vahey et al. (2015) </w:t>
            </w:r>
          </w:p>
        </w:tc>
        <w:tc>
          <w:tcPr>
            <w:tcW w:w="900" w:type="dxa"/>
            <w:tcBorders>
              <w:bottom w:val="single" w:sz="4" w:space="0" w:color="auto"/>
            </w:tcBorders>
            <w:vAlign w:val="center"/>
          </w:tcPr>
          <w:p w14:paraId="43BE2935" w14:textId="77777777" w:rsidR="00A30DBD" w:rsidRPr="001D3517" w:rsidRDefault="00000000" w:rsidP="002D69CC">
            <w:pPr>
              <w:pStyle w:val="table"/>
              <w:jc w:val="center"/>
            </w:pPr>
            <w:r w:rsidRPr="001D3517">
              <w:t>Verified</w:t>
            </w:r>
          </w:p>
        </w:tc>
        <w:tc>
          <w:tcPr>
            <w:tcW w:w="1530" w:type="dxa"/>
            <w:gridSpan w:val="2"/>
            <w:tcBorders>
              <w:bottom w:val="single" w:sz="4" w:space="0" w:color="auto"/>
            </w:tcBorders>
            <w:vAlign w:val="center"/>
          </w:tcPr>
          <w:p w14:paraId="713FA381" w14:textId="77777777" w:rsidR="00A30DBD" w:rsidRPr="001D3517" w:rsidRDefault="00000000" w:rsidP="002D69CC">
            <w:pPr>
              <w:pStyle w:val="table"/>
              <w:jc w:val="center"/>
            </w:pPr>
            <w:r w:rsidRPr="001D3517">
              <w:t>New meta-analysis</w:t>
            </w:r>
          </w:p>
        </w:tc>
      </w:tr>
      <w:tr w:rsidR="00AA6907" w14:paraId="4079C385" w14:textId="77777777" w:rsidTr="008902B8">
        <w:trPr>
          <w:tblHeader/>
          <w:jc w:val="center"/>
        </w:trPr>
        <w:tc>
          <w:tcPr>
            <w:tcW w:w="2577" w:type="dxa"/>
            <w:tcBorders>
              <w:top w:val="nil"/>
              <w:bottom w:val="single" w:sz="4" w:space="0" w:color="auto"/>
            </w:tcBorders>
            <w:shd w:val="clear" w:color="auto" w:fill="auto"/>
            <w:tcMar>
              <w:top w:w="0" w:type="dxa"/>
              <w:left w:w="75" w:type="dxa"/>
              <w:bottom w:w="0" w:type="dxa"/>
              <w:right w:w="75" w:type="dxa"/>
            </w:tcMar>
            <w:vAlign w:val="center"/>
            <w:hideMark/>
          </w:tcPr>
          <w:p w14:paraId="418A0A16" w14:textId="77777777" w:rsidR="00A30DBD" w:rsidRPr="001D3517" w:rsidRDefault="00000000" w:rsidP="002D69CC">
            <w:pPr>
              <w:pStyle w:val="table"/>
              <w:jc w:val="left"/>
            </w:pPr>
            <w:r w:rsidRPr="001D3517">
              <w:t>Test</w:t>
            </w:r>
          </w:p>
        </w:tc>
        <w:tc>
          <w:tcPr>
            <w:tcW w:w="540" w:type="dxa"/>
            <w:tcBorders>
              <w:top w:val="nil"/>
              <w:bottom w:val="single" w:sz="4" w:space="0" w:color="auto"/>
            </w:tcBorders>
            <w:shd w:val="clear" w:color="auto" w:fill="auto"/>
            <w:tcMar>
              <w:top w:w="0" w:type="dxa"/>
              <w:left w:w="75" w:type="dxa"/>
              <w:bottom w:w="0" w:type="dxa"/>
              <w:right w:w="75" w:type="dxa"/>
            </w:tcMar>
            <w:vAlign w:val="center"/>
            <w:hideMark/>
          </w:tcPr>
          <w:p w14:paraId="67B1CA01" w14:textId="77777777" w:rsidR="00A30DBD" w:rsidRPr="001D3517" w:rsidRDefault="00000000" w:rsidP="002D69CC">
            <w:pPr>
              <w:pStyle w:val="table"/>
              <w:jc w:val="left"/>
            </w:pPr>
            <w:r w:rsidRPr="001D3517">
              <w:t>Tails</w:t>
            </w:r>
          </w:p>
        </w:tc>
        <w:tc>
          <w:tcPr>
            <w:tcW w:w="1871" w:type="dxa"/>
            <w:tcBorders>
              <w:top w:val="nil"/>
              <w:bottom w:val="single" w:sz="4" w:space="0" w:color="auto"/>
            </w:tcBorders>
            <w:shd w:val="clear" w:color="auto" w:fill="auto"/>
            <w:tcMar>
              <w:top w:w="0" w:type="dxa"/>
              <w:left w:w="75" w:type="dxa"/>
              <w:bottom w:w="0" w:type="dxa"/>
              <w:right w:w="75" w:type="dxa"/>
            </w:tcMar>
            <w:vAlign w:val="center"/>
            <w:hideMark/>
          </w:tcPr>
          <w:p w14:paraId="2A9F644D" w14:textId="77777777" w:rsidR="00A30DBD" w:rsidRPr="001D3517" w:rsidRDefault="00000000" w:rsidP="002D69CC">
            <w:pPr>
              <w:pStyle w:val="table"/>
              <w:jc w:val="left"/>
            </w:pPr>
            <w:r w:rsidRPr="001D3517">
              <w:t>Estimated using*</w:t>
            </w:r>
          </w:p>
        </w:tc>
        <w:tc>
          <w:tcPr>
            <w:tcW w:w="627" w:type="dxa"/>
            <w:tcBorders>
              <w:top w:val="single" w:sz="4" w:space="0" w:color="auto"/>
              <w:bottom w:val="single" w:sz="4" w:space="0" w:color="auto"/>
            </w:tcBorders>
            <w:shd w:val="clear" w:color="auto" w:fill="auto"/>
            <w:tcMar>
              <w:top w:w="0" w:type="dxa"/>
              <w:left w:w="75" w:type="dxa"/>
              <w:bottom w:w="0" w:type="dxa"/>
              <w:right w:w="75" w:type="dxa"/>
            </w:tcMar>
            <w:vAlign w:val="center"/>
            <w:hideMark/>
          </w:tcPr>
          <w:p w14:paraId="3FD7B2F1" w14:textId="77777777" w:rsidR="00A30DBD" w:rsidRPr="001D3517" w:rsidRDefault="00000000" w:rsidP="002D69CC">
            <w:pPr>
              <w:pStyle w:val="table"/>
              <w:jc w:val="center"/>
            </w:pPr>
            <m:oMathPara>
              <m:oMath>
                <m:acc>
                  <m:accPr>
                    <m:chr m:val="̅"/>
                    <m:ctrlPr>
                      <w:rPr>
                        <w:rFonts w:ascii="Cambria Math" w:hAnsi="Cambria Math"/>
                      </w:rPr>
                    </m:ctrlPr>
                  </m:accPr>
                  <m:e>
                    <m:r>
                      <w:rPr>
                        <w:rFonts w:ascii="Cambria Math" w:hAnsi="Cambria Math"/>
                      </w:rPr>
                      <m:t>r</m:t>
                    </m:r>
                  </m:e>
                </m:acc>
              </m:oMath>
            </m:oMathPara>
          </w:p>
        </w:tc>
        <w:tc>
          <w:tcPr>
            <w:tcW w:w="950" w:type="dxa"/>
            <w:tcBorders>
              <w:top w:val="single" w:sz="4" w:space="0" w:color="auto"/>
              <w:bottom w:val="single" w:sz="4" w:space="0" w:color="auto"/>
            </w:tcBorders>
            <w:vAlign w:val="center"/>
          </w:tcPr>
          <w:p w14:paraId="50F8A0A4" w14:textId="77777777" w:rsidR="00A30DBD" w:rsidRPr="001D3517" w:rsidRDefault="00000000" w:rsidP="002D69CC">
            <w:pPr>
              <w:pStyle w:val="table"/>
              <w:jc w:val="center"/>
            </w:pPr>
            <w:r w:rsidRPr="001D3517">
              <w:rPr>
                <w:i/>
                <w:iCs/>
              </w:rPr>
              <w:t>N</w:t>
            </w:r>
          </w:p>
        </w:tc>
        <w:tc>
          <w:tcPr>
            <w:tcW w:w="900" w:type="dxa"/>
            <w:tcBorders>
              <w:top w:val="single" w:sz="4" w:space="0" w:color="auto"/>
              <w:bottom w:val="single" w:sz="4" w:space="0" w:color="auto"/>
            </w:tcBorders>
            <w:vAlign w:val="center"/>
          </w:tcPr>
          <w:p w14:paraId="6D378C4A" w14:textId="77777777" w:rsidR="00A30DBD" w:rsidRPr="001D3517" w:rsidRDefault="00000000" w:rsidP="002D69CC">
            <w:pPr>
              <w:pStyle w:val="table"/>
              <w:jc w:val="center"/>
            </w:pPr>
            <w:r w:rsidRPr="001D3517">
              <w:rPr>
                <w:i/>
                <w:iCs/>
              </w:rPr>
              <w:t>N</w:t>
            </w:r>
          </w:p>
        </w:tc>
        <w:tc>
          <w:tcPr>
            <w:tcW w:w="630" w:type="dxa"/>
            <w:tcBorders>
              <w:top w:val="single" w:sz="4" w:space="0" w:color="auto"/>
              <w:bottom w:val="single" w:sz="4" w:space="0" w:color="auto"/>
            </w:tcBorders>
            <w:vAlign w:val="center"/>
          </w:tcPr>
          <w:p w14:paraId="070DF57D" w14:textId="77777777" w:rsidR="00A30DBD" w:rsidRPr="001D3517" w:rsidRDefault="00000000" w:rsidP="002D69CC">
            <w:pPr>
              <w:pStyle w:val="table"/>
              <w:jc w:val="center"/>
            </w:pPr>
            <m:oMathPara>
              <m:oMath>
                <m:acc>
                  <m:accPr>
                    <m:chr m:val="̅"/>
                    <m:ctrlPr>
                      <w:rPr>
                        <w:rFonts w:ascii="Cambria Math" w:hAnsi="Cambria Math"/>
                      </w:rPr>
                    </m:ctrlPr>
                  </m:accPr>
                  <m:e>
                    <m:r>
                      <w:rPr>
                        <w:rFonts w:ascii="Cambria Math" w:hAnsi="Cambria Math"/>
                      </w:rPr>
                      <m:t>r</m:t>
                    </m:r>
                  </m:e>
                </m:acc>
              </m:oMath>
            </m:oMathPara>
          </w:p>
        </w:tc>
        <w:tc>
          <w:tcPr>
            <w:tcW w:w="900" w:type="dxa"/>
            <w:tcBorders>
              <w:top w:val="single" w:sz="4" w:space="0" w:color="auto"/>
              <w:bottom w:val="single" w:sz="4" w:space="0" w:color="auto"/>
            </w:tcBorders>
            <w:vAlign w:val="center"/>
          </w:tcPr>
          <w:p w14:paraId="3D8F609A" w14:textId="77777777" w:rsidR="00A30DBD" w:rsidRPr="001D3517" w:rsidRDefault="00000000" w:rsidP="002D69CC">
            <w:pPr>
              <w:pStyle w:val="table"/>
              <w:jc w:val="center"/>
            </w:pPr>
            <w:r w:rsidRPr="001D3517">
              <w:rPr>
                <w:i/>
                <w:iCs/>
              </w:rPr>
              <w:t>N</w:t>
            </w:r>
          </w:p>
        </w:tc>
      </w:tr>
      <w:tr w:rsidR="00AA6907" w14:paraId="3A89BAB1" w14:textId="77777777" w:rsidTr="008902B8">
        <w:trPr>
          <w:jc w:val="center"/>
        </w:trPr>
        <w:tc>
          <w:tcPr>
            <w:tcW w:w="2577" w:type="dxa"/>
            <w:tcBorders>
              <w:top w:val="single" w:sz="4" w:space="0" w:color="auto"/>
            </w:tcBorders>
            <w:shd w:val="clear" w:color="auto" w:fill="auto"/>
            <w:tcMar>
              <w:top w:w="0" w:type="dxa"/>
              <w:left w:w="75" w:type="dxa"/>
              <w:bottom w:w="0" w:type="dxa"/>
              <w:right w:w="75" w:type="dxa"/>
            </w:tcMar>
            <w:vAlign w:val="center"/>
            <w:hideMark/>
          </w:tcPr>
          <w:p w14:paraId="1A4E9B69" w14:textId="77777777" w:rsidR="00A30DBD" w:rsidRPr="00D85791" w:rsidRDefault="00000000" w:rsidP="002D69CC">
            <w:pPr>
              <w:pStyle w:val="table"/>
              <w:jc w:val="left"/>
            </w:pPr>
            <w:r w:rsidRPr="00D85791">
              <w:t xml:space="preserve">Pearson’s </w:t>
            </w:r>
            <w:r w:rsidRPr="00D85791">
              <w:rPr>
                <w:i/>
                <w:iCs/>
              </w:rPr>
              <w:t>r</w:t>
            </w:r>
          </w:p>
        </w:tc>
        <w:tc>
          <w:tcPr>
            <w:tcW w:w="540" w:type="dxa"/>
            <w:tcBorders>
              <w:top w:val="single" w:sz="4" w:space="0" w:color="auto"/>
            </w:tcBorders>
            <w:shd w:val="clear" w:color="auto" w:fill="auto"/>
            <w:tcMar>
              <w:top w:w="0" w:type="dxa"/>
              <w:left w:w="75" w:type="dxa"/>
              <w:bottom w:w="0" w:type="dxa"/>
              <w:right w:w="75" w:type="dxa"/>
            </w:tcMar>
            <w:vAlign w:val="center"/>
            <w:hideMark/>
          </w:tcPr>
          <w:p w14:paraId="54ACD9AB" w14:textId="77777777" w:rsidR="00A30DBD" w:rsidRPr="00D85791" w:rsidRDefault="00000000" w:rsidP="002D69CC">
            <w:pPr>
              <w:pStyle w:val="table"/>
              <w:jc w:val="left"/>
            </w:pPr>
            <w:r w:rsidRPr="00D85791">
              <w:t>One</w:t>
            </w:r>
          </w:p>
        </w:tc>
        <w:tc>
          <w:tcPr>
            <w:tcW w:w="1871" w:type="dxa"/>
            <w:tcBorders>
              <w:top w:val="single" w:sz="4" w:space="0" w:color="auto"/>
            </w:tcBorders>
            <w:shd w:val="clear" w:color="auto" w:fill="auto"/>
            <w:tcMar>
              <w:top w:w="0" w:type="dxa"/>
              <w:left w:w="75" w:type="dxa"/>
              <w:bottom w:w="0" w:type="dxa"/>
              <w:right w:w="75" w:type="dxa"/>
            </w:tcMar>
            <w:vAlign w:val="center"/>
            <w:hideMark/>
          </w:tcPr>
          <w:p w14:paraId="06275CC0" w14:textId="77777777" w:rsidR="00A30DBD" w:rsidRPr="00D85791" w:rsidRDefault="00000000" w:rsidP="002D69CC">
            <w:pPr>
              <w:pStyle w:val="table"/>
              <w:jc w:val="left"/>
            </w:pPr>
            <w:r w:rsidRPr="00D85791">
              <w:t>Point estimate</w:t>
            </w:r>
          </w:p>
        </w:tc>
        <w:tc>
          <w:tcPr>
            <w:tcW w:w="627" w:type="dxa"/>
            <w:tcBorders>
              <w:top w:val="single" w:sz="4" w:space="0" w:color="auto"/>
            </w:tcBorders>
            <w:shd w:val="clear" w:color="auto" w:fill="auto"/>
            <w:tcMar>
              <w:top w:w="0" w:type="dxa"/>
              <w:left w:w="75" w:type="dxa"/>
              <w:bottom w:w="0" w:type="dxa"/>
              <w:right w:w="75" w:type="dxa"/>
            </w:tcMar>
            <w:vAlign w:val="center"/>
            <w:hideMark/>
          </w:tcPr>
          <w:p w14:paraId="2F1DED3F" w14:textId="77777777" w:rsidR="00A30DBD" w:rsidRPr="00D85791" w:rsidRDefault="00000000" w:rsidP="002D69CC">
            <w:pPr>
              <w:pStyle w:val="table"/>
              <w:jc w:val="center"/>
            </w:pPr>
            <w:r w:rsidRPr="00D85791">
              <w:t>0.45</w:t>
            </w:r>
          </w:p>
        </w:tc>
        <w:tc>
          <w:tcPr>
            <w:tcW w:w="950" w:type="dxa"/>
            <w:tcBorders>
              <w:top w:val="single" w:sz="4" w:space="0" w:color="auto"/>
            </w:tcBorders>
            <w:vAlign w:val="center"/>
          </w:tcPr>
          <w:p w14:paraId="2A2345E8" w14:textId="77777777" w:rsidR="00A30DBD" w:rsidRPr="00D85791" w:rsidRDefault="00000000" w:rsidP="00BA7D0F">
            <w:pPr>
              <w:pStyle w:val="table"/>
              <w:tabs>
                <w:tab w:val="decimal" w:pos="216"/>
              </w:tabs>
              <w:jc w:val="center"/>
            </w:pPr>
            <w:r w:rsidRPr="00D85791">
              <w:t>29</w:t>
            </w:r>
          </w:p>
        </w:tc>
        <w:tc>
          <w:tcPr>
            <w:tcW w:w="900" w:type="dxa"/>
            <w:tcBorders>
              <w:top w:val="single" w:sz="4" w:space="0" w:color="auto"/>
            </w:tcBorders>
            <w:vAlign w:val="center"/>
          </w:tcPr>
          <w:p w14:paraId="263D9BB7" w14:textId="77777777" w:rsidR="00A30DBD" w:rsidRPr="00D85791" w:rsidRDefault="00000000" w:rsidP="00BA7D0F">
            <w:pPr>
              <w:pStyle w:val="table"/>
              <w:tabs>
                <w:tab w:val="decimal" w:pos="170"/>
              </w:tabs>
              <w:jc w:val="center"/>
            </w:pPr>
            <w:r w:rsidRPr="00D85791">
              <w:t>29</w:t>
            </w:r>
          </w:p>
        </w:tc>
        <w:tc>
          <w:tcPr>
            <w:tcW w:w="630" w:type="dxa"/>
            <w:tcBorders>
              <w:top w:val="single" w:sz="4" w:space="0" w:color="auto"/>
            </w:tcBorders>
            <w:vAlign w:val="center"/>
          </w:tcPr>
          <w:p w14:paraId="248B8B6E" w14:textId="77777777" w:rsidR="00A30DBD" w:rsidRPr="00D85791" w:rsidRDefault="00000000" w:rsidP="002D69CC">
            <w:pPr>
              <w:pStyle w:val="table"/>
              <w:jc w:val="center"/>
            </w:pPr>
            <w:r w:rsidRPr="00500B88">
              <w:t>.22</w:t>
            </w:r>
          </w:p>
        </w:tc>
        <w:tc>
          <w:tcPr>
            <w:tcW w:w="900" w:type="dxa"/>
            <w:tcBorders>
              <w:top w:val="single" w:sz="4" w:space="0" w:color="auto"/>
            </w:tcBorders>
            <w:vAlign w:val="center"/>
          </w:tcPr>
          <w:p w14:paraId="1870CD89" w14:textId="77777777" w:rsidR="00A30DBD" w:rsidRPr="00D85791" w:rsidRDefault="00000000" w:rsidP="008905C7">
            <w:pPr>
              <w:pStyle w:val="table"/>
              <w:tabs>
                <w:tab w:val="decimal" w:pos="256"/>
              </w:tabs>
              <w:jc w:val="center"/>
            </w:pPr>
            <w:r w:rsidRPr="00500B88">
              <w:t>126</w:t>
            </w:r>
          </w:p>
        </w:tc>
      </w:tr>
      <w:tr w:rsidR="00AA6907" w14:paraId="072C7054" w14:textId="77777777" w:rsidTr="008902B8">
        <w:trPr>
          <w:jc w:val="center"/>
        </w:trPr>
        <w:tc>
          <w:tcPr>
            <w:tcW w:w="2577" w:type="dxa"/>
            <w:shd w:val="clear" w:color="auto" w:fill="auto"/>
            <w:tcMar>
              <w:top w:w="0" w:type="dxa"/>
              <w:left w:w="75" w:type="dxa"/>
              <w:bottom w:w="0" w:type="dxa"/>
              <w:right w:w="75" w:type="dxa"/>
            </w:tcMar>
            <w:vAlign w:val="center"/>
            <w:hideMark/>
          </w:tcPr>
          <w:p w14:paraId="50CBDB70" w14:textId="77777777" w:rsidR="00A30DBD" w:rsidRPr="00D85791" w:rsidRDefault="00000000" w:rsidP="002D69CC">
            <w:pPr>
              <w:pStyle w:val="table"/>
              <w:jc w:val="left"/>
            </w:pPr>
            <w:r w:rsidRPr="00D85791">
              <w:t xml:space="preserve">Pearson’s </w:t>
            </w:r>
            <w:r w:rsidRPr="00D85791">
              <w:rPr>
                <w:i/>
                <w:iCs/>
              </w:rPr>
              <w:t>r</w:t>
            </w:r>
          </w:p>
        </w:tc>
        <w:tc>
          <w:tcPr>
            <w:tcW w:w="540" w:type="dxa"/>
            <w:shd w:val="clear" w:color="auto" w:fill="auto"/>
            <w:tcMar>
              <w:top w:w="0" w:type="dxa"/>
              <w:left w:w="75" w:type="dxa"/>
              <w:bottom w:w="0" w:type="dxa"/>
              <w:right w:w="75" w:type="dxa"/>
            </w:tcMar>
            <w:vAlign w:val="center"/>
            <w:hideMark/>
          </w:tcPr>
          <w:p w14:paraId="37AE27F0" w14:textId="77777777" w:rsidR="00A30DBD" w:rsidRPr="00D85791" w:rsidRDefault="00000000" w:rsidP="002D69CC">
            <w:pPr>
              <w:pStyle w:val="table"/>
              <w:jc w:val="left"/>
            </w:pPr>
            <w:r w:rsidRPr="00D85791">
              <w:t>One</w:t>
            </w:r>
          </w:p>
        </w:tc>
        <w:tc>
          <w:tcPr>
            <w:tcW w:w="1871" w:type="dxa"/>
            <w:shd w:val="clear" w:color="auto" w:fill="auto"/>
            <w:tcMar>
              <w:top w:w="0" w:type="dxa"/>
              <w:left w:w="75" w:type="dxa"/>
              <w:bottom w:w="0" w:type="dxa"/>
              <w:right w:w="75" w:type="dxa"/>
            </w:tcMar>
            <w:vAlign w:val="center"/>
            <w:hideMark/>
          </w:tcPr>
          <w:p w14:paraId="2F3EEA45" w14:textId="77777777" w:rsidR="00A30DBD" w:rsidRPr="00D85791" w:rsidRDefault="00000000" w:rsidP="002D69CC">
            <w:pPr>
              <w:pStyle w:val="table"/>
              <w:jc w:val="left"/>
            </w:pPr>
            <w:r w:rsidRPr="00D85791">
              <w:t xml:space="preserve">Lower bound of 95% </w:t>
            </w:r>
            <w:r>
              <w:t>CI</w:t>
            </w:r>
          </w:p>
        </w:tc>
        <w:tc>
          <w:tcPr>
            <w:tcW w:w="627" w:type="dxa"/>
            <w:shd w:val="clear" w:color="auto" w:fill="auto"/>
            <w:tcMar>
              <w:top w:w="0" w:type="dxa"/>
              <w:left w:w="75" w:type="dxa"/>
              <w:bottom w:w="0" w:type="dxa"/>
              <w:right w:w="75" w:type="dxa"/>
            </w:tcMar>
            <w:vAlign w:val="center"/>
            <w:hideMark/>
          </w:tcPr>
          <w:p w14:paraId="1BAE28DE" w14:textId="77777777" w:rsidR="00A30DBD" w:rsidRPr="00D85791" w:rsidRDefault="00000000" w:rsidP="002D69CC">
            <w:pPr>
              <w:pStyle w:val="table"/>
              <w:jc w:val="center"/>
            </w:pPr>
            <w:r w:rsidRPr="00D85791">
              <w:t>0.40</w:t>
            </w:r>
          </w:p>
        </w:tc>
        <w:tc>
          <w:tcPr>
            <w:tcW w:w="950" w:type="dxa"/>
            <w:vAlign w:val="center"/>
          </w:tcPr>
          <w:p w14:paraId="03629149" w14:textId="77777777" w:rsidR="00A30DBD" w:rsidRPr="00D85791" w:rsidRDefault="00000000" w:rsidP="00BA7D0F">
            <w:pPr>
              <w:pStyle w:val="table"/>
              <w:tabs>
                <w:tab w:val="decimal" w:pos="216"/>
              </w:tabs>
              <w:jc w:val="center"/>
            </w:pPr>
            <w:r w:rsidRPr="00D85791">
              <w:t>37</w:t>
            </w:r>
          </w:p>
        </w:tc>
        <w:tc>
          <w:tcPr>
            <w:tcW w:w="900" w:type="dxa"/>
            <w:vAlign w:val="center"/>
          </w:tcPr>
          <w:p w14:paraId="776C5FAE" w14:textId="77777777" w:rsidR="00A30DBD" w:rsidRPr="00D85791" w:rsidRDefault="00000000" w:rsidP="00BA7D0F">
            <w:pPr>
              <w:pStyle w:val="table"/>
              <w:tabs>
                <w:tab w:val="decimal" w:pos="170"/>
              </w:tabs>
              <w:jc w:val="center"/>
            </w:pPr>
            <w:r w:rsidRPr="00D85791">
              <w:t>37</w:t>
            </w:r>
          </w:p>
        </w:tc>
        <w:tc>
          <w:tcPr>
            <w:tcW w:w="630" w:type="dxa"/>
            <w:vAlign w:val="center"/>
          </w:tcPr>
          <w:p w14:paraId="139F7EF7" w14:textId="77777777" w:rsidR="00A30DBD" w:rsidRPr="00D85791" w:rsidRDefault="00000000" w:rsidP="002D69CC">
            <w:pPr>
              <w:pStyle w:val="table"/>
              <w:jc w:val="center"/>
            </w:pPr>
            <w:r w:rsidRPr="00500B88">
              <w:t>.15</w:t>
            </w:r>
          </w:p>
        </w:tc>
        <w:tc>
          <w:tcPr>
            <w:tcW w:w="900" w:type="dxa"/>
            <w:vAlign w:val="center"/>
          </w:tcPr>
          <w:p w14:paraId="68D67AA8" w14:textId="77777777" w:rsidR="00A30DBD" w:rsidRPr="00D85791" w:rsidRDefault="00000000" w:rsidP="008905C7">
            <w:pPr>
              <w:pStyle w:val="table"/>
              <w:tabs>
                <w:tab w:val="decimal" w:pos="256"/>
              </w:tabs>
              <w:jc w:val="center"/>
            </w:pPr>
            <w:r w:rsidRPr="00500B88">
              <w:t>273</w:t>
            </w:r>
          </w:p>
        </w:tc>
      </w:tr>
      <w:tr w:rsidR="00AA6907" w14:paraId="7B1C225D" w14:textId="77777777" w:rsidTr="008902B8">
        <w:trPr>
          <w:jc w:val="center"/>
        </w:trPr>
        <w:tc>
          <w:tcPr>
            <w:tcW w:w="2577" w:type="dxa"/>
            <w:shd w:val="clear" w:color="auto" w:fill="auto"/>
            <w:tcMar>
              <w:top w:w="0" w:type="dxa"/>
              <w:left w:w="75" w:type="dxa"/>
              <w:bottom w:w="0" w:type="dxa"/>
              <w:right w:w="75" w:type="dxa"/>
            </w:tcMar>
            <w:vAlign w:val="center"/>
            <w:hideMark/>
          </w:tcPr>
          <w:p w14:paraId="4EDDEC34" w14:textId="77777777" w:rsidR="00A30DBD" w:rsidRPr="00D85791" w:rsidRDefault="00000000" w:rsidP="002D69CC">
            <w:pPr>
              <w:pStyle w:val="table"/>
              <w:jc w:val="left"/>
            </w:pPr>
            <w:r w:rsidRPr="00D85791">
              <w:t xml:space="preserve">Pearson’s </w:t>
            </w:r>
            <w:r w:rsidRPr="00D85791">
              <w:rPr>
                <w:i/>
                <w:iCs/>
              </w:rPr>
              <w:t>r</w:t>
            </w:r>
          </w:p>
        </w:tc>
        <w:tc>
          <w:tcPr>
            <w:tcW w:w="540" w:type="dxa"/>
            <w:shd w:val="clear" w:color="auto" w:fill="auto"/>
            <w:tcMar>
              <w:top w:w="0" w:type="dxa"/>
              <w:left w:w="75" w:type="dxa"/>
              <w:bottom w:w="0" w:type="dxa"/>
              <w:right w:w="75" w:type="dxa"/>
            </w:tcMar>
            <w:vAlign w:val="center"/>
            <w:hideMark/>
          </w:tcPr>
          <w:p w14:paraId="32BB6EBE" w14:textId="77777777" w:rsidR="00A30DBD" w:rsidRPr="00D85791" w:rsidRDefault="00000000" w:rsidP="002D69CC">
            <w:pPr>
              <w:pStyle w:val="table"/>
              <w:jc w:val="left"/>
            </w:pPr>
            <w:r w:rsidRPr="00D85791">
              <w:t>Two</w:t>
            </w:r>
          </w:p>
        </w:tc>
        <w:tc>
          <w:tcPr>
            <w:tcW w:w="1871" w:type="dxa"/>
            <w:shd w:val="clear" w:color="auto" w:fill="auto"/>
            <w:tcMar>
              <w:top w:w="0" w:type="dxa"/>
              <w:left w:w="75" w:type="dxa"/>
              <w:bottom w:w="0" w:type="dxa"/>
              <w:right w:w="75" w:type="dxa"/>
            </w:tcMar>
            <w:vAlign w:val="center"/>
            <w:hideMark/>
          </w:tcPr>
          <w:p w14:paraId="5B943F6C" w14:textId="77777777" w:rsidR="00A30DBD" w:rsidRPr="00D85791" w:rsidRDefault="00000000" w:rsidP="002D69CC">
            <w:pPr>
              <w:pStyle w:val="table"/>
              <w:jc w:val="left"/>
            </w:pPr>
            <w:r w:rsidRPr="00D85791">
              <w:t>Point estimate</w:t>
            </w:r>
          </w:p>
        </w:tc>
        <w:tc>
          <w:tcPr>
            <w:tcW w:w="627" w:type="dxa"/>
            <w:shd w:val="clear" w:color="auto" w:fill="auto"/>
            <w:tcMar>
              <w:top w:w="0" w:type="dxa"/>
              <w:left w:w="75" w:type="dxa"/>
              <w:bottom w:w="0" w:type="dxa"/>
              <w:right w:w="75" w:type="dxa"/>
            </w:tcMar>
            <w:vAlign w:val="center"/>
            <w:hideMark/>
          </w:tcPr>
          <w:p w14:paraId="6151E840" w14:textId="77777777" w:rsidR="00A30DBD" w:rsidRPr="00D85791" w:rsidRDefault="00000000" w:rsidP="002D69CC">
            <w:pPr>
              <w:pStyle w:val="table"/>
              <w:jc w:val="center"/>
            </w:pPr>
            <w:r w:rsidRPr="00D85791">
              <w:t>0.45</w:t>
            </w:r>
          </w:p>
        </w:tc>
        <w:tc>
          <w:tcPr>
            <w:tcW w:w="950" w:type="dxa"/>
            <w:vAlign w:val="center"/>
          </w:tcPr>
          <w:p w14:paraId="1E47CD2C" w14:textId="77777777" w:rsidR="00A30DBD" w:rsidRPr="00D85791" w:rsidRDefault="00000000" w:rsidP="00BA7D0F">
            <w:pPr>
              <w:pStyle w:val="table"/>
              <w:tabs>
                <w:tab w:val="decimal" w:pos="216"/>
              </w:tabs>
              <w:jc w:val="center"/>
            </w:pPr>
            <w:r w:rsidRPr="00D85791">
              <w:t>36</w:t>
            </w:r>
          </w:p>
        </w:tc>
        <w:tc>
          <w:tcPr>
            <w:tcW w:w="900" w:type="dxa"/>
            <w:vAlign w:val="center"/>
          </w:tcPr>
          <w:p w14:paraId="4396D65E" w14:textId="77777777" w:rsidR="00A30DBD" w:rsidRPr="00D85791" w:rsidRDefault="00000000" w:rsidP="00BA7D0F">
            <w:pPr>
              <w:pStyle w:val="table"/>
              <w:tabs>
                <w:tab w:val="decimal" w:pos="170"/>
              </w:tabs>
              <w:jc w:val="center"/>
            </w:pPr>
            <w:r w:rsidRPr="00D85791">
              <w:t>36</w:t>
            </w:r>
          </w:p>
        </w:tc>
        <w:tc>
          <w:tcPr>
            <w:tcW w:w="630" w:type="dxa"/>
            <w:vAlign w:val="center"/>
          </w:tcPr>
          <w:p w14:paraId="0CAAB5A2" w14:textId="77777777" w:rsidR="00A30DBD" w:rsidRPr="00D85791" w:rsidRDefault="00000000" w:rsidP="002D69CC">
            <w:pPr>
              <w:pStyle w:val="table"/>
              <w:jc w:val="center"/>
            </w:pPr>
            <w:r w:rsidRPr="00500B88">
              <w:t>.22</w:t>
            </w:r>
          </w:p>
        </w:tc>
        <w:tc>
          <w:tcPr>
            <w:tcW w:w="900" w:type="dxa"/>
            <w:vAlign w:val="center"/>
          </w:tcPr>
          <w:p w14:paraId="0C06C765" w14:textId="77777777" w:rsidR="00A30DBD" w:rsidRPr="00D85791" w:rsidRDefault="00000000" w:rsidP="008905C7">
            <w:pPr>
              <w:pStyle w:val="table"/>
              <w:tabs>
                <w:tab w:val="decimal" w:pos="256"/>
              </w:tabs>
              <w:jc w:val="center"/>
            </w:pPr>
            <w:r w:rsidRPr="00500B88">
              <w:t>160</w:t>
            </w:r>
          </w:p>
        </w:tc>
      </w:tr>
      <w:tr w:rsidR="00AA6907" w14:paraId="617FD2F6" w14:textId="77777777" w:rsidTr="008902B8">
        <w:trPr>
          <w:jc w:val="center"/>
        </w:trPr>
        <w:tc>
          <w:tcPr>
            <w:tcW w:w="2577" w:type="dxa"/>
            <w:shd w:val="clear" w:color="auto" w:fill="auto"/>
            <w:tcMar>
              <w:top w:w="0" w:type="dxa"/>
              <w:left w:w="75" w:type="dxa"/>
              <w:bottom w:w="0" w:type="dxa"/>
              <w:right w:w="75" w:type="dxa"/>
            </w:tcMar>
            <w:vAlign w:val="center"/>
            <w:hideMark/>
          </w:tcPr>
          <w:p w14:paraId="015F3E3A" w14:textId="77777777" w:rsidR="00A30DBD" w:rsidRPr="00D85791" w:rsidRDefault="00000000" w:rsidP="002D69CC">
            <w:pPr>
              <w:pStyle w:val="table"/>
              <w:jc w:val="left"/>
            </w:pPr>
            <w:r w:rsidRPr="00D85791">
              <w:t xml:space="preserve">Pearson’s </w:t>
            </w:r>
            <w:r w:rsidRPr="00956191">
              <w:rPr>
                <w:i/>
                <w:iCs/>
              </w:rPr>
              <w:t>r</w:t>
            </w:r>
          </w:p>
        </w:tc>
        <w:tc>
          <w:tcPr>
            <w:tcW w:w="540" w:type="dxa"/>
            <w:shd w:val="clear" w:color="auto" w:fill="auto"/>
            <w:tcMar>
              <w:top w:w="0" w:type="dxa"/>
              <w:left w:w="75" w:type="dxa"/>
              <w:bottom w:w="0" w:type="dxa"/>
              <w:right w:w="75" w:type="dxa"/>
            </w:tcMar>
            <w:vAlign w:val="center"/>
            <w:hideMark/>
          </w:tcPr>
          <w:p w14:paraId="3DE2F4E3" w14:textId="77777777" w:rsidR="00A30DBD" w:rsidRPr="00D85791" w:rsidRDefault="00000000" w:rsidP="002D69CC">
            <w:pPr>
              <w:pStyle w:val="table"/>
              <w:jc w:val="left"/>
            </w:pPr>
            <w:r w:rsidRPr="00D85791">
              <w:t>Two</w:t>
            </w:r>
          </w:p>
        </w:tc>
        <w:tc>
          <w:tcPr>
            <w:tcW w:w="1871" w:type="dxa"/>
            <w:shd w:val="clear" w:color="auto" w:fill="auto"/>
            <w:tcMar>
              <w:top w:w="0" w:type="dxa"/>
              <w:left w:w="75" w:type="dxa"/>
              <w:bottom w:w="0" w:type="dxa"/>
              <w:right w:w="75" w:type="dxa"/>
            </w:tcMar>
            <w:vAlign w:val="center"/>
            <w:hideMark/>
          </w:tcPr>
          <w:p w14:paraId="46D97CAF" w14:textId="77777777" w:rsidR="00A30DBD" w:rsidRPr="00D85791" w:rsidRDefault="00000000" w:rsidP="002D69CC">
            <w:pPr>
              <w:pStyle w:val="table"/>
              <w:jc w:val="left"/>
            </w:pPr>
            <w:r w:rsidRPr="00D85791">
              <w:t xml:space="preserve">Lower bound of 95% </w:t>
            </w:r>
            <w:r>
              <w:t>CI</w:t>
            </w:r>
          </w:p>
        </w:tc>
        <w:tc>
          <w:tcPr>
            <w:tcW w:w="627" w:type="dxa"/>
            <w:shd w:val="clear" w:color="auto" w:fill="auto"/>
            <w:tcMar>
              <w:top w:w="0" w:type="dxa"/>
              <w:left w:w="75" w:type="dxa"/>
              <w:bottom w:w="0" w:type="dxa"/>
              <w:right w:w="75" w:type="dxa"/>
            </w:tcMar>
            <w:vAlign w:val="center"/>
            <w:hideMark/>
          </w:tcPr>
          <w:p w14:paraId="2091312C" w14:textId="77777777" w:rsidR="00A30DBD" w:rsidRPr="00D85791" w:rsidRDefault="00000000" w:rsidP="002D69CC">
            <w:pPr>
              <w:pStyle w:val="table"/>
              <w:jc w:val="center"/>
            </w:pPr>
            <w:r w:rsidRPr="00D85791">
              <w:t>0.40</w:t>
            </w:r>
          </w:p>
        </w:tc>
        <w:tc>
          <w:tcPr>
            <w:tcW w:w="950" w:type="dxa"/>
            <w:vAlign w:val="center"/>
          </w:tcPr>
          <w:p w14:paraId="7D183887" w14:textId="77777777" w:rsidR="00A30DBD" w:rsidRDefault="00000000" w:rsidP="00BA7D0F">
            <w:pPr>
              <w:pStyle w:val="table"/>
              <w:tabs>
                <w:tab w:val="decimal" w:pos="216"/>
              </w:tabs>
              <w:jc w:val="center"/>
            </w:pPr>
            <w:r>
              <w:t>-</w:t>
            </w:r>
          </w:p>
        </w:tc>
        <w:tc>
          <w:tcPr>
            <w:tcW w:w="900" w:type="dxa"/>
            <w:vAlign w:val="center"/>
          </w:tcPr>
          <w:p w14:paraId="253D8131" w14:textId="77777777" w:rsidR="00A30DBD" w:rsidRDefault="00000000" w:rsidP="00BA7D0F">
            <w:pPr>
              <w:pStyle w:val="table"/>
              <w:tabs>
                <w:tab w:val="decimal" w:pos="170"/>
              </w:tabs>
              <w:jc w:val="center"/>
            </w:pPr>
            <w:r w:rsidRPr="00D85791">
              <w:t>46</w:t>
            </w:r>
          </w:p>
        </w:tc>
        <w:tc>
          <w:tcPr>
            <w:tcW w:w="630" w:type="dxa"/>
            <w:vAlign w:val="center"/>
          </w:tcPr>
          <w:p w14:paraId="4391E8BA" w14:textId="77777777" w:rsidR="00A30DBD" w:rsidRPr="00D85791" w:rsidRDefault="00000000" w:rsidP="002D69CC">
            <w:pPr>
              <w:pStyle w:val="table"/>
              <w:jc w:val="center"/>
            </w:pPr>
            <w:r w:rsidRPr="00500B88">
              <w:t>.15</w:t>
            </w:r>
          </w:p>
        </w:tc>
        <w:tc>
          <w:tcPr>
            <w:tcW w:w="900" w:type="dxa"/>
            <w:vAlign w:val="center"/>
          </w:tcPr>
          <w:p w14:paraId="4F99FCB0" w14:textId="77777777" w:rsidR="00A30DBD" w:rsidRPr="00D85791" w:rsidRDefault="00000000" w:rsidP="008905C7">
            <w:pPr>
              <w:pStyle w:val="table"/>
              <w:tabs>
                <w:tab w:val="decimal" w:pos="256"/>
              </w:tabs>
              <w:jc w:val="center"/>
            </w:pPr>
            <w:r w:rsidRPr="00500B88">
              <w:t>346</w:t>
            </w:r>
          </w:p>
        </w:tc>
      </w:tr>
      <w:tr w:rsidR="00AA6907" w14:paraId="3554A594" w14:textId="77777777" w:rsidTr="008902B8">
        <w:trPr>
          <w:jc w:val="center"/>
        </w:trPr>
        <w:tc>
          <w:tcPr>
            <w:tcW w:w="2577" w:type="dxa"/>
            <w:shd w:val="clear" w:color="auto" w:fill="auto"/>
            <w:tcMar>
              <w:top w:w="0" w:type="dxa"/>
              <w:left w:w="75" w:type="dxa"/>
              <w:bottom w:w="0" w:type="dxa"/>
              <w:right w:w="75" w:type="dxa"/>
            </w:tcMar>
            <w:vAlign w:val="center"/>
            <w:hideMark/>
          </w:tcPr>
          <w:p w14:paraId="7FCD1E33" w14:textId="77777777" w:rsidR="00A30DBD" w:rsidRPr="00D85791" w:rsidRDefault="00000000" w:rsidP="002D69CC">
            <w:pPr>
              <w:pStyle w:val="table"/>
              <w:jc w:val="left"/>
            </w:pPr>
            <w:r w:rsidRPr="00D85791">
              <w:t xml:space="preserve">Independent </w:t>
            </w:r>
            <w:r w:rsidRPr="00D85791">
              <w:rPr>
                <w:i/>
                <w:iCs/>
              </w:rPr>
              <w:t>t</w:t>
            </w:r>
            <w:r w:rsidRPr="00D85791">
              <w:t xml:space="preserve">-test (Cohen’s </w:t>
            </w:r>
            <w:r w:rsidRPr="00D85791">
              <w:rPr>
                <w:i/>
                <w:iCs/>
              </w:rPr>
              <w:t>d</w:t>
            </w:r>
            <w:r w:rsidRPr="00D85791">
              <w:t>)</w:t>
            </w:r>
            <w:r>
              <w:t>**</w:t>
            </w:r>
          </w:p>
        </w:tc>
        <w:tc>
          <w:tcPr>
            <w:tcW w:w="540" w:type="dxa"/>
            <w:shd w:val="clear" w:color="auto" w:fill="auto"/>
            <w:tcMar>
              <w:top w:w="0" w:type="dxa"/>
              <w:left w:w="75" w:type="dxa"/>
              <w:bottom w:w="0" w:type="dxa"/>
              <w:right w:w="75" w:type="dxa"/>
            </w:tcMar>
            <w:vAlign w:val="center"/>
            <w:hideMark/>
          </w:tcPr>
          <w:p w14:paraId="7B0C8DE0" w14:textId="77777777" w:rsidR="00A30DBD" w:rsidRPr="00D85791" w:rsidRDefault="00000000" w:rsidP="002D69CC">
            <w:pPr>
              <w:pStyle w:val="table"/>
              <w:jc w:val="left"/>
            </w:pPr>
            <w:r w:rsidRPr="00D85791">
              <w:t>One</w:t>
            </w:r>
          </w:p>
        </w:tc>
        <w:tc>
          <w:tcPr>
            <w:tcW w:w="1871" w:type="dxa"/>
            <w:shd w:val="clear" w:color="auto" w:fill="auto"/>
            <w:tcMar>
              <w:top w:w="0" w:type="dxa"/>
              <w:left w:w="75" w:type="dxa"/>
              <w:bottom w:w="0" w:type="dxa"/>
              <w:right w:w="75" w:type="dxa"/>
            </w:tcMar>
            <w:vAlign w:val="center"/>
            <w:hideMark/>
          </w:tcPr>
          <w:p w14:paraId="2BABB440" w14:textId="77777777" w:rsidR="00A30DBD" w:rsidRPr="00D85791" w:rsidRDefault="00000000" w:rsidP="002D69CC">
            <w:pPr>
              <w:pStyle w:val="table"/>
              <w:jc w:val="left"/>
            </w:pPr>
            <w:r w:rsidRPr="00D85791">
              <w:t>Point estimate</w:t>
            </w:r>
          </w:p>
        </w:tc>
        <w:tc>
          <w:tcPr>
            <w:tcW w:w="627" w:type="dxa"/>
            <w:shd w:val="clear" w:color="auto" w:fill="auto"/>
            <w:tcMar>
              <w:top w:w="0" w:type="dxa"/>
              <w:left w:w="75" w:type="dxa"/>
              <w:bottom w:w="0" w:type="dxa"/>
              <w:right w:w="75" w:type="dxa"/>
            </w:tcMar>
            <w:vAlign w:val="center"/>
            <w:hideMark/>
          </w:tcPr>
          <w:p w14:paraId="752EC80C" w14:textId="77777777" w:rsidR="00A30DBD" w:rsidRPr="00D85791" w:rsidRDefault="00000000" w:rsidP="002D69CC">
            <w:pPr>
              <w:pStyle w:val="table"/>
              <w:jc w:val="center"/>
            </w:pPr>
            <w:r w:rsidRPr="00D85791">
              <w:t>1.01</w:t>
            </w:r>
          </w:p>
        </w:tc>
        <w:tc>
          <w:tcPr>
            <w:tcW w:w="950" w:type="dxa"/>
            <w:vAlign w:val="center"/>
          </w:tcPr>
          <w:p w14:paraId="1EBD7B88" w14:textId="77777777" w:rsidR="00A30DBD" w:rsidRPr="00D85791" w:rsidRDefault="00000000" w:rsidP="00BA7D0F">
            <w:pPr>
              <w:pStyle w:val="table"/>
              <w:tabs>
                <w:tab w:val="decimal" w:pos="216"/>
              </w:tabs>
              <w:jc w:val="center"/>
            </w:pPr>
            <w:r w:rsidRPr="00D85791">
              <w:t>26</w:t>
            </w:r>
          </w:p>
        </w:tc>
        <w:tc>
          <w:tcPr>
            <w:tcW w:w="900" w:type="dxa"/>
            <w:vAlign w:val="center"/>
          </w:tcPr>
          <w:p w14:paraId="6638DDF4" w14:textId="77777777" w:rsidR="00A30DBD" w:rsidRPr="00D85791" w:rsidRDefault="00000000" w:rsidP="00BA7D0F">
            <w:pPr>
              <w:pStyle w:val="table"/>
              <w:tabs>
                <w:tab w:val="decimal" w:pos="170"/>
              </w:tabs>
              <w:jc w:val="center"/>
            </w:pPr>
            <w:r w:rsidRPr="00D85791">
              <w:t>26</w:t>
            </w:r>
          </w:p>
        </w:tc>
        <w:tc>
          <w:tcPr>
            <w:tcW w:w="630" w:type="dxa"/>
            <w:vAlign w:val="center"/>
          </w:tcPr>
          <w:p w14:paraId="2EA7D9C5" w14:textId="77777777" w:rsidR="00A30DBD" w:rsidRPr="00D85791" w:rsidRDefault="00000000" w:rsidP="002D69CC">
            <w:pPr>
              <w:pStyle w:val="table"/>
              <w:jc w:val="center"/>
            </w:pPr>
            <w:r w:rsidRPr="00500B88">
              <w:t>.45</w:t>
            </w:r>
          </w:p>
        </w:tc>
        <w:tc>
          <w:tcPr>
            <w:tcW w:w="900" w:type="dxa"/>
            <w:vAlign w:val="center"/>
          </w:tcPr>
          <w:p w14:paraId="785A2544" w14:textId="77777777" w:rsidR="00A30DBD" w:rsidRPr="00D85791" w:rsidRDefault="00000000" w:rsidP="008905C7">
            <w:pPr>
              <w:pStyle w:val="table"/>
              <w:tabs>
                <w:tab w:val="decimal" w:pos="256"/>
              </w:tabs>
              <w:jc w:val="center"/>
            </w:pPr>
            <w:r w:rsidRPr="00500B88">
              <w:t>124</w:t>
            </w:r>
          </w:p>
        </w:tc>
      </w:tr>
      <w:tr w:rsidR="00AA6907" w14:paraId="63E99674" w14:textId="77777777" w:rsidTr="008902B8">
        <w:trPr>
          <w:jc w:val="center"/>
        </w:trPr>
        <w:tc>
          <w:tcPr>
            <w:tcW w:w="2577" w:type="dxa"/>
            <w:shd w:val="clear" w:color="auto" w:fill="auto"/>
            <w:tcMar>
              <w:top w:w="0" w:type="dxa"/>
              <w:left w:w="75" w:type="dxa"/>
              <w:bottom w:w="0" w:type="dxa"/>
              <w:right w:w="75" w:type="dxa"/>
            </w:tcMar>
            <w:vAlign w:val="center"/>
            <w:hideMark/>
          </w:tcPr>
          <w:p w14:paraId="0B60EC9F" w14:textId="77777777" w:rsidR="00A30DBD" w:rsidRPr="00D85791" w:rsidRDefault="00000000" w:rsidP="002D69CC">
            <w:pPr>
              <w:pStyle w:val="table"/>
              <w:jc w:val="left"/>
            </w:pPr>
            <w:r w:rsidRPr="00D85791">
              <w:t xml:space="preserve">Independent </w:t>
            </w:r>
            <w:r w:rsidRPr="00D85791">
              <w:rPr>
                <w:i/>
                <w:iCs/>
              </w:rPr>
              <w:t>t</w:t>
            </w:r>
            <w:r w:rsidRPr="00D85791">
              <w:t xml:space="preserve">-test (Cohen’s </w:t>
            </w:r>
            <w:r w:rsidRPr="00D85791">
              <w:rPr>
                <w:i/>
                <w:iCs/>
              </w:rPr>
              <w:t>d</w:t>
            </w:r>
            <w:r w:rsidRPr="00D85791">
              <w:t>)</w:t>
            </w:r>
            <w:r>
              <w:t>**</w:t>
            </w:r>
          </w:p>
        </w:tc>
        <w:tc>
          <w:tcPr>
            <w:tcW w:w="540" w:type="dxa"/>
            <w:shd w:val="clear" w:color="auto" w:fill="auto"/>
            <w:tcMar>
              <w:top w:w="0" w:type="dxa"/>
              <w:left w:w="75" w:type="dxa"/>
              <w:bottom w:w="0" w:type="dxa"/>
              <w:right w:w="75" w:type="dxa"/>
            </w:tcMar>
            <w:vAlign w:val="center"/>
            <w:hideMark/>
          </w:tcPr>
          <w:p w14:paraId="206238AD" w14:textId="77777777" w:rsidR="00A30DBD" w:rsidRPr="00D85791" w:rsidRDefault="00000000" w:rsidP="002D69CC">
            <w:pPr>
              <w:pStyle w:val="table"/>
              <w:jc w:val="left"/>
            </w:pPr>
            <w:r w:rsidRPr="00D85791">
              <w:t>One</w:t>
            </w:r>
          </w:p>
        </w:tc>
        <w:tc>
          <w:tcPr>
            <w:tcW w:w="1871" w:type="dxa"/>
            <w:shd w:val="clear" w:color="auto" w:fill="auto"/>
            <w:tcMar>
              <w:top w:w="0" w:type="dxa"/>
              <w:left w:w="75" w:type="dxa"/>
              <w:bottom w:w="0" w:type="dxa"/>
              <w:right w:w="75" w:type="dxa"/>
            </w:tcMar>
            <w:vAlign w:val="center"/>
            <w:hideMark/>
          </w:tcPr>
          <w:p w14:paraId="7324FF10" w14:textId="77777777" w:rsidR="00A30DBD" w:rsidRPr="00D85791" w:rsidRDefault="00000000" w:rsidP="002D69CC">
            <w:pPr>
              <w:pStyle w:val="table"/>
              <w:jc w:val="left"/>
            </w:pPr>
            <w:r w:rsidRPr="00D85791">
              <w:t xml:space="preserve">Lower bound of 95% </w:t>
            </w:r>
            <w:r>
              <w:t>CI</w:t>
            </w:r>
          </w:p>
        </w:tc>
        <w:tc>
          <w:tcPr>
            <w:tcW w:w="627" w:type="dxa"/>
            <w:shd w:val="clear" w:color="auto" w:fill="auto"/>
            <w:tcMar>
              <w:top w:w="0" w:type="dxa"/>
              <w:left w:w="75" w:type="dxa"/>
              <w:bottom w:w="0" w:type="dxa"/>
              <w:right w:w="75" w:type="dxa"/>
            </w:tcMar>
            <w:vAlign w:val="center"/>
            <w:hideMark/>
          </w:tcPr>
          <w:p w14:paraId="6D5A0E2F" w14:textId="77777777" w:rsidR="00A30DBD" w:rsidRPr="00D85791" w:rsidRDefault="00000000" w:rsidP="002D69CC">
            <w:pPr>
              <w:pStyle w:val="table"/>
              <w:jc w:val="center"/>
            </w:pPr>
            <w:r w:rsidRPr="00D85791">
              <w:t>0.87</w:t>
            </w:r>
          </w:p>
        </w:tc>
        <w:tc>
          <w:tcPr>
            <w:tcW w:w="950" w:type="dxa"/>
            <w:vAlign w:val="center"/>
          </w:tcPr>
          <w:p w14:paraId="32DF0734" w14:textId="77777777" w:rsidR="00A30DBD" w:rsidRPr="00D85791" w:rsidRDefault="00000000" w:rsidP="00BA7D0F">
            <w:pPr>
              <w:pStyle w:val="table"/>
              <w:tabs>
                <w:tab w:val="decimal" w:pos="216"/>
              </w:tabs>
              <w:jc w:val="center"/>
            </w:pPr>
            <w:r w:rsidRPr="00D85791">
              <w:t>36</w:t>
            </w:r>
          </w:p>
        </w:tc>
        <w:tc>
          <w:tcPr>
            <w:tcW w:w="900" w:type="dxa"/>
            <w:vAlign w:val="center"/>
          </w:tcPr>
          <w:p w14:paraId="31241F8C" w14:textId="77777777" w:rsidR="00A30DBD" w:rsidRPr="00D85791" w:rsidRDefault="00000000" w:rsidP="00BA7D0F">
            <w:pPr>
              <w:pStyle w:val="table"/>
              <w:tabs>
                <w:tab w:val="decimal" w:pos="170"/>
              </w:tabs>
              <w:jc w:val="center"/>
            </w:pPr>
            <w:r w:rsidRPr="00D85791">
              <w:t>34</w:t>
            </w:r>
            <w:r>
              <w:t>***</w:t>
            </w:r>
          </w:p>
        </w:tc>
        <w:tc>
          <w:tcPr>
            <w:tcW w:w="630" w:type="dxa"/>
            <w:vAlign w:val="center"/>
          </w:tcPr>
          <w:p w14:paraId="51DB068A" w14:textId="77777777" w:rsidR="00A30DBD" w:rsidRDefault="00000000" w:rsidP="002D69CC">
            <w:pPr>
              <w:pStyle w:val="table"/>
              <w:jc w:val="center"/>
            </w:pPr>
            <w:r w:rsidRPr="00500B88">
              <w:t>.30</w:t>
            </w:r>
          </w:p>
        </w:tc>
        <w:tc>
          <w:tcPr>
            <w:tcW w:w="900" w:type="dxa"/>
            <w:vAlign w:val="center"/>
          </w:tcPr>
          <w:p w14:paraId="5A96BD50" w14:textId="77777777" w:rsidR="00A30DBD" w:rsidRPr="00D85791" w:rsidRDefault="00000000" w:rsidP="008905C7">
            <w:pPr>
              <w:pStyle w:val="table"/>
              <w:tabs>
                <w:tab w:val="decimal" w:pos="256"/>
              </w:tabs>
              <w:jc w:val="center"/>
            </w:pPr>
            <w:r w:rsidRPr="00500B88">
              <w:t>270</w:t>
            </w:r>
          </w:p>
        </w:tc>
      </w:tr>
      <w:tr w:rsidR="00AA6907" w14:paraId="1FAF5B92" w14:textId="77777777" w:rsidTr="008905C7">
        <w:trPr>
          <w:trHeight w:val="47"/>
          <w:jc w:val="center"/>
        </w:trPr>
        <w:tc>
          <w:tcPr>
            <w:tcW w:w="2577" w:type="dxa"/>
            <w:tcBorders>
              <w:bottom w:val="nil"/>
            </w:tcBorders>
            <w:shd w:val="clear" w:color="auto" w:fill="auto"/>
            <w:tcMar>
              <w:top w:w="0" w:type="dxa"/>
              <w:left w:w="75" w:type="dxa"/>
              <w:bottom w:w="0" w:type="dxa"/>
              <w:right w:w="75" w:type="dxa"/>
            </w:tcMar>
            <w:vAlign w:val="center"/>
            <w:hideMark/>
          </w:tcPr>
          <w:p w14:paraId="133DCBAA" w14:textId="77777777" w:rsidR="00A30DBD" w:rsidRPr="00D85791" w:rsidRDefault="00000000" w:rsidP="002D69CC">
            <w:pPr>
              <w:pStyle w:val="table"/>
              <w:jc w:val="left"/>
            </w:pPr>
            <w:r w:rsidRPr="00D85791">
              <w:t xml:space="preserve">Dependent </w:t>
            </w:r>
            <w:r w:rsidRPr="00D85791">
              <w:rPr>
                <w:i/>
                <w:iCs/>
              </w:rPr>
              <w:t>t</w:t>
            </w:r>
            <w:r w:rsidRPr="00D85791">
              <w:t xml:space="preserve">-test (Cohen’s </w:t>
            </w:r>
            <w:r w:rsidRPr="00D85791">
              <w:rPr>
                <w:i/>
                <w:iCs/>
              </w:rPr>
              <w:t>d</w:t>
            </w:r>
            <w:r w:rsidRPr="00D85791">
              <w:t>)</w:t>
            </w:r>
            <w:r>
              <w:t xml:space="preserve"> **</w:t>
            </w:r>
          </w:p>
        </w:tc>
        <w:tc>
          <w:tcPr>
            <w:tcW w:w="540" w:type="dxa"/>
            <w:tcBorders>
              <w:bottom w:val="nil"/>
            </w:tcBorders>
            <w:shd w:val="clear" w:color="auto" w:fill="auto"/>
            <w:tcMar>
              <w:top w:w="0" w:type="dxa"/>
              <w:left w:w="75" w:type="dxa"/>
              <w:bottom w:w="0" w:type="dxa"/>
              <w:right w:w="75" w:type="dxa"/>
            </w:tcMar>
            <w:vAlign w:val="center"/>
            <w:hideMark/>
          </w:tcPr>
          <w:p w14:paraId="44BB0556" w14:textId="77777777" w:rsidR="00A30DBD" w:rsidRPr="00D85791" w:rsidRDefault="00000000" w:rsidP="002D69CC">
            <w:pPr>
              <w:pStyle w:val="table"/>
              <w:jc w:val="left"/>
            </w:pPr>
            <w:r w:rsidRPr="00D85791">
              <w:t>One</w:t>
            </w:r>
          </w:p>
        </w:tc>
        <w:tc>
          <w:tcPr>
            <w:tcW w:w="1871" w:type="dxa"/>
            <w:tcBorders>
              <w:bottom w:val="nil"/>
            </w:tcBorders>
            <w:shd w:val="clear" w:color="auto" w:fill="auto"/>
            <w:tcMar>
              <w:top w:w="0" w:type="dxa"/>
              <w:left w:w="75" w:type="dxa"/>
              <w:bottom w:w="0" w:type="dxa"/>
              <w:right w:w="75" w:type="dxa"/>
            </w:tcMar>
            <w:vAlign w:val="center"/>
            <w:hideMark/>
          </w:tcPr>
          <w:p w14:paraId="55C88025" w14:textId="77777777" w:rsidR="00A30DBD" w:rsidRPr="00D85791" w:rsidRDefault="00000000" w:rsidP="002D69CC">
            <w:pPr>
              <w:pStyle w:val="table"/>
              <w:jc w:val="left"/>
            </w:pPr>
            <w:r w:rsidRPr="00D85791">
              <w:t>Point estimate</w:t>
            </w:r>
          </w:p>
        </w:tc>
        <w:tc>
          <w:tcPr>
            <w:tcW w:w="627" w:type="dxa"/>
            <w:tcBorders>
              <w:bottom w:val="nil"/>
            </w:tcBorders>
            <w:shd w:val="clear" w:color="auto" w:fill="auto"/>
            <w:tcMar>
              <w:top w:w="0" w:type="dxa"/>
              <w:left w:w="75" w:type="dxa"/>
              <w:bottom w:w="0" w:type="dxa"/>
              <w:right w:w="75" w:type="dxa"/>
            </w:tcMar>
            <w:vAlign w:val="center"/>
            <w:hideMark/>
          </w:tcPr>
          <w:p w14:paraId="07E8E55C" w14:textId="77777777" w:rsidR="00A30DBD" w:rsidRPr="00D85791" w:rsidRDefault="00000000" w:rsidP="002D69CC">
            <w:pPr>
              <w:pStyle w:val="table"/>
              <w:jc w:val="center"/>
            </w:pPr>
            <w:r w:rsidRPr="00D85791">
              <w:t>1.01</w:t>
            </w:r>
          </w:p>
        </w:tc>
        <w:tc>
          <w:tcPr>
            <w:tcW w:w="950" w:type="dxa"/>
            <w:tcBorders>
              <w:bottom w:val="nil"/>
            </w:tcBorders>
            <w:vAlign w:val="center"/>
          </w:tcPr>
          <w:p w14:paraId="0CB3ACB4" w14:textId="77777777" w:rsidR="00A30DBD" w:rsidRPr="00D85791" w:rsidRDefault="00000000" w:rsidP="00BA7D0F">
            <w:pPr>
              <w:pStyle w:val="table"/>
              <w:tabs>
                <w:tab w:val="decimal" w:pos="216"/>
              </w:tabs>
              <w:jc w:val="center"/>
            </w:pPr>
            <w:r w:rsidRPr="00D85791">
              <w:t>8</w:t>
            </w:r>
          </w:p>
        </w:tc>
        <w:tc>
          <w:tcPr>
            <w:tcW w:w="900" w:type="dxa"/>
            <w:tcBorders>
              <w:bottom w:val="nil"/>
            </w:tcBorders>
            <w:vAlign w:val="center"/>
          </w:tcPr>
          <w:p w14:paraId="63F5244B" w14:textId="77777777" w:rsidR="00A30DBD" w:rsidRPr="00D85791" w:rsidRDefault="00000000" w:rsidP="00BA7D0F">
            <w:pPr>
              <w:pStyle w:val="table"/>
              <w:tabs>
                <w:tab w:val="decimal" w:pos="170"/>
              </w:tabs>
              <w:jc w:val="center"/>
            </w:pPr>
            <w:r w:rsidRPr="00D85791">
              <w:t>8</w:t>
            </w:r>
          </w:p>
        </w:tc>
        <w:tc>
          <w:tcPr>
            <w:tcW w:w="630" w:type="dxa"/>
            <w:tcBorders>
              <w:bottom w:val="nil"/>
            </w:tcBorders>
            <w:vAlign w:val="center"/>
          </w:tcPr>
          <w:p w14:paraId="4E7E4635" w14:textId="77777777" w:rsidR="00A30DBD" w:rsidRPr="00D85791" w:rsidRDefault="00000000" w:rsidP="002D69CC">
            <w:pPr>
              <w:pStyle w:val="table"/>
              <w:jc w:val="center"/>
            </w:pPr>
            <w:r w:rsidRPr="00500B88">
              <w:t>.45</w:t>
            </w:r>
          </w:p>
        </w:tc>
        <w:tc>
          <w:tcPr>
            <w:tcW w:w="900" w:type="dxa"/>
            <w:tcBorders>
              <w:bottom w:val="nil"/>
            </w:tcBorders>
            <w:vAlign w:val="center"/>
          </w:tcPr>
          <w:p w14:paraId="5D584DD9" w14:textId="77777777" w:rsidR="00A30DBD" w:rsidRPr="00D85791" w:rsidRDefault="00000000" w:rsidP="008905C7">
            <w:pPr>
              <w:pStyle w:val="table"/>
              <w:tabs>
                <w:tab w:val="decimal" w:pos="256"/>
              </w:tabs>
              <w:jc w:val="center"/>
            </w:pPr>
            <w:r w:rsidRPr="00500B88">
              <w:t>32</w:t>
            </w:r>
          </w:p>
        </w:tc>
      </w:tr>
      <w:tr w:rsidR="00AA6907" w14:paraId="6374A3C0" w14:textId="77777777" w:rsidTr="008902B8">
        <w:trPr>
          <w:jc w:val="center"/>
        </w:trPr>
        <w:tc>
          <w:tcPr>
            <w:tcW w:w="2577" w:type="dxa"/>
            <w:tcBorders>
              <w:top w:val="nil"/>
              <w:bottom w:val="single" w:sz="4" w:space="0" w:color="auto"/>
            </w:tcBorders>
            <w:shd w:val="clear" w:color="auto" w:fill="auto"/>
            <w:tcMar>
              <w:top w:w="0" w:type="dxa"/>
              <w:left w:w="75" w:type="dxa"/>
              <w:bottom w:w="0" w:type="dxa"/>
              <w:right w:w="75" w:type="dxa"/>
            </w:tcMar>
            <w:vAlign w:val="center"/>
            <w:hideMark/>
          </w:tcPr>
          <w:p w14:paraId="2558AC6F" w14:textId="77777777" w:rsidR="00A30DBD" w:rsidRPr="00D85791" w:rsidRDefault="00000000" w:rsidP="002D69CC">
            <w:pPr>
              <w:pStyle w:val="table"/>
              <w:jc w:val="left"/>
            </w:pPr>
            <w:r w:rsidRPr="00D85791">
              <w:t xml:space="preserve">Dependent </w:t>
            </w:r>
            <w:r w:rsidRPr="00D85791">
              <w:rPr>
                <w:i/>
                <w:iCs/>
              </w:rPr>
              <w:t>t</w:t>
            </w:r>
            <w:r w:rsidRPr="00D85791">
              <w:t xml:space="preserve">-test (Cohen’s </w:t>
            </w:r>
            <w:r w:rsidRPr="00D85791">
              <w:rPr>
                <w:i/>
                <w:iCs/>
              </w:rPr>
              <w:t>d</w:t>
            </w:r>
            <w:r w:rsidRPr="00D85791">
              <w:t>)</w:t>
            </w:r>
            <w:r>
              <w:t xml:space="preserve"> **</w:t>
            </w:r>
          </w:p>
        </w:tc>
        <w:tc>
          <w:tcPr>
            <w:tcW w:w="540" w:type="dxa"/>
            <w:tcBorders>
              <w:top w:val="nil"/>
              <w:bottom w:val="single" w:sz="4" w:space="0" w:color="auto"/>
            </w:tcBorders>
            <w:shd w:val="clear" w:color="auto" w:fill="auto"/>
            <w:tcMar>
              <w:top w:w="0" w:type="dxa"/>
              <w:left w:w="75" w:type="dxa"/>
              <w:bottom w:w="0" w:type="dxa"/>
              <w:right w:w="75" w:type="dxa"/>
            </w:tcMar>
            <w:vAlign w:val="center"/>
            <w:hideMark/>
          </w:tcPr>
          <w:p w14:paraId="55DBE13C" w14:textId="77777777" w:rsidR="00A30DBD" w:rsidRPr="00D85791" w:rsidRDefault="00000000" w:rsidP="002D69CC">
            <w:pPr>
              <w:pStyle w:val="table"/>
              <w:jc w:val="left"/>
            </w:pPr>
            <w:r w:rsidRPr="00D85791">
              <w:t>One</w:t>
            </w:r>
          </w:p>
        </w:tc>
        <w:tc>
          <w:tcPr>
            <w:tcW w:w="1871" w:type="dxa"/>
            <w:tcBorders>
              <w:top w:val="nil"/>
              <w:bottom w:val="single" w:sz="4" w:space="0" w:color="auto"/>
            </w:tcBorders>
            <w:shd w:val="clear" w:color="auto" w:fill="auto"/>
            <w:tcMar>
              <w:top w:w="0" w:type="dxa"/>
              <w:left w:w="75" w:type="dxa"/>
              <w:bottom w:w="0" w:type="dxa"/>
              <w:right w:w="75" w:type="dxa"/>
            </w:tcMar>
            <w:vAlign w:val="center"/>
            <w:hideMark/>
          </w:tcPr>
          <w:p w14:paraId="6F5C9C80" w14:textId="77777777" w:rsidR="00A30DBD" w:rsidRPr="00D85791" w:rsidRDefault="00000000" w:rsidP="002D69CC">
            <w:pPr>
              <w:pStyle w:val="table"/>
              <w:jc w:val="left"/>
            </w:pPr>
            <w:r w:rsidRPr="00D85791">
              <w:t xml:space="preserve">Lower bound of 95% </w:t>
            </w:r>
            <w:r>
              <w:t>CI</w:t>
            </w:r>
          </w:p>
        </w:tc>
        <w:tc>
          <w:tcPr>
            <w:tcW w:w="627" w:type="dxa"/>
            <w:tcBorders>
              <w:top w:val="nil"/>
              <w:bottom w:val="single" w:sz="4" w:space="0" w:color="auto"/>
            </w:tcBorders>
            <w:shd w:val="clear" w:color="auto" w:fill="auto"/>
            <w:tcMar>
              <w:top w:w="0" w:type="dxa"/>
              <w:left w:w="75" w:type="dxa"/>
              <w:bottom w:w="0" w:type="dxa"/>
              <w:right w:w="75" w:type="dxa"/>
            </w:tcMar>
            <w:vAlign w:val="center"/>
            <w:hideMark/>
          </w:tcPr>
          <w:p w14:paraId="4EECD54F" w14:textId="77777777" w:rsidR="00A30DBD" w:rsidRPr="00D85791" w:rsidRDefault="00000000" w:rsidP="002D69CC">
            <w:pPr>
              <w:pStyle w:val="table"/>
              <w:jc w:val="center"/>
            </w:pPr>
            <w:r w:rsidRPr="00D85791">
              <w:t>0.87</w:t>
            </w:r>
          </w:p>
        </w:tc>
        <w:tc>
          <w:tcPr>
            <w:tcW w:w="950" w:type="dxa"/>
            <w:tcBorders>
              <w:top w:val="nil"/>
              <w:bottom w:val="single" w:sz="4" w:space="0" w:color="auto"/>
            </w:tcBorders>
            <w:vAlign w:val="center"/>
          </w:tcPr>
          <w:p w14:paraId="6EC00672" w14:textId="77777777" w:rsidR="00A30DBD" w:rsidRPr="00D85791" w:rsidRDefault="00000000" w:rsidP="00BA7D0F">
            <w:pPr>
              <w:pStyle w:val="table"/>
              <w:tabs>
                <w:tab w:val="decimal" w:pos="216"/>
              </w:tabs>
              <w:jc w:val="center"/>
            </w:pPr>
            <w:r w:rsidRPr="00D85791">
              <w:t>10</w:t>
            </w:r>
          </w:p>
        </w:tc>
        <w:tc>
          <w:tcPr>
            <w:tcW w:w="900" w:type="dxa"/>
            <w:tcBorders>
              <w:top w:val="nil"/>
              <w:bottom w:val="single" w:sz="4" w:space="0" w:color="auto"/>
            </w:tcBorders>
            <w:vAlign w:val="center"/>
          </w:tcPr>
          <w:p w14:paraId="57C43FF2" w14:textId="77777777" w:rsidR="00A30DBD" w:rsidRPr="00D85791" w:rsidRDefault="00000000" w:rsidP="00BA7D0F">
            <w:pPr>
              <w:pStyle w:val="table"/>
              <w:tabs>
                <w:tab w:val="decimal" w:pos="170"/>
              </w:tabs>
              <w:jc w:val="center"/>
            </w:pPr>
            <w:r w:rsidRPr="00D85791">
              <w:t>10</w:t>
            </w:r>
          </w:p>
        </w:tc>
        <w:tc>
          <w:tcPr>
            <w:tcW w:w="630" w:type="dxa"/>
            <w:tcBorders>
              <w:top w:val="nil"/>
              <w:bottom w:val="single" w:sz="4" w:space="0" w:color="auto"/>
            </w:tcBorders>
            <w:vAlign w:val="center"/>
          </w:tcPr>
          <w:p w14:paraId="1ED5FC69" w14:textId="77777777" w:rsidR="00A30DBD" w:rsidRPr="00D85791" w:rsidRDefault="00000000" w:rsidP="002D69CC">
            <w:pPr>
              <w:pStyle w:val="table"/>
              <w:jc w:val="center"/>
            </w:pPr>
            <w:r w:rsidRPr="00500B88">
              <w:t>.30</w:t>
            </w:r>
          </w:p>
        </w:tc>
        <w:tc>
          <w:tcPr>
            <w:tcW w:w="900" w:type="dxa"/>
            <w:tcBorders>
              <w:top w:val="nil"/>
              <w:bottom w:val="single" w:sz="4" w:space="0" w:color="auto"/>
            </w:tcBorders>
            <w:vAlign w:val="center"/>
          </w:tcPr>
          <w:p w14:paraId="1241054A" w14:textId="77777777" w:rsidR="00A30DBD" w:rsidRPr="00D85791" w:rsidRDefault="00000000" w:rsidP="008905C7">
            <w:pPr>
              <w:pStyle w:val="table"/>
              <w:tabs>
                <w:tab w:val="decimal" w:pos="256"/>
              </w:tabs>
              <w:jc w:val="center"/>
            </w:pPr>
            <w:r w:rsidRPr="00500B88">
              <w:t>69</w:t>
            </w:r>
          </w:p>
        </w:tc>
      </w:tr>
      <w:tr w:rsidR="00AA6907" w14:paraId="33AC9EB3" w14:textId="77777777" w:rsidTr="008902B8">
        <w:trPr>
          <w:jc w:val="center"/>
        </w:trPr>
        <w:tc>
          <w:tcPr>
            <w:tcW w:w="8995" w:type="dxa"/>
            <w:gridSpan w:val="8"/>
            <w:tcBorders>
              <w:top w:val="single" w:sz="4" w:space="0" w:color="auto"/>
            </w:tcBorders>
            <w:shd w:val="clear" w:color="auto" w:fill="auto"/>
            <w:tcMar>
              <w:top w:w="0" w:type="dxa"/>
              <w:left w:w="75" w:type="dxa"/>
              <w:bottom w:w="0" w:type="dxa"/>
              <w:right w:w="75" w:type="dxa"/>
            </w:tcMar>
            <w:vAlign w:val="center"/>
          </w:tcPr>
          <w:p w14:paraId="0CBADB9D" w14:textId="77777777" w:rsidR="00A30DBD" w:rsidRPr="001E11B0" w:rsidRDefault="00000000" w:rsidP="002D69CC">
            <w:pPr>
              <w:pStyle w:val="table"/>
              <w:jc w:val="left"/>
              <w:rPr>
                <w:i/>
                <w:iCs/>
              </w:rPr>
            </w:pPr>
            <w:r w:rsidRPr="001E11B0">
              <w:rPr>
                <w:i/>
                <w:iCs/>
              </w:rPr>
              <w:t xml:space="preserve">Notes: </w:t>
            </w:r>
          </w:p>
          <w:p w14:paraId="7787C7DC" w14:textId="77777777" w:rsidR="00A30DBD" w:rsidRDefault="00000000" w:rsidP="002D69CC">
            <w:pPr>
              <w:pStyle w:val="table"/>
              <w:jc w:val="left"/>
            </w:pPr>
            <w:r>
              <w:t xml:space="preserve">* </w:t>
            </w:r>
            <w:r w:rsidRPr="00664B6B">
              <w:t xml:space="preserve">Researchers often use the point estimate of the meta-effect size. Perugini et al. </w:t>
            </w:r>
            <w:r>
              <w:fldChar w:fldCharType="begin"/>
            </w:r>
            <w:r>
              <w:instrText xml:space="preserve"> ADDIN ZOTERO_ITEM CSL_CITATION {"citationID":"Cce4A243","properties":{"formattedCitation":"(2014)","plainCitation":"(2014)","noteIndex":0},"citationItems":[{"id":29140,"uris":["http://zotero.org/users/1687755/items/2L8EHMKX"],"itemData":{"id":29140,"type":"article-journal","abstract":"An essential first step in planning a confirmatory or a replication study is to determine the sample size necessary to draw statistically reliable inferences using power analysis. A key problem, however, is that what is available is the sample-size estimate of the effect size, and its use can lead to severely underpowered studies when the effect size is overestimated. As a potential remedy, we introduce safeguard power analysis, which uses the uncertainty in the estimate of the effect size to achieve a better likelihood of correctly identifying the population effect size. Using a lower-bound estimate of the effect size, in turn, allows researchers to calculate a sample size for a replication study that helps protect it from being underpowered. We show that in most common instances, compared with nominal power, safeguard power is higher whereas standard power is lower. We additionally recommend the use of safeguard power analysis to evaluate the strength of the evidence provided by the original study.","container-title":"Perspectives on Psychological Science","DOI":"10.1177/1745691614528519","ISSN":"1745-6916","issue":"3","journalAbbreviation":"Perspect Psychol Sci","language":"en","note":"publisher: SAGE Publications Inc","page":"319-332","source":"SAGE Journals","title":"Safeguard Power as a Protection Against Imprecise Power Estimates","volume":"9","author":[{"family":"Perugini","given":"Marco"},{"family":"Gallucci","given":"Marcello"},{"family":"Costantini","given":"Giulio"}],"issued":{"date-parts":[["2014",5,1]]}},"label":"page","suppress-author":true}],"schema":"https://github.com/citation-style-language/schema/raw/master/csl-citation.json"} </w:instrText>
            </w:r>
            <w:r>
              <w:fldChar w:fldCharType="separate"/>
            </w:r>
            <w:r>
              <w:rPr>
                <w:noProof/>
              </w:rPr>
              <w:t>(2014)</w:t>
            </w:r>
            <w:r>
              <w:fldChar w:fldCharType="end"/>
            </w:r>
            <w:r>
              <w:t xml:space="preserve"> </w:t>
            </w:r>
            <w:r w:rsidRPr="00664B6B">
              <w:t>recommend</w:t>
            </w:r>
            <w:r>
              <w:t>ed</w:t>
            </w:r>
            <w:r w:rsidRPr="00664B6B">
              <w:t xml:space="preserve"> the lower bound of the 95% CI instead. Vahey et al. (2015) used both for power analyses</w:t>
            </w:r>
            <w:r>
              <w:t>.</w:t>
            </w:r>
          </w:p>
          <w:p w14:paraId="2F0B3B1C" w14:textId="77777777" w:rsidR="00A30DBD" w:rsidRDefault="00000000" w:rsidP="002D69CC">
            <w:pPr>
              <w:pStyle w:val="table"/>
              <w:jc w:val="left"/>
            </w:pPr>
            <w:r w:rsidRPr="00664B6B">
              <w:t>**</w:t>
            </w:r>
            <w:r>
              <w:t xml:space="preserve"> </w:t>
            </w:r>
            <w:r w:rsidRPr="00664B6B">
              <w:t xml:space="preserve">Necessary conversions from </w:t>
            </w:r>
            <w:r w:rsidRPr="004B71C5">
              <w:rPr>
                <w:i/>
                <w:iCs/>
              </w:rPr>
              <w:t>d</w:t>
            </w:r>
            <w:r w:rsidRPr="00664B6B">
              <w:t xml:space="preserve"> to </w:t>
            </w:r>
            <w:r w:rsidRPr="004B71C5">
              <w:rPr>
                <w:i/>
                <w:iCs/>
              </w:rPr>
              <w:t>r</w:t>
            </w:r>
            <w:r w:rsidRPr="00664B6B">
              <w:t xml:space="preserve"> were not reported in Vahey et al. (2015), but are recalculated here using the effectsize R package</w:t>
            </w:r>
            <w:r>
              <w:t>’</w:t>
            </w:r>
            <w:r w:rsidRPr="00664B6B">
              <w:t xml:space="preserve">s </w:t>
            </w:r>
            <w:r>
              <w:t>‘</w:t>
            </w:r>
            <w:r w:rsidRPr="00664B6B">
              <w:t>r_to_d</w:t>
            </w:r>
            <w:r>
              <w:t>’</w:t>
            </w:r>
            <w:r w:rsidRPr="00664B6B">
              <w:t xml:space="preserve"> function.</w:t>
            </w:r>
          </w:p>
          <w:p w14:paraId="5CE76222" w14:textId="77777777" w:rsidR="00A30DBD" w:rsidRPr="00D85791" w:rsidRDefault="00000000" w:rsidP="002D69CC">
            <w:pPr>
              <w:pStyle w:val="table"/>
              <w:jc w:val="left"/>
            </w:pPr>
            <w:r>
              <w:t>*** Discrepancy between the result reported by Vahey et al. (2015) and the recalculated result</w:t>
            </w:r>
          </w:p>
        </w:tc>
      </w:tr>
    </w:tbl>
    <w:p w14:paraId="00510589" w14:textId="77777777" w:rsidR="00664B6B" w:rsidRDefault="00664B6B" w:rsidP="00EE79F9">
      <w:pPr>
        <w:ind w:firstLine="0"/>
      </w:pPr>
    </w:p>
    <w:p w14:paraId="3F4DF757" w14:textId="77777777" w:rsidR="000967B0" w:rsidRDefault="000967B0" w:rsidP="00EE79F9">
      <w:pPr>
        <w:ind w:firstLine="0"/>
      </w:pPr>
    </w:p>
    <w:p w14:paraId="2D16A2A5" w14:textId="77777777" w:rsidR="000967B0" w:rsidRDefault="000967B0" w:rsidP="00034410">
      <w:pPr>
        <w:sectPr w:rsidR="000967B0" w:rsidSect="000967B0">
          <w:type w:val="continuous"/>
          <w:pgSz w:w="11900" w:h="16840"/>
          <w:pgMar w:top="1440" w:right="1440" w:bottom="1440" w:left="1440" w:header="709" w:footer="709" w:gutter="0"/>
          <w:cols w:space="340"/>
          <w:titlePg/>
          <w:docGrid w:linePitch="360"/>
          <w15:footnoteColumns w:val="1"/>
        </w:sectPr>
      </w:pPr>
    </w:p>
    <w:p w14:paraId="08A3A0B3" w14:textId="22C76BD0" w:rsidR="00663892" w:rsidRPr="00034410" w:rsidRDefault="00021E37" w:rsidP="00663892">
      <w:pPr>
        <w:ind w:firstLine="0"/>
      </w:pPr>
      <w:r w:rsidRPr="00034410">
        <w:t xml:space="preserve">author of Vahey et al. (2015) and requested that they share their code or further details of their analytic </w:t>
      </w:r>
      <w:r w:rsidR="00663892" w:rsidRPr="00034410">
        <w:t xml:space="preserve">approach, who declined. In July 2019, I shared a copy of an earlier version of these verification attempts with the corresponding author, including code, data, and a set of slides outlining my concerns about the credibility of their findings. </w:t>
      </w:r>
      <w:r w:rsidR="00C8021A">
        <w:t>In August 2024 I sent them a copy of this manuscript and its materials and invited them to comment on the accuracy of the claims presented here, but they declined.</w:t>
      </w:r>
      <w:r w:rsidR="00663892" w:rsidRPr="00034410">
        <w:t xml:space="preserve"> No corrections of Vahey et al. (2015) have been issued at the time of writing (July 2024), and to the best of my knowledge, the authors of Vahey et al. (2015) have made no public statements about these concerns about the credibility of the</w:t>
      </w:r>
      <w:r w:rsidR="00373736">
        <w:t>ir article’s claims</w:t>
      </w:r>
      <w:r w:rsidR="000F449B">
        <w:t xml:space="preserve">. Multiple </w:t>
      </w:r>
      <w:r w:rsidR="00663892" w:rsidRPr="00034410">
        <w:t xml:space="preserve">years after I initially raised these concerns, the senior author of Vahey et al. (2015) has continued to cite the article </w:t>
      </w:r>
      <w:proofErr w:type="spellStart"/>
      <w:r w:rsidR="00663892" w:rsidRPr="00034410">
        <w:t>favorably</w:t>
      </w:r>
      <w:proofErr w:type="spellEnd"/>
      <w:r w:rsidR="00663892" w:rsidRPr="00034410">
        <w:t xml:space="preserve"> as evidence for the IRAP's validity </w:t>
      </w:r>
      <w:r w:rsidR="00663892" w:rsidRPr="00034410">
        <w:fldChar w:fldCharType="begin"/>
      </w:r>
      <w:r w:rsidR="001A582F">
        <w:instrText xml:space="preserve"> ADDIN ZOTERO_ITEM CSL_CITATION {"citationID":"5YxUkmqM","properties":{"formattedCitation":"(e.g., in Barnes-Holmes &amp; Harte, 2022a, 2022b)","plainCitation":"(e.g., in Barnes-Holmes &amp; Harte, 2022a, 2022b)","noteIndex":0},"citationItems":[{"id":4707,"uris":["http://zotero.org/users/1687755/items/DJC2GMQM"],"itemData":{"id":4707,"type":"article-journal","abstract":"The implicit relational assessment procedure (IRAP) was initially developed as a way to assess the strength and probability of natural verbal relations, as defined within relational frame theory (RFT), and was conceptually rooted within the behavior-analytic tradition. However, the IRAP quickly became employed primarily as a measure of implicit cognition, more in line with mainstream psychology than behavior analysis. In doing so, research using the IRAP increasingly employed ill-defined mainstream psychological terms, focused on correlational analyses with traditional psychometry, and thus emphasized prediction over the prediction-and-influence of behavior. Although perhaps beneficial to the study of implicit cognition, this approach could be argued to have limited the IRAP’s utility in behavior analyses of human language and cognition. In the current article we will reflect on this suggestion, on the IRAPs place and current use in the field of behavior analysis, and on its potential future within behavioral psychology in light of recent conceptual and empirical advances in RFT. In doing so, it is hoped that the measure may be refined into a better understood, more precise, functional-analytic tool.","container-title":"Perspectives on Behavior Science","DOI":"10.1007/s40614-022-00352-z","ISSN":"2520-8977","journalAbbreviation":"Perspect Behav Sci","language":"en","source":"Springer Link","title":"The IRAP as a Measure of Implicit Cognition: A Case of Frankenstein’s Monster","title-short":"The IRAP as a Measure of Implicit Cognition","URL":"https://doi.org/10.1007/s40614-022-00352-z","author":[{"family":"Barnes-Holmes","given":"Dermot"},{"family":"Harte","given":"Colin"}],"accessed":{"date-parts":[["2022",8,2]]},"issued":{"date-parts":[["2022",7,29]]}},"label":"page","prefix":"e.g., in"},{"id":289,"uris":["http://zotero.org/users/1687755/items/QHEXTZI9"],"itemData":{"id":289,"type":"article-journal","abstract":"The seminal text on relational frame theory (RFT) was published 20 years ago and purported to offer a single overarching behavior-analytic account of human language and cognition. In the years thereafter, an increasing number of empirical and conceptual articles, book chapters in edited volumes, and whole volumes devoted to the account emerged. In recent years, RFT has experienced a period of intense empirical and conceptual development, facilitated in part by a research grant awarded by the Flanders Science Foundation, under its Odysseus program. This research program aimed to advance and extend the RFT account beyond the rendition presented in the seminal Hayes et al. (2001) volume. The current article aims to provide an overview of this research program, the empirical work and concepts it gave rise to, and their implications for an RFT account of human symbolic language and cognition. Overall, therefore, the article provides an account of relatively recent developments in RFT that extend beyond the 2001 volume and thus will, we hope, inform future research and critiques of the theory going forward.","container-title":"Journal of the Experimental Analysis of Behavior","DOI":"10.1002/jeab.733","ISSN":"0022-5002","issue":"2","language":"English","note":"publisher-place: 111 RIVER ST, HOBOKEN 07030-5774, NJ USA\npublisher: WILEY\ntype: Article","page":"240-266","title":"Relational frame theory 20 years on: The Odysseus voyage and beyond","volume":"117","author":[{"family":"Barnes-Holmes","given":"Dermot"},{"family":"Harte","given":"Colin"}],"issued":{"date-parts":[["2022",3]]}}}],"schema":"https://github.com/citation-style-language/schema/raw/master/csl-citation.json"} </w:instrText>
      </w:r>
      <w:r w:rsidR="00663892" w:rsidRPr="00034410">
        <w:fldChar w:fldCharType="separate"/>
      </w:r>
      <w:r w:rsidR="001A582F">
        <w:rPr>
          <w:noProof/>
        </w:rPr>
        <w:t>(e.g., in Barnes-Holmes &amp; Harte, 2022a, 2022b)</w:t>
      </w:r>
      <w:r w:rsidR="00663892" w:rsidRPr="00034410">
        <w:fldChar w:fldCharType="end"/>
      </w:r>
      <w:r w:rsidR="00663892" w:rsidRPr="00034410">
        <w:t xml:space="preserve">. </w:t>
      </w:r>
    </w:p>
    <w:p w14:paraId="0858B079" w14:textId="77777777" w:rsidR="00663892" w:rsidRPr="00034410" w:rsidRDefault="00663892" w:rsidP="00663892">
      <w:pPr>
        <w:pStyle w:val="Heading2"/>
      </w:pPr>
      <w:r w:rsidRPr="00034410">
        <w:t>Power analyses</w:t>
      </w:r>
    </w:p>
    <w:p w14:paraId="4D76C356" w14:textId="77777777" w:rsidR="00663892" w:rsidRDefault="00663892" w:rsidP="00663892">
      <w:r w:rsidRPr="00034410">
        <w:t xml:space="preserve">Details of the power analyses conducted by Vahey et al. (2015) were extracted. This included the meta-effect size used (i.e., using point estimate or lower bound </w:t>
      </w:r>
      <w:r>
        <w:t>Confidence Interval</w:t>
      </w:r>
      <w:r w:rsidRPr="00034410">
        <w:t xml:space="preserve">, following </w:t>
      </w:r>
      <w:proofErr w:type="spellStart"/>
      <w:r w:rsidRPr="00034410">
        <w:t>Perugini</w:t>
      </w:r>
      <w:proofErr w:type="spellEnd"/>
      <w:r w:rsidRPr="00034410">
        <w:t xml:space="preserve"> et al.’s recommendation, as adopted in Vahey et al. 2015), test (Pearson’s </w:t>
      </w:r>
      <w:r w:rsidRPr="001B27B2">
        <w:rPr>
          <w:i/>
          <w:iCs/>
        </w:rPr>
        <w:t>r</w:t>
      </w:r>
      <w:r w:rsidRPr="00034410">
        <w:t xml:space="preserve"> correlation, independent </w:t>
      </w:r>
      <w:r w:rsidRPr="001B27B2">
        <w:rPr>
          <w:i/>
          <w:iCs/>
        </w:rPr>
        <w:t>t</w:t>
      </w:r>
      <w:r w:rsidRPr="00034410">
        <w:t xml:space="preserve">-test, dependent </w:t>
      </w:r>
      <w:r w:rsidRPr="001B27B2">
        <w:rPr>
          <w:i/>
          <w:iCs/>
        </w:rPr>
        <w:t>t</w:t>
      </w:r>
      <w:r w:rsidRPr="00034410">
        <w:t xml:space="preserve">-test), the direction of hypothesis (one-sided vs. two-sided), and the recommended sample size (i.e., the result of the test). Verification tests were </w:t>
      </w:r>
      <w:r w:rsidRPr="00B6073F">
        <w:t xml:space="preserve">performed using the </w:t>
      </w:r>
      <w:proofErr w:type="spellStart"/>
      <w:r w:rsidRPr="00B6073F">
        <w:t>pwr</w:t>
      </w:r>
      <w:proofErr w:type="spellEnd"/>
      <w:r w:rsidRPr="00B6073F">
        <w:t xml:space="preserve"> R library </w:t>
      </w:r>
      <w:r w:rsidRPr="00B6073F">
        <w:fldChar w:fldCharType="begin"/>
      </w:r>
      <w:r w:rsidRPr="00B6073F">
        <w:instrText xml:space="preserve"> ADDIN ZOTERO_ITEM CSL_CITATION {"citationID":"BYUIVsog","properties":{"formattedCitation":"(Champely, 2016)","plainCitation":"(Champely, 2016)","noteIndex":0},"citationItems":[{"id":2895,"uris":["http://zotero.org/users/1687755/items/H637UNSB"],"itemData":{"id":2895,"type":"software","note":"R package version 1.1-4","title":"pwr: Basic Functions for Power Analysis","URL":"https://CRAN.R-project.org/package=pwr","author":[{"family":"Champely","given":"Stephane"}],"issued":{"date-parts":[["2016"]]}}}],"schema":"https://github.com/citation-style-language/schema/raw/master/csl-citation.json"} </w:instrText>
      </w:r>
      <w:r w:rsidRPr="00B6073F">
        <w:fldChar w:fldCharType="separate"/>
      </w:r>
      <w:r w:rsidRPr="00B6073F">
        <w:rPr>
          <w:noProof/>
        </w:rPr>
        <w:t>(Champely, 2016)</w:t>
      </w:r>
      <w:r w:rsidRPr="00B6073F">
        <w:fldChar w:fldCharType="end"/>
      </w:r>
      <w:r w:rsidRPr="00B6073F">
        <w:t>. Table 1 contains the results of both the power analyses reported</w:t>
      </w:r>
      <w:r w:rsidRPr="00034410">
        <w:t xml:space="preserve"> by Vahey et al. (2015) and </w:t>
      </w:r>
      <w:r>
        <w:t xml:space="preserve">those of the </w:t>
      </w:r>
      <w:r w:rsidRPr="00034410">
        <w:t>verification analyses. As can be seen in the table, Vahey et al.’s (2015) sample size recommendations were found to be computationally reproducible when their meta-analytic effect size was used</w:t>
      </w:r>
      <w:r>
        <w:t xml:space="preserve">, with one exception (difference </w:t>
      </w:r>
      <w:r w:rsidRPr="00573174">
        <w:rPr>
          <w:i/>
          <w:iCs/>
        </w:rPr>
        <w:t>N</w:t>
      </w:r>
      <w:r>
        <w:t xml:space="preserve"> = 36 vs. 34).</w:t>
      </w:r>
    </w:p>
    <w:p w14:paraId="4B34E510" w14:textId="14DED1F1" w:rsidR="00E40521" w:rsidRDefault="008D2DF7" w:rsidP="00034410">
      <w:pPr>
        <w:pStyle w:val="Heading2"/>
      </w:pPr>
      <w:r>
        <w:br w:type="column"/>
      </w:r>
      <w:r w:rsidRPr="00034410">
        <w:t>Meta-analysis</w:t>
      </w:r>
    </w:p>
    <w:p w14:paraId="47447825" w14:textId="77777777" w:rsidR="0017243A" w:rsidRPr="0017243A" w:rsidRDefault="00000000" w:rsidP="0017243A">
      <w:pPr>
        <w:pStyle w:val="Heading3"/>
      </w:pPr>
      <w:r>
        <w:t>Issues with the meta-analysis</w:t>
      </w:r>
      <w:r w:rsidR="00AA71D9">
        <w:t xml:space="preserve"> </w:t>
      </w:r>
      <w:r w:rsidR="000521C2">
        <w:t>results</w:t>
      </w:r>
    </w:p>
    <w:p w14:paraId="28C1FB69" w14:textId="77777777" w:rsidR="00E64BE8" w:rsidRDefault="00000000" w:rsidP="00034410">
      <w:r w:rsidRPr="00034410">
        <w:t>Vahey et al. (2015)</w:t>
      </w:r>
      <w:r w:rsidR="00637EF6" w:rsidRPr="00034410">
        <w:t xml:space="preserve"> reported a meta-analytic effect size, 95% </w:t>
      </w:r>
      <w:r w:rsidR="00BE42D5">
        <w:t>Confidence Interval</w:t>
      </w:r>
      <w:r w:rsidR="00637EF6" w:rsidRPr="00034410">
        <w:t xml:space="preserve">s, and 95% </w:t>
      </w:r>
      <w:r w:rsidR="00BE42D5">
        <w:t>Credibility Interval</w:t>
      </w:r>
      <w:r w:rsidR="00637EF6" w:rsidRPr="00034410">
        <w:t xml:space="preserve">s. These were extracted from Vahey et al.’s (2015) forest plot </w:t>
      </w:r>
      <w:r w:rsidR="00984B3D">
        <w:t xml:space="preserve">in their Figure 1 </w:t>
      </w:r>
      <w:r w:rsidR="00637EF6" w:rsidRPr="00034410">
        <w:t>(</w:t>
      </w:r>
      <w:r w:rsidR="00984B3D">
        <w:t xml:space="preserve">for </w:t>
      </w:r>
      <m:oMath>
        <m:acc>
          <m:accPr>
            <m:chr m:val="̅"/>
            <m:ctrlPr>
              <w:rPr>
                <w:rFonts w:ascii="Cambria Math" w:hAnsi="Cambria Math"/>
                <w:i/>
                <w:sz w:val="20"/>
                <w:szCs w:val="20"/>
              </w:rPr>
            </m:ctrlPr>
          </m:accPr>
          <m:e>
            <m:r>
              <w:rPr>
                <w:rFonts w:ascii="Cambria Math" w:hAnsi="Cambria Math"/>
              </w:rPr>
              <m:t>r</m:t>
            </m:r>
          </m:e>
        </m:acc>
      </m:oMath>
      <w:r w:rsidR="007953D8" w:rsidRPr="00034410">
        <w:t xml:space="preserve"> </w:t>
      </w:r>
      <w:r w:rsidR="00637EF6" w:rsidRPr="00034410">
        <w:t>and CR) and the text on page</w:t>
      </w:r>
      <w:r w:rsidR="00182CB6" w:rsidRPr="00034410">
        <w:t>s 62-63</w:t>
      </w:r>
      <w:r w:rsidR="00637EF6" w:rsidRPr="00034410">
        <w:t xml:space="preserve"> (</w:t>
      </w:r>
      <w:r w:rsidR="00984B3D">
        <w:t xml:space="preserve">for the </w:t>
      </w:r>
      <w:r w:rsidR="00637EF6" w:rsidRPr="00034410">
        <w:t>CI)</w:t>
      </w:r>
      <w:r w:rsidR="002001D3" w:rsidRPr="00034410">
        <w:t xml:space="preserve">: </w:t>
      </w:r>
      <m:oMath>
        <m:acc>
          <m:accPr>
            <m:chr m:val="̅"/>
            <m:ctrlPr>
              <w:rPr>
                <w:rFonts w:ascii="Cambria Math" w:hAnsi="Cambria Math"/>
                <w:i/>
                <w:sz w:val="20"/>
                <w:szCs w:val="20"/>
              </w:rPr>
            </m:ctrlPr>
          </m:accPr>
          <m:e>
            <m:r>
              <w:rPr>
                <w:rFonts w:ascii="Cambria Math" w:hAnsi="Cambria Math"/>
              </w:rPr>
              <m:t>r</m:t>
            </m:r>
          </m:e>
        </m:acc>
      </m:oMath>
      <w:r w:rsidR="002001D3" w:rsidRPr="00034410">
        <w:t xml:space="preserve"> = .45, 95% CI [.40, .54], 95% CR [.23, .67]</w:t>
      </w:r>
      <w:r w:rsidR="00637EF6" w:rsidRPr="00034410">
        <w:t xml:space="preserve">. </w:t>
      </w:r>
    </w:p>
    <w:p w14:paraId="34D6A810" w14:textId="77777777" w:rsidR="00486207" w:rsidRDefault="00000000" w:rsidP="00734234">
      <w:r w:rsidRPr="00034410">
        <w:t xml:space="preserve">Prior to any attempt to reproduce these results, it is </w:t>
      </w:r>
      <w:r w:rsidR="00E64BE8">
        <w:t xml:space="preserve">important to note that the point estimate and confidence intervals are not possible: </w:t>
      </w:r>
      <w:r w:rsidRPr="00034410">
        <w:t xml:space="preserve">the upper bound </w:t>
      </w:r>
      <w:r w:rsidR="00631636">
        <w:t xml:space="preserve">Confidence Interval </w:t>
      </w:r>
      <w:r w:rsidRPr="00034410">
        <w:t>is +</w:t>
      </w:r>
      <w:r w:rsidR="00631636">
        <w:t>.0</w:t>
      </w:r>
      <w:r w:rsidRPr="00034410">
        <w:t xml:space="preserve">9 </w:t>
      </w:r>
      <w:r w:rsidR="00631636">
        <w:t xml:space="preserve">larger than the point estimate </w:t>
      </w:r>
      <m:oMath>
        <m:acc>
          <m:accPr>
            <m:chr m:val="̅"/>
            <m:ctrlPr>
              <w:rPr>
                <w:rFonts w:ascii="Cambria Math" w:hAnsi="Cambria Math"/>
                <w:i/>
                <w:sz w:val="20"/>
                <w:szCs w:val="20"/>
              </w:rPr>
            </m:ctrlPr>
          </m:accPr>
          <m:e>
            <m:r>
              <w:rPr>
                <w:rFonts w:ascii="Cambria Math" w:hAnsi="Cambria Math"/>
              </w:rPr>
              <m:t>r</m:t>
            </m:r>
          </m:e>
        </m:acc>
      </m:oMath>
      <w:r w:rsidRPr="00034410">
        <w:t xml:space="preserve">, whereas the lower bound </w:t>
      </w:r>
      <w:r w:rsidR="00631636">
        <w:t xml:space="preserve">Confidence Interval is </w:t>
      </w:r>
      <w:r w:rsidRPr="00034410">
        <w:t>-</w:t>
      </w:r>
      <w:r w:rsidR="00631636">
        <w:t>.0</w:t>
      </w:r>
      <w:r w:rsidRPr="00034410">
        <w:t xml:space="preserve">5 </w:t>
      </w:r>
      <w:r w:rsidR="00631636">
        <w:t>smaller</w:t>
      </w:r>
      <w:r w:rsidRPr="00034410">
        <w:t xml:space="preserve">. </w:t>
      </w:r>
      <w:r w:rsidR="000D1059" w:rsidRPr="00034410">
        <w:t xml:space="preserve">While asymmetric intervals are indeed possible (e.g., when using a transformation such as Fisher’s </w:t>
      </w:r>
      <w:r w:rsidR="000D1059" w:rsidRPr="00FE5D69">
        <w:rPr>
          <w:i/>
          <w:iCs/>
        </w:rPr>
        <w:t>r</w:t>
      </w:r>
      <w:r w:rsidR="000D1059" w:rsidRPr="00034410">
        <w:t>-to-</w:t>
      </w:r>
      <w:r w:rsidR="000D1059" w:rsidRPr="00FE5D69">
        <w:rPr>
          <w:i/>
          <w:iCs/>
        </w:rPr>
        <w:t>z</w:t>
      </w:r>
      <w:r w:rsidR="000D1059" w:rsidRPr="00034410">
        <w:t xml:space="preserve">), </w:t>
      </w:r>
      <w:r w:rsidR="00FE5D69">
        <w:t>such transformations would create an asymmetry in the opposite direction (i.e., a smaller upper interval and larger lower interval)</w:t>
      </w:r>
      <w:r w:rsidR="000D1059" w:rsidRPr="00034410">
        <w:t xml:space="preserve">. </w:t>
      </w:r>
      <w:r w:rsidR="00F23764">
        <w:t>I know of no legitimate way to produce a meta-analytic effect size with asymmetric Confidence Intervals of the type that Vahey et al. (2015) report</w:t>
      </w:r>
      <w:r w:rsidR="00F463F9">
        <w:t xml:space="preserve"> and they are, to the best of my knowledge, mathematically impossible. </w:t>
      </w:r>
      <w:r w:rsidR="00CD380D">
        <w:t xml:space="preserve">One plausible explanation is that one or more values are the result of typos. Another plausible explanation is that the Confidence Intervals (reported in text) and the </w:t>
      </w:r>
      <m:oMath>
        <m:acc>
          <m:accPr>
            <m:chr m:val="̅"/>
            <m:ctrlPr>
              <w:rPr>
                <w:rFonts w:ascii="Cambria Math" w:hAnsi="Cambria Math"/>
                <w:i/>
                <w:sz w:val="20"/>
                <w:szCs w:val="20"/>
              </w:rPr>
            </m:ctrlPr>
          </m:accPr>
          <m:e>
            <m:r>
              <w:rPr>
                <w:rFonts w:ascii="Cambria Math" w:hAnsi="Cambria Math"/>
              </w:rPr>
              <m:t>r</m:t>
            </m:r>
          </m:e>
        </m:acc>
      </m:oMath>
      <w:r w:rsidR="00CD380D">
        <w:t xml:space="preserve"> and Credibility Intervals (reported in Figure 1) were obtained from different meta-analyses, employing different data and/or different </w:t>
      </w:r>
      <w:proofErr w:type="spellStart"/>
      <w:r w:rsidR="00CD380D">
        <w:t>modeling</w:t>
      </w:r>
      <w:proofErr w:type="spellEnd"/>
      <w:r w:rsidR="00CD380D">
        <w:t xml:space="preserve"> approaches.</w:t>
      </w:r>
    </w:p>
    <w:p w14:paraId="01D62B62" w14:textId="77777777" w:rsidR="007272CD" w:rsidRDefault="007272CD" w:rsidP="00734234"/>
    <w:p w14:paraId="0C346E0C" w14:textId="77777777" w:rsidR="008D2DF7" w:rsidRDefault="008D2DF7">
      <w:pPr>
        <w:ind w:firstLine="0"/>
        <w:jc w:val="left"/>
        <w:rPr>
          <w:b/>
          <w:bCs/>
        </w:rPr>
      </w:pPr>
      <w:r>
        <w:rPr>
          <w:b/>
          <w:bCs/>
        </w:rPr>
        <w:br w:type="page"/>
      </w:r>
    </w:p>
    <w:p w14:paraId="40EE2C7D" w14:textId="4328B855" w:rsidR="007272CD" w:rsidRDefault="007272CD" w:rsidP="007272CD">
      <w:pPr>
        <w:ind w:firstLine="0"/>
        <w:rPr>
          <w:b/>
          <w:bCs/>
        </w:rPr>
      </w:pPr>
      <w:r w:rsidRPr="005357A0">
        <w:rPr>
          <w:b/>
          <w:bCs/>
        </w:rPr>
        <w:lastRenderedPageBreak/>
        <w:t xml:space="preserve">Figure 1. </w:t>
      </w:r>
      <w:r w:rsidRPr="004C1702">
        <w:t>Weighted-mean effect sizes and their 95% Confidence Intervals extracted from Vahey et al.’s (2015, Figure 1) forest plot.</w:t>
      </w:r>
    </w:p>
    <w:p w14:paraId="0C2D8052" w14:textId="77777777" w:rsidR="007272CD" w:rsidRPr="005357A0" w:rsidRDefault="007272CD" w:rsidP="007272CD">
      <w:pPr>
        <w:ind w:firstLine="0"/>
        <w:rPr>
          <w:b/>
          <w:bCs/>
        </w:rPr>
      </w:pPr>
      <w:r>
        <w:rPr>
          <w:b/>
          <w:bCs/>
          <w:noProof/>
        </w:rPr>
        <w:drawing>
          <wp:inline distT="0" distB="0" distL="0" distR="0" wp14:anchorId="4E6E5CD5" wp14:editId="7AEC4406">
            <wp:extent cx="2755900" cy="1515745"/>
            <wp:effectExtent l="0" t="0" r="0" b="0"/>
            <wp:docPr id="170838534" name="Picture 1" descr="A graph with number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838534" name="Picture 1" descr="A graph with numbers and lines&#10;&#10;Description automatically generated"/>
                    <pic:cNvPicPr/>
                  </pic:nvPicPr>
                  <pic:blipFill>
                    <a:blip r:embed="rId12"/>
                    <a:stretch>
                      <a:fillRect/>
                    </a:stretch>
                  </pic:blipFill>
                  <pic:spPr>
                    <a:xfrm>
                      <a:off x="0" y="0"/>
                      <a:ext cx="2755900" cy="1515745"/>
                    </a:xfrm>
                    <a:prstGeom prst="rect">
                      <a:avLst/>
                    </a:prstGeom>
                  </pic:spPr>
                </pic:pic>
              </a:graphicData>
            </a:graphic>
          </wp:inline>
        </w:drawing>
      </w:r>
    </w:p>
    <w:p w14:paraId="48A07326" w14:textId="77777777" w:rsidR="007272CD" w:rsidRDefault="007272CD" w:rsidP="007272CD">
      <w:r w:rsidRPr="00034410">
        <w:t xml:space="preserve"> </w:t>
      </w:r>
    </w:p>
    <w:p w14:paraId="7FBB98EF" w14:textId="77777777" w:rsidR="00F862D8" w:rsidRPr="00F862D8" w:rsidRDefault="00000000" w:rsidP="00F862D8">
      <w:pPr>
        <w:ind w:firstLine="0"/>
        <w:rPr>
          <w:b/>
          <w:bCs/>
        </w:rPr>
      </w:pPr>
      <w:r w:rsidRPr="00F862D8">
        <w:rPr>
          <w:b/>
          <w:bCs/>
        </w:rPr>
        <w:t xml:space="preserve">Figure </w:t>
      </w:r>
      <w:r w:rsidR="00157B0C">
        <w:rPr>
          <w:b/>
          <w:bCs/>
        </w:rPr>
        <w:t>2</w:t>
      </w:r>
      <w:r w:rsidRPr="00F862D8">
        <w:rPr>
          <w:b/>
          <w:bCs/>
        </w:rPr>
        <w:t xml:space="preserve">. </w:t>
      </w:r>
      <w:r w:rsidR="00B21A2E" w:rsidRPr="004C1702">
        <w:t xml:space="preserve">Discrepancies between the data in </w:t>
      </w:r>
      <w:r w:rsidR="00C55C2C" w:rsidRPr="004C1702">
        <w:t>Vahey et al.’s (2015)</w:t>
      </w:r>
      <w:r w:rsidR="00B21A2E" w:rsidRPr="004C1702">
        <w:t xml:space="preserve"> forest plot</w:t>
      </w:r>
      <w:r w:rsidR="00C55C2C" w:rsidRPr="004C1702">
        <w:t xml:space="preserve"> (their Figure 1) vs. funnel plot (their Figure 2)</w:t>
      </w:r>
      <w:r w:rsidR="00B21A2E" w:rsidRPr="004C1702">
        <w:t>.</w:t>
      </w:r>
      <w:r w:rsidR="00B21A2E">
        <w:rPr>
          <w:b/>
          <w:bCs/>
        </w:rPr>
        <w:t xml:space="preserve"> </w:t>
      </w:r>
    </w:p>
    <w:p w14:paraId="5AE70641" w14:textId="77777777" w:rsidR="00F862D8" w:rsidRDefault="00000000" w:rsidP="00F862D8">
      <w:pPr>
        <w:ind w:firstLine="0"/>
      </w:pPr>
      <w:r>
        <w:rPr>
          <w:noProof/>
        </w:rPr>
        <w:drawing>
          <wp:inline distT="0" distB="0" distL="0" distR="0" wp14:anchorId="15F2F814" wp14:editId="2523E259">
            <wp:extent cx="2755900" cy="2379345"/>
            <wp:effectExtent l="0" t="0" r="0" b="0"/>
            <wp:docPr id="2015480290" name="Picture 5" descr="A diagram of a poi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5480290" name="Picture 5" descr="A diagram of a point&#10;&#10;Description automatically generated"/>
                    <pic:cNvPicPr/>
                  </pic:nvPicPr>
                  <pic:blipFill>
                    <a:blip r:embed="rId13"/>
                    <a:stretch>
                      <a:fillRect/>
                    </a:stretch>
                  </pic:blipFill>
                  <pic:spPr>
                    <a:xfrm>
                      <a:off x="0" y="0"/>
                      <a:ext cx="2755900" cy="2379345"/>
                    </a:xfrm>
                    <a:prstGeom prst="rect">
                      <a:avLst/>
                    </a:prstGeom>
                  </pic:spPr>
                </pic:pic>
              </a:graphicData>
            </a:graphic>
          </wp:inline>
        </w:drawing>
      </w:r>
    </w:p>
    <w:p w14:paraId="6BE7C7FF" w14:textId="02C3FB69" w:rsidR="00B21A2E" w:rsidRPr="00C55C2C" w:rsidRDefault="00000000" w:rsidP="00F862D8">
      <w:pPr>
        <w:ind w:firstLine="0"/>
        <w:rPr>
          <w:i/>
          <w:iCs/>
        </w:rPr>
      </w:pPr>
      <w:r w:rsidRPr="00C55C2C">
        <w:rPr>
          <w:i/>
          <w:iCs/>
        </w:rPr>
        <w:t xml:space="preserve">Note: </w:t>
      </w:r>
      <w:r w:rsidR="008D2DF7">
        <w:rPr>
          <w:i/>
          <w:iCs/>
        </w:rPr>
        <w:t>Figure 2</w:t>
      </w:r>
      <w:r w:rsidR="008B57B9" w:rsidRPr="00C55C2C">
        <w:rPr>
          <w:i/>
          <w:iCs/>
        </w:rPr>
        <w:t xml:space="preserve"> was </w:t>
      </w:r>
      <w:r w:rsidRPr="00C55C2C">
        <w:rPr>
          <w:i/>
          <w:iCs/>
        </w:rPr>
        <w:t>created from Vahey et al.’s (2015) results reported in their forest plot (their Figure 1) vs. their funnel plot</w:t>
      </w:r>
      <w:r w:rsidR="008B57B9" w:rsidRPr="00C55C2C">
        <w:rPr>
          <w:i/>
          <w:iCs/>
        </w:rPr>
        <w:t xml:space="preserve"> (their Figure 2)</w:t>
      </w:r>
      <w:r w:rsidRPr="00C55C2C">
        <w:rPr>
          <w:i/>
          <w:iCs/>
        </w:rPr>
        <w:t>. The black dot refers to the location of one weighted mean effect size according to their forest plot. The red dot asterisk refers to its approximate location in their funnel plot (their Figure 2).</w:t>
      </w:r>
      <w:r w:rsidR="00B53296" w:rsidRPr="00C55C2C">
        <w:rPr>
          <w:i/>
          <w:iCs/>
        </w:rPr>
        <w:t xml:space="preserve"> Circles refer to data points that match between the two plots.</w:t>
      </w:r>
    </w:p>
    <w:p w14:paraId="35F0806B" w14:textId="77777777" w:rsidR="00367018" w:rsidRDefault="00367018" w:rsidP="00F862D8">
      <w:pPr>
        <w:pStyle w:val="Heading3"/>
      </w:pPr>
    </w:p>
    <w:p w14:paraId="667B493C" w14:textId="77777777" w:rsidR="00C34F86" w:rsidRPr="0017243A" w:rsidRDefault="00000000" w:rsidP="00C34F86">
      <w:pPr>
        <w:pStyle w:val="Heading3"/>
      </w:pPr>
      <w:r>
        <w:t>Issues with the original effect sizes’ Confidence Intervals</w:t>
      </w:r>
    </w:p>
    <w:p w14:paraId="22B55DC3" w14:textId="2D8F4322" w:rsidR="00C34F86" w:rsidRDefault="00000000" w:rsidP="00C34F86">
      <w:r>
        <w:t xml:space="preserve">Separately, it is also worth inspecting the weighted average effect sizes for each of the component studies reported in Vahey et al.’s (2015) Figure 1. These numerical values were extracted and are reproduced in Figure 1 of this manuscript and serve as the data for the verification attempts below. The individual effect sizes are labeled as representing weighted </w:t>
      </w:r>
      <w:r w:rsidRPr="00DC4226">
        <w:rPr>
          <w:i/>
          <w:iCs/>
        </w:rPr>
        <w:t>r</w:t>
      </w:r>
      <w:r>
        <w:t xml:space="preserve"> values and its Confidence Intervals. As such, the </w:t>
      </w:r>
      <w:r w:rsidR="002F45F0">
        <w:t>C</w:t>
      </w:r>
      <w:r>
        <w:t xml:space="preserve">onfidence </w:t>
      </w:r>
      <w:r w:rsidR="002F45F0">
        <w:t>I</w:t>
      </w:r>
      <w:r>
        <w:t xml:space="preserve">ntervals should be symmetrical, but they are not. For example, the effect size reported for Vahey et al. (2010) is </w:t>
      </w:r>
      <w:r w:rsidRPr="00064BCC">
        <w:rPr>
          <w:i/>
          <w:iCs/>
        </w:rPr>
        <w:t>r</w:t>
      </w:r>
      <w:r>
        <w:t xml:space="preserve"> = .36, 95% CI [-.24, .76]. This makes </w:t>
      </w:r>
      <w:r w:rsidRPr="009B2BE9">
        <w:t>the</w:t>
      </w:r>
      <w:r w:rsidRPr="00034410">
        <w:t xml:space="preserve"> upper bound +</w:t>
      </w:r>
      <w:r>
        <w:t xml:space="preserve">.40 larger than the </w:t>
      </w:r>
      <w:r w:rsidRPr="00034410">
        <w:t>point estimate whereas the lower bound is -</w:t>
      </w:r>
      <w:r>
        <w:t>.60</w:t>
      </w:r>
      <w:r w:rsidRPr="00034410">
        <w:t xml:space="preserve"> from the point estimate. </w:t>
      </w:r>
      <w:r>
        <w:t xml:space="preserve">The asymmetry is therefore in the opposite direction to that in the reported meta-analytic effect size's Confidence </w:t>
      </w:r>
      <w:r>
        <w:t xml:space="preserve">Interval and is in principle compatible with a transformation having been applied (e.g., Fisher's r-to-z). As I discuss later in meta-analysis reproduction attempt 4, it is likely that the original figure mislabels what are weighted average Fisher’s </w:t>
      </w:r>
      <w:r>
        <w:rPr>
          <w:i/>
          <w:iCs/>
        </w:rPr>
        <w:t>r</w:t>
      </w:r>
      <w:r w:rsidRPr="00E91DD6">
        <w:t>-to-</w:t>
      </w:r>
      <w:r>
        <w:rPr>
          <w:i/>
          <w:iCs/>
        </w:rPr>
        <w:t>z</w:t>
      </w:r>
      <w:r w:rsidRPr="00E91DD6">
        <w:t xml:space="preserve"> transformed </w:t>
      </w:r>
      <w:r w:rsidRPr="00FD7D4F">
        <w:t>values as</w:t>
      </w:r>
      <w:r>
        <w:rPr>
          <w:i/>
          <w:iCs/>
        </w:rPr>
        <w:t xml:space="preserve"> </w:t>
      </w:r>
      <w:r w:rsidRPr="00FD7D4F">
        <w:t>weighted average</w:t>
      </w:r>
      <w:r>
        <w:rPr>
          <w:i/>
          <w:iCs/>
        </w:rPr>
        <w:t xml:space="preserve"> r</w:t>
      </w:r>
      <w:r w:rsidRPr="00FD7D4F">
        <w:t xml:space="preserve"> values.</w:t>
      </w:r>
      <w:r>
        <w:t xml:space="preserve"> </w:t>
      </w:r>
    </w:p>
    <w:p w14:paraId="22DAC8F3" w14:textId="77777777" w:rsidR="00F862D8" w:rsidRPr="00F862D8" w:rsidRDefault="00000000" w:rsidP="00F862D8">
      <w:pPr>
        <w:pStyle w:val="Heading3"/>
      </w:pPr>
      <w:r>
        <w:t>Data in the f</w:t>
      </w:r>
      <w:r w:rsidRPr="00F862D8">
        <w:t>unnel plot</w:t>
      </w:r>
      <w:r>
        <w:t xml:space="preserve"> does not match the forest plot</w:t>
      </w:r>
    </w:p>
    <w:p w14:paraId="3E5BD437" w14:textId="77777777" w:rsidR="00F862D8" w:rsidRDefault="00000000" w:rsidP="00F862D8">
      <w:r>
        <w:t xml:space="preserve">Vahey et al. (2015) also reported their weighted average effect size estimates in a funnel plot (see their Figure 2). </w:t>
      </w:r>
      <w:r w:rsidR="007A2285">
        <w:t>This duplication of data between two plots provided a vector for error detection. W</w:t>
      </w:r>
      <w:r>
        <w:t xml:space="preserve">hen I created a funnel plot from the results reported in their forest plot, one of the data points did not match their funnel plot. See Figure </w:t>
      </w:r>
      <w:r w:rsidR="00B45F73">
        <w:t>2</w:t>
      </w:r>
      <w:r w:rsidR="00FB485F">
        <w:t>,</w:t>
      </w:r>
      <w:r>
        <w:t xml:space="preserve"> which illustrates this discrepancy. This suggests that the </w:t>
      </w:r>
      <w:r w:rsidR="00D219E4">
        <w:t xml:space="preserve">original </w:t>
      </w:r>
      <w:r>
        <w:t xml:space="preserve">funnel plot and forest plot were created from slightly different data sets. It is unclear which one represents the ‘correct’ data set (especially in light of the </w:t>
      </w:r>
      <w:r w:rsidR="00367018">
        <w:t>section on ‘a</w:t>
      </w:r>
      <w:r w:rsidR="00367018" w:rsidRPr="00367018">
        <w:t>verage effect sizes</w:t>
      </w:r>
      <w:r w:rsidR="00367018">
        <w:t>’ that I discuss later</w:t>
      </w:r>
      <w:r>
        <w:t xml:space="preserve">), but this speaks to the broader pattern of non-reproducibility and internal inconsistencies in Vahey et al.’s (2015) results. </w:t>
      </w:r>
    </w:p>
    <w:p w14:paraId="63E915D3" w14:textId="77777777" w:rsidR="00C4623D" w:rsidRPr="00C4623D" w:rsidRDefault="00000000" w:rsidP="00297052">
      <w:pPr>
        <w:pStyle w:val="Heading3"/>
      </w:pPr>
      <w:r w:rsidRPr="00F862D8">
        <w:t>Implementation of the meta-analysis</w:t>
      </w:r>
    </w:p>
    <w:p w14:paraId="7FF7234E" w14:textId="77777777" w:rsidR="00297052" w:rsidRDefault="00000000" w:rsidP="00013124">
      <w:r w:rsidRPr="00034410">
        <w:t>Vahey et al. (2015) stated that they employed a Hunter &amp; Schmidt style meta-analysis and cited Field &amp; Gillett (2010)</w:t>
      </w:r>
      <w:r w:rsidR="004E50FB">
        <w:t xml:space="preserve"> and its </w:t>
      </w:r>
      <w:r w:rsidR="00C4623D">
        <w:t xml:space="preserve">accompanying </w:t>
      </w:r>
      <w:r w:rsidR="004E50FB">
        <w:t>scripts that are maintained by Fields</w:t>
      </w:r>
      <w:r w:rsidR="00C4623D">
        <w:t xml:space="preserve"> on his website (</w:t>
      </w:r>
      <w:hyperlink r:id="rId14" w:history="1">
        <w:r w:rsidR="00C4623D" w:rsidRPr="000E0890">
          <w:rPr>
            <w:rStyle w:val="Hyperlink"/>
          </w:rPr>
          <w:t>https://www.discoveringstatistics.com/repository/fieldgillett/how_to_do_a_meta_analysis.html</w:t>
        </w:r>
      </w:hyperlink>
      <w:r w:rsidR="00C4623D">
        <w:t>)</w:t>
      </w:r>
      <w:r w:rsidRPr="00034410">
        <w:t xml:space="preserve">. </w:t>
      </w:r>
      <w:r>
        <w:t>In personal correspondence with Vahey, he stated it should in principle be possible to reconstruct their analytic strategy and results from the code provided by Field &amp; Gillett (2010), but he declined to share the actual code used in Vahey et al. (2015). In practice, it was surprisingly difficult to reconstruct what was done because of multiple discrepancies both (a) between Field &amp; Gillett (2010) and Vahey et al. (2015)</w:t>
      </w:r>
      <w:r w:rsidR="000C0C37">
        <w:t xml:space="preserve">; </w:t>
      </w:r>
      <w:r>
        <w:t>(b) within Vahey et al. (2015) itself</w:t>
      </w:r>
      <w:r w:rsidR="000C0C37">
        <w:t xml:space="preserve">; (c) between Field and Gillett’s (2010) descriptions and Field’s actual code implementations, and (d) between the different implementations of the Hunter &amp; Schmidt style meta-analysis between Field’s two different scripts that are associated with Field &amp; Gillett (2010). </w:t>
      </w:r>
      <w:r>
        <w:t>I will discuss</w:t>
      </w:r>
      <w:r w:rsidR="000C0C37">
        <w:t xml:space="preserve"> each of these</w:t>
      </w:r>
      <w:r>
        <w:t>.</w:t>
      </w:r>
      <w:r w:rsidR="000C0C37">
        <w:t xml:space="preserve"> Trying to unravel this was extremely challenging, to a degree that is difficult to convey.</w:t>
      </w:r>
    </w:p>
    <w:p w14:paraId="7DDD7CB8" w14:textId="5BA99982" w:rsidR="000F14E7" w:rsidRPr="000F14E7" w:rsidRDefault="00000000" w:rsidP="00F0424A">
      <w:pPr>
        <w:rPr>
          <w:iCs/>
        </w:rPr>
      </w:pPr>
      <w:r>
        <w:t xml:space="preserve">Field &amp; Gillett (2010) describe two different ways of conducting meta-analyses: a Hedges </w:t>
      </w:r>
      <w:r w:rsidR="00013124">
        <w:t xml:space="preserve">and colleagues </w:t>
      </w:r>
      <w:r>
        <w:t>style “basic” meta-analysis and a Hunter and Schmidt style psychometric meta-analysis. Despite Vahey et al. (2015) stating that they applied the Hunter and Schmidt approach, multiple features of this approach are missing from their results</w:t>
      </w:r>
      <w:r w:rsidR="004423C2">
        <w:t xml:space="preserve">. This becomes more apparent when examining the metrics returned by Field’s accompanying SPSS scripts for Field &amp; Gillett (2010): </w:t>
      </w:r>
      <w:r w:rsidR="004423C2" w:rsidRPr="00034410">
        <w:t>“Meta_Basic_r.sps” and “h_s syntax.sps”.</w:t>
      </w:r>
      <w:r w:rsidR="004423C2">
        <w:t xml:space="preserve"> To complicate things, both scripts contain code to produce a Hunter and Schmidt style meta-analysis, with the former also producing a Hedges and colleagues style ‘basic’ meta-analysis. </w:t>
      </w:r>
    </w:p>
    <w:p w14:paraId="1862F107" w14:textId="77777777" w:rsidR="00442CE7" w:rsidRDefault="00442CE7" w:rsidP="000F14E7">
      <w:pPr>
        <w:pStyle w:val="Heading3"/>
        <w:ind w:firstLine="0"/>
        <w:sectPr w:rsidR="00442CE7" w:rsidSect="008153E3">
          <w:type w:val="continuous"/>
          <w:pgSz w:w="11900" w:h="16840"/>
          <w:pgMar w:top="1440" w:right="1440" w:bottom="1440" w:left="1440" w:header="709" w:footer="709" w:gutter="0"/>
          <w:cols w:num="2" w:space="340"/>
          <w:titlePg/>
          <w:docGrid w:linePitch="360"/>
          <w15:footnoteColumns w:val="1"/>
        </w:sectPr>
      </w:pPr>
    </w:p>
    <w:p w14:paraId="26C55078" w14:textId="77777777" w:rsidR="00442CE7" w:rsidRPr="004C1702" w:rsidRDefault="00000000" w:rsidP="00442CE7">
      <w:pPr>
        <w:ind w:firstLine="0"/>
        <w:jc w:val="left"/>
        <w:rPr>
          <w:rFonts w:eastAsia="MS Mincho"/>
          <w:color w:val="auto"/>
          <w:kern w:val="2"/>
          <w:lang w:val=""/>
          <w14:ligatures w14:val="standardContextual"/>
        </w:rPr>
      </w:pPr>
      <w:r w:rsidRPr="004C1702">
        <w:rPr>
          <w:rFonts w:eastAsia="MS Mincho"/>
          <w:b/>
          <w:bCs/>
          <w:color w:val="auto"/>
          <w:kern w:val="2"/>
          <w:lang w:val=""/>
          <w14:ligatures w14:val="standardContextual"/>
        </w:rPr>
        <w:lastRenderedPageBreak/>
        <w:t xml:space="preserve">Table 2. </w:t>
      </w:r>
      <w:r w:rsidRPr="004C1702">
        <w:rPr>
          <w:rFonts w:eastAsia="MS Mincho"/>
          <w:color w:val="auto"/>
          <w:kern w:val="2"/>
          <w:lang w:val=""/>
          <w14:ligatures w14:val="standardContextual"/>
        </w:rPr>
        <w:t xml:space="preserve">Alignment between the results reported in Vahey et al. (2015) and Field’s SPSS scripts accompanying Field &amp; Gillett (2010) </w:t>
      </w:r>
    </w:p>
    <w:p w14:paraId="7AACC489" w14:textId="77777777" w:rsidR="00442CE7" w:rsidRDefault="00442CE7" w:rsidP="00442CE7">
      <w:pPr>
        <w:ind w:firstLine="0"/>
        <w:jc w:val="left"/>
        <w:rPr>
          <w:rFonts w:eastAsia="MS Mincho"/>
          <w:color w:val="auto"/>
          <w:kern w:val="2"/>
          <w:sz w:val="16"/>
          <w:szCs w:val="16"/>
          <w:lang w:val=""/>
          <w14:ligatures w14:val="standardContextual"/>
        </w:rPr>
        <w:sectPr w:rsidR="00442CE7" w:rsidSect="00442CE7">
          <w:pgSz w:w="16840" w:h="11900" w:orient="landscape"/>
          <w:pgMar w:top="1440" w:right="1440" w:bottom="1440" w:left="1440" w:header="709" w:footer="709" w:gutter="0"/>
          <w:cols w:space="340"/>
          <w:titlePg/>
          <w:docGrid w:linePitch="360"/>
          <w15:footnoteColumns w:val="1"/>
        </w:sectPr>
      </w:pPr>
    </w:p>
    <w:p w14:paraId="50FCBDC5" w14:textId="77777777" w:rsidR="00442CE7" w:rsidRPr="007C5953" w:rsidRDefault="00442CE7" w:rsidP="00442CE7">
      <w:pPr>
        <w:ind w:firstLine="0"/>
        <w:jc w:val="left"/>
        <w:rPr>
          <w:rFonts w:eastAsia="MS Mincho"/>
          <w:color w:val="auto"/>
          <w:kern w:val="2"/>
          <w:sz w:val="16"/>
          <w:szCs w:val="16"/>
          <w:lang w:val=""/>
          <w14:ligatures w14:val="standardContextual"/>
        </w:rPr>
      </w:pPr>
    </w:p>
    <w:tbl>
      <w:tblPr>
        <w:tblStyle w:val="TableGrid1"/>
        <w:tblW w:w="11070" w:type="dxa"/>
        <w:jc w:val="center"/>
        <w:tblLayout w:type="fixed"/>
        <w:tblLook w:val="04A0" w:firstRow="1" w:lastRow="0" w:firstColumn="1" w:lastColumn="0" w:noHBand="0" w:noVBand="1"/>
      </w:tblPr>
      <w:tblGrid>
        <w:gridCol w:w="6559"/>
        <w:gridCol w:w="538"/>
        <w:gridCol w:w="538"/>
        <w:gridCol w:w="717"/>
        <w:gridCol w:w="1728"/>
        <w:gridCol w:w="990"/>
      </w:tblGrid>
      <w:tr w:rsidR="00AA6907" w14:paraId="6206B657" w14:textId="77777777" w:rsidTr="00442CE7">
        <w:trPr>
          <w:trHeight w:val="180"/>
          <w:jc w:val="center"/>
        </w:trPr>
        <w:tc>
          <w:tcPr>
            <w:tcW w:w="6559" w:type="dxa"/>
            <w:tcBorders>
              <w:top w:val="single" w:sz="4" w:space="0" w:color="auto"/>
              <w:left w:val="nil"/>
              <w:bottom w:val="single" w:sz="4" w:space="0" w:color="auto"/>
              <w:right w:val="nil"/>
            </w:tcBorders>
            <w:vAlign w:val="center"/>
            <w:hideMark/>
          </w:tcPr>
          <w:p w14:paraId="0B090E1B" w14:textId="77777777" w:rsidR="00442CE7" w:rsidRPr="007C5953" w:rsidRDefault="00000000" w:rsidP="002D69CC">
            <w:pPr>
              <w:ind w:firstLine="0"/>
              <w:jc w:val="left"/>
              <w:rPr>
                <w:rFonts w:eastAsia="MS Mincho"/>
                <w:color w:val="auto"/>
                <w:sz w:val="16"/>
                <w:szCs w:val="16"/>
              </w:rPr>
            </w:pPr>
            <w:r>
              <w:rPr>
                <w:rFonts w:eastAsia="MS Mincho"/>
                <w:color w:val="auto"/>
                <w:sz w:val="16"/>
                <w:szCs w:val="16"/>
              </w:rPr>
              <w:t>Source</w:t>
            </w:r>
          </w:p>
        </w:tc>
        <w:tc>
          <w:tcPr>
            <w:tcW w:w="538" w:type="dxa"/>
            <w:tcBorders>
              <w:top w:val="single" w:sz="4" w:space="0" w:color="auto"/>
              <w:left w:val="nil"/>
              <w:bottom w:val="single" w:sz="4" w:space="0" w:color="auto"/>
              <w:right w:val="nil"/>
            </w:tcBorders>
            <w:vAlign w:val="center"/>
            <w:hideMark/>
          </w:tcPr>
          <w:p w14:paraId="756EC59F" w14:textId="77777777" w:rsidR="00442CE7" w:rsidRPr="007C5953" w:rsidRDefault="00000000" w:rsidP="002D69CC">
            <w:pPr>
              <w:ind w:firstLine="0"/>
              <w:jc w:val="center"/>
              <w:rPr>
                <w:rFonts w:eastAsia="MS Mincho"/>
                <w:color w:val="auto"/>
                <w:sz w:val="16"/>
                <w:szCs w:val="16"/>
              </w:rPr>
            </w:pPr>
            <m:oMathPara>
              <m:oMath>
                <m:acc>
                  <m:accPr>
                    <m:chr m:val="̅"/>
                    <m:ctrlPr>
                      <w:rPr>
                        <w:rFonts w:ascii="Cambria Math" w:eastAsia="MS Mincho" w:hAnsi="Cambria Math"/>
                        <w:color w:val="auto"/>
                        <w:sz w:val="16"/>
                        <w:szCs w:val="16"/>
                      </w:rPr>
                    </m:ctrlPr>
                  </m:accPr>
                  <m:e>
                    <m:r>
                      <w:rPr>
                        <w:rFonts w:ascii="Cambria Math" w:eastAsia="MS Mincho" w:hAnsi="Cambria Math"/>
                        <w:color w:val="auto"/>
                        <w:sz w:val="16"/>
                        <w:szCs w:val="16"/>
                      </w:rPr>
                      <m:t>r</m:t>
                    </m:r>
                  </m:e>
                </m:acc>
              </m:oMath>
            </m:oMathPara>
          </w:p>
        </w:tc>
        <w:tc>
          <w:tcPr>
            <w:tcW w:w="538" w:type="dxa"/>
            <w:tcBorders>
              <w:top w:val="single" w:sz="4" w:space="0" w:color="auto"/>
              <w:left w:val="nil"/>
              <w:bottom w:val="single" w:sz="4" w:space="0" w:color="auto"/>
              <w:right w:val="nil"/>
            </w:tcBorders>
            <w:vAlign w:val="center"/>
            <w:hideMark/>
          </w:tcPr>
          <w:p w14:paraId="35A05E39" w14:textId="77777777" w:rsidR="00442CE7" w:rsidRPr="007C5953" w:rsidRDefault="00000000" w:rsidP="002D69CC">
            <w:pPr>
              <w:ind w:firstLine="0"/>
              <w:jc w:val="center"/>
              <w:rPr>
                <w:rFonts w:eastAsia="MS Mincho"/>
                <w:color w:val="auto"/>
                <w:sz w:val="16"/>
                <w:szCs w:val="16"/>
              </w:rPr>
            </w:pPr>
            <w:r w:rsidRPr="007C5953">
              <w:rPr>
                <w:rFonts w:eastAsia="MS Mincho"/>
                <w:color w:val="auto"/>
                <w:sz w:val="16"/>
                <w:szCs w:val="16"/>
              </w:rPr>
              <w:t>CIs</w:t>
            </w:r>
          </w:p>
        </w:tc>
        <w:tc>
          <w:tcPr>
            <w:tcW w:w="717" w:type="dxa"/>
            <w:tcBorders>
              <w:top w:val="single" w:sz="4" w:space="0" w:color="auto"/>
              <w:left w:val="nil"/>
              <w:bottom w:val="single" w:sz="4" w:space="0" w:color="auto"/>
              <w:right w:val="nil"/>
            </w:tcBorders>
            <w:noWrap/>
            <w:vAlign w:val="center"/>
            <w:hideMark/>
          </w:tcPr>
          <w:p w14:paraId="644B751D" w14:textId="77777777" w:rsidR="00442CE7" w:rsidRPr="007C5953" w:rsidRDefault="00000000" w:rsidP="002D69CC">
            <w:pPr>
              <w:ind w:firstLine="0"/>
              <w:jc w:val="center"/>
              <w:rPr>
                <w:rFonts w:eastAsia="MS Mincho"/>
                <w:color w:val="auto"/>
                <w:sz w:val="16"/>
                <w:szCs w:val="16"/>
              </w:rPr>
            </w:pPr>
            <w:r w:rsidRPr="007C5953">
              <w:rPr>
                <w:rFonts w:eastAsia="MS Mincho"/>
                <w:color w:val="auto"/>
                <w:sz w:val="16"/>
                <w:szCs w:val="16"/>
              </w:rPr>
              <w:t>CRs</w:t>
            </w:r>
          </w:p>
        </w:tc>
        <w:tc>
          <w:tcPr>
            <w:tcW w:w="1728" w:type="dxa"/>
            <w:tcBorders>
              <w:top w:val="single" w:sz="4" w:space="0" w:color="auto"/>
              <w:left w:val="nil"/>
              <w:bottom w:val="single" w:sz="4" w:space="0" w:color="auto"/>
              <w:right w:val="nil"/>
            </w:tcBorders>
            <w:vAlign w:val="center"/>
          </w:tcPr>
          <w:p w14:paraId="3DD8D385" w14:textId="77777777" w:rsidR="00442CE7" w:rsidRPr="007C5953" w:rsidRDefault="00000000" w:rsidP="002D69CC">
            <w:pPr>
              <w:ind w:firstLine="0"/>
              <w:jc w:val="center"/>
              <w:rPr>
                <w:rFonts w:eastAsia="MS Mincho"/>
                <w:color w:val="auto"/>
                <w:sz w:val="16"/>
                <w:szCs w:val="16"/>
              </w:rPr>
            </w:pPr>
            <w:r w:rsidRPr="007C5953">
              <w:rPr>
                <w:rFonts w:eastAsia="MS Mincho"/>
                <w:color w:val="auto"/>
                <w:sz w:val="16"/>
                <w:szCs w:val="16"/>
              </w:rPr>
              <w:t>Adjustments &amp; Transformations</w:t>
            </w:r>
          </w:p>
        </w:tc>
        <w:tc>
          <w:tcPr>
            <w:tcW w:w="990" w:type="dxa"/>
            <w:tcBorders>
              <w:top w:val="single" w:sz="4" w:space="0" w:color="auto"/>
              <w:left w:val="nil"/>
              <w:bottom w:val="single" w:sz="4" w:space="0" w:color="auto"/>
              <w:right w:val="nil"/>
            </w:tcBorders>
            <w:vAlign w:val="center"/>
          </w:tcPr>
          <w:p w14:paraId="42376411" w14:textId="77777777" w:rsidR="00442CE7" w:rsidRPr="007C5953" w:rsidRDefault="00000000" w:rsidP="002D69CC">
            <w:pPr>
              <w:ind w:firstLine="0"/>
              <w:jc w:val="center"/>
              <w:rPr>
                <w:rFonts w:eastAsia="MS Mincho"/>
                <w:color w:val="auto"/>
                <w:sz w:val="16"/>
                <w:szCs w:val="16"/>
              </w:rPr>
            </w:pPr>
            <w:r w:rsidRPr="007C5953">
              <w:rPr>
                <w:rFonts w:eastAsia="MS Mincho"/>
                <w:color w:val="auto"/>
                <w:sz w:val="16"/>
                <w:szCs w:val="16"/>
              </w:rPr>
              <w:t>Employs reliability estimates</w:t>
            </w:r>
          </w:p>
        </w:tc>
      </w:tr>
      <w:tr w:rsidR="00AA6907" w14:paraId="3ED524EC" w14:textId="77777777" w:rsidTr="00442CE7">
        <w:trPr>
          <w:trHeight w:val="512"/>
          <w:jc w:val="center"/>
        </w:trPr>
        <w:tc>
          <w:tcPr>
            <w:tcW w:w="6559" w:type="dxa"/>
            <w:tcBorders>
              <w:top w:val="single" w:sz="4" w:space="0" w:color="auto"/>
              <w:left w:val="nil"/>
              <w:bottom w:val="nil"/>
              <w:right w:val="nil"/>
            </w:tcBorders>
            <w:vAlign w:val="center"/>
            <w:hideMark/>
          </w:tcPr>
          <w:p w14:paraId="368E2376" w14:textId="77777777" w:rsidR="00442CE7" w:rsidRPr="007C5953" w:rsidRDefault="00000000" w:rsidP="002D69CC">
            <w:pPr>
              <w:ind w:firstLine="0"/>
              <w:jc w:val="left"/>
              <w:rPr>
                <w:rFonts w:eastAsia="MS Mincho"/>
                <w:color w:val="auto"/>
                <w:sz w:val="16"/>
                <w:szCs w:val="16"/>
              </w:rPr>
            </w:pPr>
            <w:r w:rsidRPr="007C5953">
              <w:rPr>
                <w:rFonts w:eastAsia="MS Mincho"/>
                <w:color w:val="auto"/>
                <w:sz w:val="16"/>
                <w:szCs w:val="16"/>
              </w:rPr>
              <w:t>Vahey et al. (2015)</w:t>
            </w:r>
          </w:p>
        </w:tc>
        <w:tc>
          <w:tcPr>
            <w:tcW w:w="538" w:type="dxa"/>
            <w:tcBorders>
              <w:top w:val="single" w:sz="4" w:space="0" w:color="auto"/>
              <w:left w:val="nil"/>
              <w:bottom w:val="nil"/>
              <w:right w:val="nil"/>
            </w:tcBorders>
            <w:shd w:val="clear" w:color="auto" w:fill="D9D9D9"/>
            <w:vAlign w:val="center"/>
            <w:hideMark/>
          </w:tcPr>
          <w:p w14:paraId="05F34960" w14:textId="77777777" w:rsidR="00442CE7" w:rsidRPr="007C5953" w:rsidRDefault="00000000" w:rsidP="002D69CC">
            <w:pPr>
              <w:ind w:firstLine="0"/>
              <w:jc w:val="center"/>
              <w:rPr>
                <w:rFonts w:eastAsia="MS Mincho"/>
                <w:color w:val="auto"/>
                <w:sz w:val="16"/>
                <w:szCs w:val="16"/>
              </w:rPr>
            </w:pPr>
            <w:r w:rsidRPr="007C5953">
              <w:rPr>
                <w:rFonts w:eastAsia="MS Mincho"/>
                <w:color w:val="auto"/>
                <w:sz w:val="16"/>
                <w:szCs w:val="16"/>
              </w:rPr>
              <w:t>Yes</w:t>
            </w:r>
          </w:p>
        </w:tc>
        <w:tc>
          <w:tcPr>
            <w:tcW w:w="538" w:type="dxa"/>
            <w:tcBorders>
              <w:top w:val="single" w:sz="4" w:space="0" w:color="auto"/>
              <w:left w:val="nil"/>
              <w:bottom w:val="nil"/>
              <w:right w:val="nil"/>
            </w:tcBorders>
            <w:shd w:val="clear" w:color="auto" w:fill="D9D9D9"/>
            <w:vAlign w:val="center"/>
            <w:hideMark/>
          </w:tcPr>
          <w:p w14:paraId="6152A3BE" w14:textId="77777777" w:rsidR="00442CE7" w:rsidRPr="007C5953" w:rsidRDefault="00000000" w:rsidP="002D69CC">
            <w:pPr>
              <w:ind w:firstLine="0"/>
              <w:jc w:val="center"/>
              <w:rPr>
                <w:rFonts w:eastAsia="MS Mincho"/>
                <w:color w:val="auto"/>
                <w:sz w:val="16"/>
                <w:szCs w:val="16"/>
              </w:rPr>
            </w:pPr>
            <w:r w:rsidRPr="007C5953">
              <w:rPr>
                <w:rFonts w:eastAsia="MS Mincho"/>
                <w:color w:val="auto"/>
                <w:sz w:val="16"/>
                <w:szCs w:val="16"/>
              </w:rPr>
              <w:t>Yes</w:t>
            </w:r>
          </w:p>
        </w:tc>
        <w:tc>
          <w:tcPr>
            <w:tcW w:w="717" w:type="dxa"/>
            <w:tcBorders>
              <w:top w:val="single" w:sz="4" w:space="0" w:color="auto"/>
              <w:left w:val="nil"/>
              <w:bottom w:val="nil"/>
              <w:right w:val="nil"/>
            </w:tcBorders>
            <w:shd w:val="clear" w:color="auto" w:fill="D9D9D9"/>
            <w:noWrap/>
            <w:vAlign w:val="center"/>
            <w:hideMark/>
          </w:tcPr>
          <w:p w14:paraId="3A608EE2" w14:textId="77777777" w:rsidR="00442CE7" w:rsidRPr="007C5953" w:rsidRDefault="00000000" w:rsidP="002D69CC">
            <w:pPr>
              <w:ind w:firstLine="0"/>
              <w:jc w:val="center"/>
              <w:rPr>
                <w:rFonts w:eastAsia="MS Mincho"/>
                <w:color w:val="auto"/>
                <w:sz w:val="16"/>
                <w:szCs w:val="16"/>
              </w:rPr>
            </w:pPr>
            <w:r w:rsidRPr="007C5953">
              <w:rPr>
                <w:rFonts w:eastAsia="MS Mincho"/>
                <w:color w:val="auto"/>
                <w:sz w:val="16"/>
                <w:szCs w:val="16"/>
              </w:rPr>
              <w:t>Yes</w:t>
            </w:r>
          </w:p>
        </w:tc>
        <w:tc>
          <w:tcPr>
            <w:tcW w:w="1728" w:type="dxa"/>
            <w:tcBorders>
              <w:top w:val="single" w:sz="4" w:space="0" w:color="auto"/>
              <w:left w:val="nil"/>
              <w:bottom w:val="nil"/>
              <w:right w:val="nil"/>
            </w:tcBorders>
            <w:shd w:val="clear" w:color="auto" w:fill="D9D9D9"/>
            <w:vAlign w:val="center"/>
          </w:tcPr>
          <w:p w14:paraId="25564C4B" w14:textId="77777777" w:rsidR="00442CE7" w:rsidRPr="007C5953" w:rsidRDefault="00000000" w:rsidP="002D69CC">
            <w:pPr>
              <w:ind w:firstLine="0"/>
              <w:jc w:val="center"/>
              <w:rPr>
                <w:rFonts w:eastAsia="MS Mincho"/>
                <w:color w:val="auto"/>
                <w:sz w:val="16"/>
                <w:szCs w:val="16"/>
              </w:rPr>
            </w:pPr>
            <w:r w:rsidRPr="007C5953">
              <w:rPr>
                <w:rFonts w:eastAsia="MS Mincho"/>
                <w:color w:val="auto"/>
                <w:sz w:val="16"/>
                <w:szCs w:val="16"/>
              </w:rPr>
              <w:t xml:space="preserve">Likely </w:t>
            </w:r>
          </w:p>
          <w:p w14:paraId="7AB9AB11" w14:textId="77777777" w:rsidR="00442CE7" w:rsidRPr="007C5953" w:rsidRDefault="00000000" w:rsidP="002D69CC">
            <w:pPr>
              <w:ind w:firstLine="0"/>
              <w:jc w:val="center"/>
              <w:rPr>
                <w:rFonts w:eastAsia="MS Mincho"/>
                <w:color w:val="auto"/>
                <w:sz w:val="16"/>
                <w:szCs w:val="16"/>
              </w:rPr>
            </w:pPr>
            <w:r w:rsidRPr="007C5953">
              <w:rPr>
                <w:rFonts w:eastAsia="MS Mincho"/>
                <w:color w:val="auto"/>
                <w:sz w:val="16"/>
                <w:szCs w:val="16"/>
              </w:rPr>
              <w:t xml:space="preserve">Fisher’s </w:t>
            </w:r>
            <w:r w:rsidRPr="007C5953">
              <w:rPr>
                <w:rFonts w:eastAsia="MS Mincho"/>
                <w:i/>
                <w:iCs/>
                <w:color w:val="auto"/>
                <w:sz w:val="16"/>
                <w:szCs w:val="16"/>
              </w:rPr>
              <w:t>r</w:t>
            </w:r>
            <w:r w:rsidRPr="007C5953">
              <w:rPr>
                <w:rFonts w:eastAsia="MS Mincho"/>
                <w:color w:val="auto"/>
                <w:sz w:val="16"/>
                <w:szCs w:val="16"/>
              </w:rPr>
              <w:t>-to-</w:t>
            </w:r>
            <w:r w:rsidRPr="007C5953">
              <w:rPr>
                <w:rFonts w:eastAsia="MS Mincho"/>
                <w:i/>
                <w:iCs/>
                <w:color w:val="auto"/>
                <w:sz w:val="16"/>
                <w:szCs w:val="16"/>
              </w:rPr>
              <w:t>z</w:t>
            </w:r>
            <w:r w:rsidRPr="007C5953">
              <w:rPr>
                <w:rFonts w:eastAsia="MS Mincho"/>
                <w:color w:val="auto"/>
                <w:sz w:val="16"/>
                <w:szCs w:val="16"/>
              </w:rPr>
              <w:t>*</w:t>
            </w:r>
          </w:p>
        </w:tc>
        <w:tc>
          <w:tcPr>
            <w:tcW w:w="990" w:type="dxa"/>
            <w:tcBorders>
              <w:top w:val="single" w:sz="4" w:space="0" w:color="auto"/>
              <w:left w:val="nil"/>
              <w:bottom w:val="nil"/>
              <w:right w:val="nil"/>
            </w:tcBorders>
            <w:shd w:val="clear" w:color="auto" w:fill="D9D9D9"/>
            <w:vAlign w:val="center"/>
          </w:tcPr>
          <w:p w14:paraId="3FE49281" w14:textId="77777777" w:rsidR="00442CE7" w:rsidRPr="007C5953" w:rsidRDefault="00000000" w:rsidP="002D69CC">
            <w:pPr>
              <w:ind w:firstLine="0"/>
              <w:jc w:val="center"/>
              <w:rPr>
                <w:rFonts w:eastAsia="MS Mincho"/>
                <w:color w:val="auto"/>
                <w:sz w:val="16"/>
                <w:szCs w:val="16"/>
              </w:rPr>
            </w:pPr>
            <w:r w:rsidRPr="007C5953">
              <w:rPr>
                <w:rFonts w:eastAsia="MS Mincho"/>
                <w:color w:val="auto"/>
                <w:sz w:val="16"/>
                <w:szCs w:val="16"/>
              </w:rPr>
              <w:t>No</w:t>
            </w:r>
          </w:p>
        </w:tc>
      </w:tr>
      <w:tr w:rsidR="00AA6907" w14:paraId="13C30C7A" w14:textId="77777777" w:rsidTr="00442CE7">
        <w:trPr>
          <w:trHeight w:val="550"/>
          <w:jc w:val="center"/>
        </w:trPr>
        <w:tc>
          <w:tcPr>
            <w:tcW w:w="6559" w:type="dxa"/>
            <w:tcBorders>
              <w:top w:val="nil"/>
              <w:left w:val="nil"/>
              <w:bottom w:val="nil"/>
              <w:right w:val="nil"/>
            </w:tcBorders>
            <w:vAlign w:val="center"/>
            <w:hideMark/>
          </w:tcPr>
          <w:p w14:paraId="11F64535" w14:textId="77777777" w:rsidR="00442CE7" w:rsidRPr="007C5953" w:rsidRDefault="00000000" w:rsidP="002D69CC">
            <w:pPr>
              <w:ind w:firstLine="0"/>
              <w:jc w:val="left"/>
              <w:rPr>
                <w:rFonts w:eastAsia="MS Mincho"/>
                <w:color w:val="auto"/>
                <w:sz w:val="16"/>
                <w:szCs w:val="16"/>
              </w:rPr>
            </w:pPr>
            <w:r w:rsidRPr="007C5953">
              <w:rPr>
                <w:rFonts w:eastAsia="MS Mincho"/>
                <w:color w:val="auto"/>
                <w:sz w:val="16"/>
                <w:szCs w:val="16"/>
              </w:rPr>
              <w:t>Hunter &amp; Schmidt meta-analysis via Field’s “h_s_syntax.sps”</w:t>
            </w:r>
          </w:p>
        </w:tc>
        <w:tc>
          <w:tcPr>
            <w:tcW w:w="538" w:type="dxa"/>
            <w:tcBorders>
              <w:top w:val="nil"/>
              <w:left w:val="nil"/>
              <w:bottom w:val="nil"/>
              <w:right w:val="nil"/>
            </w:tcBorders>
            <w:shd w:val="clear" w:color="auto" w:fill="D9D9D9"/>
            <w:vAlign w:val="center"/>
            <w:hideMark/>
          </w:tcPr>
          <w:p w14:paraId="2FC9C311" w14:textId="77777777" w:rsidR="00442CE7" w:rsidRPr="007C5953" w:rsidRDefault="00000000" w:rsidP="002D69CC">
            <w:pPr>
              <w:ind w:firstLine="0"/>
              <w:jc w:val="center"/>
              <w:rPr>
                <w:rFonts w:eastAsia="MS Mincho"/>
                <w:color w:val="auto"/>
                <w:sz w:val="16"/>
                <w:szCs w:val="16"/>
              </w:rPr>
            </w:pPr>
            <w:r w:rsidRPr="007C5953">
              <w:rPr>
                <w:rFonts w:eastAsia="MS Mincho"/>
                <w:color w:val="auto"/>
                <w:sz w:val="16"/>
                <w:szCs w:val="16"/>
              </w:rPr>
              <w:t>Yes</w:t>
            </w:r>
          </w:p>
        </w:tc>
        <w:tc>
          <w:tcPr>
            <w:tcW w:w="538" w:type="dxa"/>
            <w:tcBorders>
              <w:top w:val="nil"/>
              <w:left w:val="nil"/>
              <w:bottom w:val="nil"/>
              <w:right w:val="nil"/>
            </w:tcBorders>
            <w:shd w:val="clear" w:color="auto" w:fill="D9D9D9"/>
            <w:vAlign w:val="center"/>
            <w:hideMark/>
          </w:tcPr>
          <w:p w14:paraId="6A4D4195" w14:textId="77777777" w:rsidR="00442CE7" w:rsidRPr="007C5953" w:rsidRDefault="00000000" w:rsidP="002D69CC">
            <w:pPr>
              <w:ind w:firstLine="0"/>
              <w:jc w:val="center"/>
              <w:rPr>
                <w:rFonts w:eastAsia="MS Mincho"/>
                <w:color w:val="auto"/>
                <w:sz w:val="16"/>
                <w:szCs w:val="16"/>
              </w:rPr>
            </w:pPr>
            <w:r w:rsidRPr="007C5953">
              <w:rPr>
                <w:rFonts w:eastAsia="MS Mincho"/>
                <w:color w:val="auto"/>
                <w:sz w:val="16"/>
                <w:szCs w:val="16"/>
              </w:rPr>
              <w:t>Yes</w:t>
            </w:r>
          </w:p>
        </w:tc>
        <w:tc>
          <w:tcPr>
            <w:tcW w:w="717" w:type="dxa"/>
            <w:tcBorders>
              <w:top w:val="nil"/>
              <w:left w:val="nil"/>
              <w:bottom w:val="nil"/>
              <w:right w:val="nil"/>
            </w:tcBorders>
            <w:shd w:val="clear" w:color="auto" w:fill="D9D9D9"/>
            <w:noWrap/>
            <w:vAlign w:val="center"/>
            <w:hideMark/>
          </w:tcPr>
          <w:p w14:paraId="30D9EC3D" w14:textId="77777777" w:rsidR="00442CE7" w:rsidRPr="007C5953" w:rsidRDefault="00000000" w:rsidP="002D69CC">
            <w:pPr>
              <w:ind w:firstLine="0"/>
              <w:jc w:val="center"/>
              <w:rPr>
                <w:rFonts w:eastAsia="MS Mincho"/>
                <w:color w:val="auto"/>
                <w:sz w:val="16"/>
                <w:szCs w:val="16"/>
              </w:rPr>
            </w:pPr>
            <w:r w:rsidRPr="007C5953">
              <w:rPr>
                <w:rFonts w:eastAsia="MS Mincho"/>
                <w:color w:val="auto"/>
                <w:sz w:val="16"/>
                <w:szCs w:val="16"/>
              </w:rPr>
              <w:t>Yes</w:t>
            </w:r>
          </w:p>
        </w:tc>
        <w:tc>
          <w:tcPr>
            <w:tcW w:w="1728" w:type="dxa"/>
            <w:tcBorders>
              <w:top w:val="nil"/>
              <w:left w:val="nil"/>
              <w:bottom w:val="nil"/>
              <w:right w:val="nil"/>
            </w:tcBorders>
            <w:shd w:val="clear" w:color="auto" w:fill="auto"/>
            <w:vAlign w:val="center"/>
          </w:tcPr>
          <w:p w14:paraId="3348A459" w14:textId="77777777" w:rsidR="00442CE7" w:rsidRPr="007C5953" w:rsidRDefault="00000000" w:rsidP="002D69CC">
            <w:pPr>
              <w:ind w:firstLine="0"/>
              <w:jc w:val="center"/>
              <w:rPr>
                <w:rFonts w:eastAsia="MS Mincho"/>
                <w:color w:val="auto"/>
                <w:sz w:val="16"/>
                <w:szCs w:val="16"/>
                <w:highlight w:val="yellow"/>
              </w:rPr>
            </w:pPr>
            <w:r w:rsidRPr="007C5953">
              <w:rPr>
                <w:rFonts w:eastAsia="MS Mincho"/>
                <w:color w:val="auto"/>
                <w:sz w:val="16"/>
                <w:szCs w:val="16"/>
              </w:rPr>
              <w:t>No</w:t>
            </w:r>
          </w:p>
        </w:tc>
        <w:tc>
          <w:tcPr>
            <w:tcW w:w="990" w:type="dxa"/>
            <w:tcBorders>
              <w:top w:val="nil"/>
              <w:left w:val="nil"/>
              <w:bottom w:val="nil"/>
              <w:right w:val="nil"/>
            </w:tcBorders>
            <w:vAlign w:val="center"/>
          </w:tcPr>
          <w:p w14:paraId="04D5A90D" w14:textId="77777777" w:rsidR="00442CE7" w:rsidRPr="007C5953" w:rsidRDefault="00000000" w:rsidP="002D69CC">
            <w:pPr>
              <w:ind w:firstLine="0"/>
              <w:jc w:val="center"/>
              <w:rPr>
                <w:rFonts w:eastAsia="MS Mincho"/>
                <w:color w:val="auto"/>
                <w:sz w:val="16"/>
                <w:szCs w:val="16"/>
              </w:rPr>
            </w:pPr>
            <w:r w:rsidRPr="007C5953">
              <w:rPr>
                <w:rFonts w:eastAsia="MS Mincho"/>
                <w:color w:val="auto"/>
                <w:sz w:val="16"/>
                <w:szCs w:val="16"/>
              </w:rPr>
              <w:t>Yes</w:t>
            </w:r>
          </w:p>
        </w:tc>
      </w:tr>
      <w:tr w:rsidR="00AA6907" w14:paraId="0B5483F5" w14:textId="77777777" w:rsidTr="00442CE7">
        <w:trPr>
          <w:trHeight w:val="756"/>
          <w:jc w:val="center"/>
        </w:trPr>
        <w:tc>
          <w:tcPr>
            <w:tcW w:w="6559" w:type="dxa"/>
            <w:tcBorders>
              <w:top w:val="nil"/>
              <w:left w:val="nil"/>
              <w:bottom w:val="nil"/>
              <w:right w:val="nil"/>
            </w:tcBorders>
            <w:vAlign w:val="center"/>
            <w:hideMark/>
          </w:tcPr>
          <w:p w14:paraId="3CC25300" w14:textId="77777777" w:rsidR="00442CE7" w:rsidRPr="007C5953" w:rsidRDefault="00000000" w:rsidP="002D69CC">
            <w:pPr>
              <w:ind w:firstLine="0"/>
              <w:jc w:val="left"/>
              <w:rPr>
                <w:rFonts w:eastAsia="MS Mincho"/>
                <w:color w:val="auto"/>
                <w:sz w:val="16"/>
                <w:szCs w:val="16"/>
              </w:rPr>
            </w:pPr>
            <w:r w:rsidRPr="007C5953">
              <w:rPr>
                <w:rFonts w:eastAsia="MS Mincho"/>
                <w:color w:val="auto"/>
                <w:sz w:val="16"/>
                <w:szCs w:val="16"/>
              </w:rPr>
              <w:t>Hunter &amp; Schmidt meta-analysis via Field</w:t>
            </w:r>
            <w:r>
              <w:rPr>
                <w:rFonts w:eastAsia="MS Mincho"/>
                <w:color w:val="auto"/>
                <w:sz w:val="16"/>
                <w:szCs w:val="16"/>
              </w:rPr>
              <w:t xml:space="preserve">’s </w:t>
            </w:r>
            <w:r w:rsidRPr="007C5953">
              <w:rPr>
                <w:rFonts w:eastAsia="MS Mincho"/>
                <w:color w:val="auto"/>
                <w:sz w:val="16"/>
                <w:szCs w:val="16"/>
              </w:rPr>
              <w:t>“Meta_Basic_r.sps”</w:t>
            </w:r>
          </w:p>
        </w:tc>
        <w:tc>
          <w:tcPr>
            <w:tcW w:w="538" w:type="dxa"/>
            <w:tcBorders>
              <w:top w:val="nil"/>
              <w:left w:val="nil"/>
              <w:bottom w:val="nil"/>
              <w:right w:val="nil"/>
            </w:tcBorders>
            <w:shd w:val="clear" w:color="auto" w:fill="D9D9D9"/>
            <w:vAlign w:val="center"/>
            <w:hideMark/>
          </w:tcPr>
          <w:p w14:paraId="05F70710" w14:textId="77777777" w:rsidR="00442CE7" w:rsidRPr="007C5953" w:rsidRDefault="00000000" w:rsidP="002D69CC">
            <w:pPr>
              <w:ind w:firstLine="0"/>
              <w:jc w:val="center"/>
              <w:rPr>
                <w:rFonts w:eastAsia="MS Mincho"/>
                <w:color w:val="auto"/>
                <w:sz w:val="16"/>
                <w:szCs w:val="16"/>
              </w:rPr>
            </w:pPr>
            <w:r w:rsidRPr="007C5953">
              <w:rPr>
                <w:rFonts w:eastAsia="MS Mincho"/>
                <w:color w:val="auto"/>
                <w:sz w:val="16"/>
                <w:szCs w:val="16"/>
              </w:rPr>
              <w:t>Yes</w:t>
            </w:r>
          </w:p>
        </w:tc>
        <w:tc>
          <w:tcPr>
            <w:tcW w:w="538" w:type="dxa"/>
            <w:tcBorders>
              <w:top w:val="nil"/>
              <w:left w:val="nil"/>
              <w:bottom w:val="nil"/>
              <w:right w:val="nil"/>
            </w:tcBorders>
            <w:vAlign w:val="center"/>
            <w:hideMark/>
          </w:tcPr>
          <w:p w14:paraId="70D69F0A" w14:textId="77777777" w:rsidR="00442CE7" w:rsidRPr="007C5953" w:rsidRDefault="00000000" w:rsidP="002D69CC">
            <w:pPr>
              <w:ind w:firstLine="0"/>
              <w:jc w:val="center"/>
              <w:rPr>
                <w:rFonts w:eastAsia="MS Mincho"/>
                <w:color w:val="auto"/>
                <w:sz w:val="16"/>
                <w:szCs w:val="16"/>
              </w:rPr>
            </w:pPr>
            <w:r w:rsidRPr="007C5953">
              <w:rPr>
                <w:rFonts w:eastAsia="MS Mincho"/>
                <w:color w:val="auto"/>
                <w:sz w:val="16"/>
                <w:szCs w:val="16"/>
              </w:rPr>
              <w:t>No</w:t>
            </w:r>
          </w:p>
        </w:tc>
        <w:tc>
          <w:tcPr>
            <w:tcW w:w="717" w:type="dxa"/>
            <w:tcBorders>
              <w:top w:val="nil"/>
              <w:left w:val="nil"/>
              <w:bottom w:val="nil"/>
              <w:right w:val="nil"/>
            </w:tcBorders>
            <w:shd w:val="clear" w:color="auto" w:fill="D9D9D9"/>
            <w:noWrap/>
            <w:vAlign w:val="center"/>
            <w:hideMark/>
          </w:tcPr>
          <w:p w14:paraId="74A0459B" w14:textId="77777777" w:rsidR="00442CE7" w:rsidRPr="007C5953" w:rsidRDefault="00000000" w:rsidP="002D69CC">
            <w:pPr>
              <w:ind w:firstLine="0"/>
              <w:jc w:val="center"/>
              <w:rPr>
                <w:rFonts w:eastAsia="MS Mincho"/>
                <w:color w:val="auto"/>
                <w:sz w:val="16"/>
                <w:szCs w:val="16"/>
              </w:rPr>
            </w:pPr>
            <w:r w:rsidRPr="007C5953">
              <w:rPr>
                <w:rFonts w:eastAsia="MS Mincho"/>
                <w:color w:val="auto"/>
                <w:sz w:val="16"/>
                <w:szCs w:val="16"/>
              </w:rPr>
              <w:t>Yes</w:t>
            </w:r>
          </w:p>
        </w:tc>
        <w:tc>
          <w:tcPr>
            <w:tcW w:w="1728" w:type="dxa"/>
            <w:tcBorders>
              <w:top w:val="nil"/>
              <w:left w:val="nil"/>
              <w:bottom w:val="nil"/>
              <w:right w:val="nil"/>
            </w:tcBorders>
            <w:shd w:val="clear" w:color="auto" w:fill="auto"/>
            <w:vAlign w:val="center"/>
          </w:tcPr>
          <w:p w14:paraId="439B38A1" w14:textId="77777777" w:rsidR="00442CE7" w:rsidRPr="007C5953" w:rsidRDefault="00000000" w:rsidP="002D69CC">
            <w:pPr>
              <w:ind w:firstLine="0"/>
              <w:jc w:val="center"/>
              <w:rPr>
                <w:rFonts w:eastAsia="MS Mincho"/>
                <w:color w:val="auto"/>
                <w:sz w:val="16"/>
                <w:szCs w:val="16"/>
              </w:rPr>
            </w:pPr>
            <w:r w:rsidRPr="007C5953">
              <w:rPr>
                <w:rFonts w:eastAsia="MS Mincho"/>
                <w:color w:val="auto"/>
                <w:sz w:val="16"/>
                <w:szCs w:val="16"/>
              </w:rPr>
              <w:t>Overton corrections,</w:t>
            </w:r>
          </w:p>
          <w:p w14:paraId="34D852EE" w14:textId="77777777" w:rsidR="00442CE7" w:rsidRPr="007C5953" w:rsidRDefault="00000000" w:rsidP="002D69CC">
            <w:pPr>
              <w:ind w:firstLine="0"/>
              <w:jc w:val="center"/>
              <w:rPr>
                <w:rFonts w:eastAsia="MS Mincho"/>
                <w:color w:val="auto"/>
                <w:sz w:val="16"/>
                <w:szCs w:val="16"/>
              </w:rPr>
            </w:pPr>
            <w:r w:rsidRPr="007C5953">
              <w:rPr>
                <w:rFonts w:eastAsia="MS Mincho"/>
                <w:color w:val="auto"/>
                <w:sz w:val="16"/>
                <w:szCs w:val="16"/>
              </w:rPr>
              <w:t xml:space="preserve">Fisher’s </w:t>
            </w:r>
            <w:r w:rsidRPr="007C5953">
              <w:rPr>
                <w:rFonts w:eastAsia="MS Mincho"/>
                <w:i/>
                <w:iCs/>
                <w:color w:val="auto"/>
                <w:sz w:val="16"/>
                <w:szCs w:val="16"/>
              </w:rPr>
              <w:t>r</w:t>
            </w:r>
            <w:r w:rsidRPr="007C5953">
              <w:rPr>
                <w:rFonts w:eastAsia="MS Mincho"/>
                <w:color w:val="auto"/>
                <w:sz w:val="16"/>
                <w:szCs w:val="16"/>
              </w:rPr>
              <w:t>-to-</w:t>
            </w:r>
            <w:r w:rsidRPr="007C5953">
              <w:rPr>
                <w:rFonts w:eastAsia="MS Mincho"/>
                <w:i/>
                <w:iCs/>
                <w:color w:val="auto"/>
                <w:sz w:val="16"/>
                <w:szCs w:val="16"/>
              </w:rPr>
              <w:t>z</w:t>
            </w:r>
            <w:r w:rsidRPr="007C5953">
              <w:rPr>
                <w:rFonts w:eastAsia="MS Mincho"/>
                <w:color w:val="auto"/>
                <w:sz w:val="16"/>
                <w:szCs w:val="16"/>
              </w:rPr>
              <w:t xml:space="preserve"> for </w:t>
            </w:r>
            <m:oMath>
              <m:acc>
                <m:accPr>
                  <m:chr m:val="̅"/>
                  <m:ctrlPr>
                    <w:rPr>
                      <w:rFonts w:ascii="Cambria Math" w:eastAsia="MS Mincho" w:hAnsi="Cambria Math"/>
                      <w:color w:val="auto"/>
                      <w:sz w:val="16"/>
                      <w:szCs w:val="16"/>
                    </w:rPr>
                  </m:ctrlPr>
                </m:accPr>
                <m:e>
                  <m:r>
                    <w:rPr>
                      <w:rFonts w:ascii="Cambria Math" w:eastAsia="MS Mincho" w:hAnsi="Cambria Math"/>
                      <w:color w:val="auto"/>
                      <w:sz w:val="16"/>
                      <w:szCs w:val="16"/>
                    </w:rPr>
                    <m:t>r</m:t>
                  </m:r>
                </m:e>
              </m:acc>
            </m:oMath>
            <w:r w:rsidRPr="007C5953">
              <w:rPr>
                <w:rFonts w:eastAsia="MS Mincho"/>
                <w:color w:val="auto"/>
                <w:sz w:val="16"/>
                <w:szCs w:val="16"/>
              </w:rPr>
              <w:t xml:space="preserve"> but not CRs</w:t>
            </w:r>
          </w:p>
        </w:tc>
        <w:tc>
          <w:tcPr>
            <w:tcW w:w="990" w:type="dxa"/>
            <w:tcBorders>
              <w:top w:val="nil"/>
              <w:left w:val="nil"/>
              <w:bottom w:val="nil"/>
              <w:right w:val="nil"/>
            </w:tcBorders>
            <w:shd w:val="clear" w:color="auto" w:fill="D9D9D9"/>
            <w:vAlign w:val="center"/>
          </w:tcPr>
          <w:p w14:paraId="69F23127" w14:textId="77777777" w:rsidR="00442CE7" w:rsidRPr="007C5953" w:rsidRDefault="00000000" w:rsidP="002D69CC">
            <w:pPr>
              <w:ind w:firstLine="0"/>
              <w:jc w:val="center"/>
              <w:rPr>
                <w:rFonts w:eastAsia="MS Mincho"/>
                <w:color w:val="auto"/>
                <w:sz w:val="16"/>
                <w:szCs w:val="16"/>
              </w:rPr>
            </w:pPr>
            <w:r w:rsidRPr="007C5953">
              <w:rPr>
                <w:rFonts w:eastAsia="MS Mincho"/>
                <w:color w:val="auto"/>
                <w:sz w:val="16"/>
                <w:szCs w:val="16"/>
              </w:rPr>
              <w:t>No</w:t>
            </w:r>
          </w:p>
        </w:tc>
      </w:tr>
      <w:tr w:rsidR="00AA6907" w14:paraId="06FD9358" w14:textId="77777777" w:rsidTr="00442CE7">
        <w:trPr>
          <w:trHeight w:val="756"/>
          <w:jc w:val="center"/>
        </w:trPr>
        <w:tc>
          <w:tcPr>
            <w:tcW w:w="6559" w:type="dxa"/>
            <w:tcBorders>
              <w:top w:val="nil"/>
              <w:left w:val="nil"/>
              <w:bottom w:val="nil"/>
              <w:right w:val="nil"/>
            </w:tcBorders>
            <w:vAlign w:val="center"/>
          </w:tcPr>
          <w:p w14:paraId="4456F8DD" w14:textId="77777777" w:rsidR="00442CE7" w:rsidRPr="007C5953" w:rsidRDefault="00000000" w:rsidP="002D69CC">
            <w:pPr>
              <w:ind w:firstLine="0"/>
              <w:jc w:val="left"/>
              <w:rPr>
                <w:rFonts w:eastAsia="MS Mincho"/>
                <w:color w:val="auto"/>
                <w:sz w:val="16"/>
                <w:szCs w:val="16"/>
              </w:rPr>
            </w:pPr>
            <w:r w:rsidRPr="007C5953">
              <w:rPr>
                <w:rFonts w:eastAsia="MS Mincho"/>
                <w:color w:val="auto"/>
                <w:sz w:val="16"/>
                <w:szCs w:val="16"/>
              </w:rPr>
              <w:t>Hedges and colleagues meta-analysis via Field</w:t>
            </w:r>
            <w:r>
              <w:rPr>
                <w:rFonts w:eastAsia="MS Mincho"/>
                <w:color w:val="auto"/>
                <w:sz w:val="16"/>
                <w:szCs w:val="16"/>
              </w:rPr>
              <w:t>’s</w:t>
            </w:r>
            <w:r w:rsidRPr="007C5953">
              <w:rPr>
                <w:rFonts w:eastAsia="MS Mincho"/>
                <w:color w:val="auto"/>
                <w:sz w:val="16"/>
                <w:szCs w:val="16"/>
              </w:rPr>
              <w:t xml:space="preserve"> “Meta_Basic_r.sps”</w:t>
            </w:r>
          </w:p>
        </w:tc>
        <w:tc>
          <w:tcPr>
            <w:tcW w:w="538" w:type="dxa"/>
            <w:tcBorders>
              <w:top w:val="nil"/>
              <w:left w:val="nil"/>
              <w:bottom w:val="nil"/>
              <w:right w:val="nil"/>
            </w:tcBorders>
            <w:shd w:val="clear" w:color="auto" w:fill="D9D9D9"/>
            <w:vAlign w:val="center"/>
          </w:tcPr>
          <w:p w14:paraId="57960C3A" w14:textId="77777777" w:rsidR="00442CE7" w:rsidRPr="007C5953" w:rsidRDefault="00000000" w:rsidP="002D69CC">
            <w:pPr>
              <w:ind w:firstLine="0"/>
              <w:jc w:val="center"/>
              <w:rPr>
                <w:rFonts w:eastAsia="MS Mincho"/>
                <w:color w:val="auto"/>
                <w:sz w:val="16"/>
                <w:szCs w:val="16"/>
              </w:rPr>
            </w:pPr>
            <w:r w:rsidRPr="007C5953">
              <w:rPr>
                <w:rFonts w:eastAsia="MS Mincho"/>
                <w:color w:val="auto"/>
                <w:sz w:val="16"/>
                <w:szCs w:val="16"/>
              </w:rPr>
              <w:t>Yes</w:t>
            </w:r>
          </w:p>
        </w:tc>
        <w:tc>
          <w:tcPr>
            <w:tcW w:w="538" w:type="dxa"/>
            <w:tcBorders>
              <w:top w:val="nil"/>
              <w:left w:val="nil"/>
              <w:bottom w:val="nil"/>
              <w:right w:val="nil"/>
            </w:tcBorders>
            <w:shd w:val="clear" w:color="auto" w:fill="D9D9D9"/>
            <w:vAlign w:val="center"/>
          </w:tcPr>
          <w:p w14:paraId="325FF406" w14:textId="77777777" w:rsidR="00442CE7" w:rsidRPr="007C5953" w:rsidRDefault="00000000" w:rsidP="002D69CC">
            <w:pPr>
              <w:ind w:firstLine="0"/>
              <w:jc w:val="center"/>
              <w:rPr>
                <w:rFonts w:eastAsia="MS Mincho"/>
                <w:color w:val="auto"/>
                <w:sz w:val="16"/>
                <w:szCs w:val="16"/>
              </w:rPr>
            </w:pPr>
            <w:r w:rsidRPr="007C5953">
              <w:rPr>
                <w:rFonts w:eastAsia="MS Mincho"/>
                <w:color w:val="auto"/>
                <w:sz w:val="16"/>
                <w:szCs w:val="16"/>
              </w:rPr>
              <w:t>Yes</w:t>
            </w:r>
          </w:p>
        </w:tc>
        <w:tc>
          <w:tcPr>
            <w:tcW w:w="717" w:type="dxa"/>
            <w:tcBorders>
              <w:top w:val="nil"/>
              <w:left w:val="nil"/>
              <w:bottom w:val="nil"/>
              <w:right w:val="nil"/>
            </w:tcBorders>
            <w:shd w:val="clear" w:color="auto" w:fill="auto"/>
            <w:noWrap/>
            <w:vAlign w:val="center"/>
          </w:tcPr>
          <w:p w14:paraId="262153B0" w14:textId="77777777" w:rsidR="00442CE7" w:rsidRPr="007C5953" w:rsidRDefault="00000000" w:rsidP="002D69CC">
            <w:pPr>
              <w:ind w:firstLine="0"/>
              <w:jc w:val="center"/>
              <w:rPr>
                <w:rFonts w:eastAsia="MS Mincho"/>
                <w:color w:val="auto"/>
                <w:sz w:val="16"/>
                <w:szCs w:val="16"/>
              </w:rPr>
            </w:pPr>
            <w:r w:rsidRPr="007C5953">
              <w:rPr>
                <w:rFonts w:eastAsia="MS Mincho"/>
                <w:color w:val="auto"/>
                <w:sz w:val="16"/>
                <w:szCs w:val="16"/>
              </w:rPr>
              <w:t>No</w:t>
            </w:r>
          </w:p>
        </w:tc>
        <w:tc>
          <w:tcPr>
            <w:tcW w:w="1728" w:type="dxa"/>
            <w:tcBorders>
              <w:top w:val="nil"/>
              <w:left w:val="nil"/>
              <w:bottom w:val="nil"/>
              <w:right w:val="nil"/>
            </w:tcBorders>
            <w:shd w:val="clear" w:color="auto" w:fill="auto"/>
            <w:vAlign w:val="center"/>
          </w:tcPr>
          <w:p w14:paraId="679441AE" w14:textId="77777777" w:rsidR="00442CE7" w:rsidRPr="007C5953" w:rsidRDefault="00000000" w:rsidP="002D69CC">
            <w:pPr>
              <w:ind w:firstLine="0"/>
              <w:jc w:val="center"/>
              <w:rPr>
                <w:rFonts w:eastAsia="MS Mincho"/>
                <w:color w:val="auto"/>
                <w:sz w:val="16"/>
                <w:szCs w:val="16"/>
              </w:rPr>
            </w:pPr>
            <w:r w:rsidRPr="007C5953">
              <w:rPr>
                <w:rFonts w:eastAsia="MS Mincho"/>
                <w:color w:val="auto"/>
                <w:sz w:val="16"/>
                <w:szCs w:val="16"/>
              </w:rPr>
              <w:t>Overton corrections,</w:t>
            </w:r>
          </w:p>
          <w:p w14:paraId="3DA899A3" w14:textId="77777777" w:rsidR="00442CE7" w:rsidRPr="007C5953" w:rsidRDefault="00000000" w:rsidP="002D69CC">
            <w:pPr>
              <w:ind w:firstLine="0"/>
              <w:jc w:val="center"/>
              <w:rPr>
                <w:rFonts w:eastAsia="MS Mincho"/>
                <w:color w:val="auto"/>
                <w:sz w:val="16"/>
                <w:szCs w:val="16"/>
              </w:rPr>
            </w:pPr>
            <w:r w:rsidRPr="007C5953">
              <w:rPr>
                <w:rFonts w:eastAsia="MS Mincho"/>
                <w:color w:val="auto"/>
                <w:sz w:val="16"/>
                <w:szCs w:val="16"/>
              </w:rPr>
              <w:t xml:space="preserve">Fisher’s </w:t>
            </w:r>
            <w:r w:rsidRPr="007C5953">
              <w:rPr>
                <w:rFonts w:eastAsia="MS Mincho"/>
                <w:i/>
                <w:iCs/>
                <w:color w:val="auto"/>
                <w:sz w:val="16"/>
                <w:szCs w:val="16"/>
              </w:rPr>
              <w:t>r</w:t>
            </w:r>
            <w:r w:rsidRPr="007C5953">
              <w:rPr>
                <w:rFonts w:eastAsia="MS Mincho"/>
                <w:color w:val="auto"/>
                <w:sz w:val="16"/>
                <w:szCs w:val="16"/>
              </w:rPr>
              <w:t>-to-</w:t>
            </w:r>
            <w:r w:rsidRPr="007C5953">
              <w:rPr>
                <w:rFonts w:eastAsia="MS Mincho"/>
                <w:i/>
                <w:iCs/>
                <w:color w:val="auto"/>
                <w:sz w:val="16"/>
                <w:szCs w:val="16"/>
              </w:rPr>
              <w:t>z</w:t>
            </w:r>
          </w:p>
        </w:tc>
        <w:tc>
          <w:tcPr>
            <w:tcW w:w="990" w:type="dxa"/>
            <w:tcBorders>
              <w:top w:val="nil"/>
              <w:left w:val="nil"/>
              <w:bottom w:val="nil"/>
              <w:right w:val="nil"/>
            </w:tcBorders>
            <w:shd w:val="clear" w:color="auto" w:fill="D9D9D9"/>
            <w:vAlign w:val="center"/>
          </w:tcPr>
          <w:p w14:paraId="081ACB80" w14:textId="77777777" w:rsidR="00442CE7" w:rsidRPr="007C5953" w:rsidRDefault="00000000" w:rsidP="002D69CC">
            <w:pPr>
              <w:ind w:firstLine="0"/>
              <w:jc w:val="center"/>
              <w:rPr>
                <w:rFonts w:eastAsia="MS Mincho"/>
                <w:color w:val="auto"/>
                <w:sz w:val="16"/>
                <w:szCs w:val="16"/>
              </w:rPr>
            </w:pPr>
            <w:r w:rsidRPr="007C5953">
              <w:rPr>
                <w:rFonts w:eastAsia="MS Mincho"/>
                <w:color w:val="auto"/>
                <w:sz w:val="16"/>
                <w:szCs w:val="16"/>
              </w:rPr>
              <w:t>No</w:t>
            </w:r>
          </w:p>
        </w:tc>
      </w:tr>
      <w:tr w:rsidR="00AA6907" w14:paraId="5B4697E8" w14:textId="77777777" w:rsidTr="00442CE7">
        <w:trPr>
          <w:trHeight w:val="720"/>
          <w:jc w:val="center"/>
        </w:trPr>
        <w:tc>
          <w:tcPr>
            <w:tcW w:w="6559" w:type="dxa"/>
            <w:tcBorders>
              <w:top w:val="nil"/>
              <w:left w:val="nil"/>
              <w:bottom w:val="single" w:sz="4" w:space="0" w:color="auto"/>
              <w:right w:val="nil"/>
            </w:tcBorders>
            <w:vAlign w:val="center"/>
          </w:tcPr>
          <w:p w14:paraId="490A4007" w14:textId="77777777" w:rsidR="00442CE7" w:rsidRPr="007C5953" w:rsidRDefault="00000000" w:rsidP="002D69CC">
            <w:pPr>
              <w:ind w:firstLine="0"/>
              <w:jc w:val="left"/>
              <w:rPr>
                <w:rFonts w:eastAsia="MS Mincho"/>
                <w:color w:val="auto"/>
                <w:sz w:val="16"/>
                <w:szCs w:val="16"/>
              </w:rPr>
            </w:pPr>
            <w:r w:rsidRPr="007C5953">
              <w:rPr>
                <w:rFonts w:eastAsia="MS Mincho"/>
                <w:color w:val="auto"/>
                <w:sz w:val="16"/>
                <w:szCs w:val="16"/>
              </w:rPr>
              <w:t xml:space="preserve">Hunter &amp; Schmidt meta-analysis via </w:t>
            </w:r>
            <w:r>
              <w:rPr>
                <w:rFonts w:eastAsia="MS Mincho"/>
                <w:color w:val="auto"/>
                <w:sz w:val="16"/>
                <w:szCs w:val="16"/>
              </w:rPr>
              <w:t xml:space="preserve">a modification of </w:t>
            </w:r>
            <w:r w:rsidRPr="007C5953">
              <w:rPr>
                <w:rFonts w:eastAsia="MS Mincho"/>
                <w:color w:val="auto"/>
                <w:sz w:val="16"/>
                <w:szCs w:val="16"/>
              </w:rPr>
              <w:t>Field</w:t>
            </w:r>
            <w:r>
              <w:rPr>
                <w:rFonts w:eastAsia="MS Mincho"/>
                <w:color w:val="auto"/>
                <w:sz w:val="16"/>
                <w:szCs w:val="16"/>
              </w:rPr>
              <w:t xml:space="preserve">’s </w:t>
            </w:r>
            <w:r w:rsidRPr="007C5953">
              <w:rPr>
                <w:rFonts w:eastAsia="MS Mincho"/>
                <w:color w:val="auto"/>
                <w:sz w:val="16"/>
                <w:szCs w:val="16"/>
              </w:rPr>
              <w:t>"Meta_Basic_r.sps" to remove apparently erroneous Overton correction</w:t>
            </w:r>
            <w:r>
              <w:rPr>
                <w:rFonts w:eastAsia="MS Mincho"/>
                <w:color w:val="auto"/>
                <w:sz w:val="16"/>
                <w:szCs w:val="16"/>
              </w:rPr>
              <w:t>**</w:t>
            </w:r>
          </w:p>
        </w:tc>
        <w:tc>
          <w:tcPr>
            <w:tcW w:w="538" w:type="dxa"/>
            <w:tcBorders>
              <w:top w:val="nil"/>
              <w:left w:val="nil"/>
              <w:bottom w:val="single" w:sz="4" w:space="0" w:color="auto"/>
              <w:right w:val="nil"/>
            </w:tcBorders>
            <w:shd w:val="clear" w:color="auto" w:fill="D9D9D9"/>
            <w:vAlign w:val="center"/>
          </w:tcPr>
          <w:p w14:paraId="29473B10" w14:textId="77777777" w:rsidR="00442CE7" w:rsidRPr="007C5953" w:rsidRDefault="00000000" w:rsidP="002D69CC">
            <w:pPr>
              <w:ind w:firstLine="0"/>
              <w:jc w:val="center"/>
              <w:rPr>
                <w:rFonts w:eastAsia="MS Mincho"/>
                <w:color w:val="auto"/>
                <w:sz w:val="16"/>
                <w:szCs w:val="16"/>
              </w:rPr>
            </w:pPr>
            <w:r w:rsidRPr="007C5953">
              <w:rPr>
                <w:rFonts w:eastAsia="MS Mincho"/>
                <w:color w:val="auto"/>
                <w:sz w:val="16"/>
                <w:szCs w:val="16"/>
              </w:rPr>
              <w:t>Yes</w:t>
            </w:r>
          </w:p>
        </w:tc>
        <w:tc>
          <w:tcPr>
            <w:tcW w:w="538" w:type="dxa"/>
            <w:tcBorders>
              <w:top w:val="nil"/>
              <w:left w:val="nil"/>
              <w:bottom w:val="single" w:sz="4" w:space="0" w:color="auto"/>
              <w:right w:val="nil"/>
            </w:tcBorders>
            <w:vAlign w:val="center"/>
          </w:tcPr>
          <w:p w14:paraId="2CB1AB95" w14:textId="77777777" w:rsidR="00442CE7" w:rsidRPr="007C5953" w:rsidRDefault="00000000" w:rsidP="002D69CC">
            <w:pPr>
              <w:ind w:firstLine="0"/>
              <w:jc w:val="center"/>
              <w:rPr>
                <w:rFonts w:eastAsia="MS Mincho"/>
                <w:color w:val="auto"/>
                <w:sz w:val="16"/>
                <w:szCs w:val="16"/>
              </w:rPr>
            </w:pPr>
            <w:r w:rsidRPr="007C5953">
              <w:rPr>
                <w:rFonts w:eastAsia="MS Mincho"/>
                <w:color w:val="auto"/>
                <w:sz w:val="16"/>
                <w:szCs w:val="16"/>
              </w:rPr>
              <w:t>No</w:t>
            </w:r>
          </w:p>
        </w:tc>
        <w:tc>
          <w:tcPr>
            <w:tcW w:w="717" w:type="dxa"/>
            <w:tcBorders>
              <w:top w:val="nil"/>
              <w:left w:val="nil"/>
              <w:bottom w:val="single" w:sz="4" w:space="0" w:color="auto"/>
              <w:right w:val="nil"/>
            </w:tcBorders>
            <w:shd w:val="clear" w:color="auto" w:fill="D9D9D9"/>
            <w:noWrap/>
            <w:vAlign w:val="center"/>
          </w:tcPr>
          <w:p w14:paraId="371033A5" w14:textId="77777777" w:rsidR="00442CE7" w:rsidRPr="007C5953" w:rsidRDefault="00000000" w:rsidP="002D69CC">
            <w:pPr>
              <w:ind w:firstLine="0"/>
              <w:jc w:val="center"/>
              <w:rPr>
                <w:rFonts w:eastAsia="MS Mincho"/>
                <w:color w:val="auto"/>
                <w:sz w:val="16"/>
                <w:szCs w:val="16"/>
              </w:rPr>
            </w:pPr>
            <w:r w:rsidRPr="007C5953">
              <w:rPr>
                <w:rFonts w:eastAsia="MS Mincho"/>
                <w:color w:val="auto"/>
                <w:sz w:val="16"/>
                <w:szCs w:val="16"/>
              </w:rPr>
              <w:t>Yes</w:t>
            </w:r>
          </w:p>
        </w:tc>
        <w:tc>
          <w:tcPr>
            <w:tcW w:w="1728" w:type="dxa"/>
            <w:tcBorders>
              <w:top w:val="nil"/>
              <w:left w:val="nil"/>
              <w:bottom w:val="single" w:sz="4" w:space="0" w:color="auto"/>
              <w:right w:val="nil"/>
            </w:tcBorders>
            <w:shd w:val="clear" w:color="auto" w:fill="D9D9D9"/>
            <w:vAlign w:val="center"/>
          </w:tcPr>
          <w:p w14:paraId="039A037B" w14:textId="77777777" w:rsidR="00442CE7" w:rsidRPr="007C5953" w:rsidRDefault="00000000" w:rsidP="002D69CC">
            <w:pPr>
              <w:ind w:firstLine="0"/>
              <w:jc w:val="center"/>
              <w:rPr>
                <w:rFonts w:eastAsia="MS Mincho"/>
                <w:color w:val="auto"/>
                <w:sz w:val="16"/>
                <w:szCs w:val="16"/>
              </w:rPr>
            </w:pPr>
            <w:r w:rsidRPr="007C5953">
              <w:rPr>
                <w:rFonts w:eastAsia="MS Mincho"/>
                <w:color w:val="auto"/>
                <w:sz w:val="16"/>
                <w:szCs w:val="16"/>
              </w:rPr>
              <w:t xml:space="preserve">Fisher’s </w:t>
            </w:r>
            <w:r w:rsidRPr="007C5953">
              <w:rPr>
                <w:rFonts w:eastAsia="MS Mincho"/>
                <w:i/>
                <w:iCs/>
                <w:color w:val="auto"/>
                <w:sz w:val="16"/>
                <w:szCs w:val="16"/>
              </w:rPr>
              <w:t>r</w:t>
            </w:r>
            <w:r w:rsidRPr="007C5953">
              <w:rPr>
                <w:rFonts w:eastAsia="MS Mincho"/>
                <w:color w:val="auto"/>
                <w:sz w:val="16"/>
                <w:szCs w:val="16"/>
              </w:rPr>
              <w:t>-to-</w:t>
            </w:r>
            <w:r w:rsidRPr="007C5953">
              <w:rPr>
                <w:rFonts w:eastAsia="MS Mincho"/>
                <w:i/>
                <w:iCs/>
                <w:color w:val="auto"/>
                <w:sz w:val="16"/>
                <w:szCs w:val="16"/>
              </w:rPr>
              <w:t>z</w:t>
            </w:r>
          </w:p>
        </w:tc>
        <w:tc>
          <w:tcPr>
            <w:tcW w:w="990" w:type="dxa"/>
            <w:tcBorders>
              <w:top w:val="nil"/>
              <w:left w:val="nil"/>
              <w:bottom w:val="single" w:sz="4" w:space="0" w:color="auto"/>
              <w:right w:val="nil"/>
            </w:tcBorders>
            <w:shd w:val="clear" w:color="auto" w:fill="D9D9D9"/>
            <w:vAlign w:val="center"/>
          </w:tcPr>
          <w:p w14:paraId="4684448C" w14:textId="77777777" w:rsidR="00442CE7" w:rsidRPr="007C5953" w:rsidRDefault="00000000" w:rsidP="002D69CC">
            <w:pPr>
              <w:ind w:firstLine="0"/>
              <w:jc w:val="center"/>
              <w:rPr>
                <w:rFonts w:eastAsia="MS Mincho"/>
                <w:color w:val="auto"/>
                <w:sz w:val="16"/>
                <w:szCs w:val="16"/>
              </w:rPr>
            </w:pPr>
            <w:r w:rsidRPr="007C5953">
              <w:rPr>
                <w:rFonts w:eastAsia="MS Mincho"/>
                <w:color w:val="auto"/>
                <w:sz w:val="16"/>
                <w:szCs w:val="16"/>
              </w:rPr>
              <w:t>No</w:t>
            </w:r>
          </w:p>
        </w:tc>
      </w:tr>
      <w:tr w:rsidR="00AA6907" w14:paraId="7F54B5BD" w14:textId="77777777" w:rsidTr="00442CE7">
        <w:trPr>
          <w:trHeight w:val="1845"/>
          <w:jc w:val="center"/>
        </w:trPr>
        <w:tc>
          <w:tcPr>
            <w:tcW w:w="11070" w:type="dxa"/>
            <w:gridSpan w:val="6"/>
            <w:tcBorders>
              <w:top w:val="single" w:sz="4" w:space="0" w:color="auto"/>
              <w:left w:val="nil"/>
              <w:bottom w:val="nil"/>
              <w:right w:val="nil"/>
            </w:tcBorders>
            <w:vAlign w:val="center"/>
          </w:tcPr>
          <w:p w14:paraId="3E3E9272" w14:textId="77777777" w:rsidR="00442CE7" w:rsidRPr="007C5953" w:rsidRDefault="00000000" w:rsidP="002D69CC">
            <w:pPr>
              <w:ind w:firstLine="0"/>
              <w:jc w:val="left"/>
              <w:rPr>
                <w:rFonts w:eastAsia="MS Mincho"/>
                <w:color w:val="auto"/>
                <w:sz w:val="16"/>
                <w:szCs w:val="16"/>
              </w:rPr>
            </w:pPr>
            <w:r w:rsidRPr="007C5953">
              <w:rPr>
                <w:rFonts w:eastAsia="MS Mincho"/>
                <w:i/>
                <w:iCs/>
                <w:color w:val="auto"/>
                <w:sz w:val="16"/>
                <w:szCs w:val="16"/>
              </w:rPr>
              <w:t>Notes:</w:t>
            </w:r>
            <w:r>
              <w:rPr>
                <w:rFonts w:eastAsia="MS Mincho"/>
                <w:i/>
                <w:iCs/>
                <w:color w:val="auto"/>
                <w:sz w:val="16"/>
                <w:szCs w:val="16"/>
              </w:rPr>
              <w:t xml:space="preserve"> </w:t>
            </w:r>
            <w:r w:rsidRPr="007C5953">
              <w:rPr>
                <w:rFonts w:eastAsia="MS Mincho"/>
                <w:color w:val="auto"/>
                <w:sz w:val="16"/>
                <w:szCs w:val="16"/>
              </w:rPr>
              <w:t>Shaded cells match the requirements to be capable of producing the same type of output as reported in Vahey et al. (2015), agnostic to whether the numerical results match those reported in Vahey et al. (2015).</w:t>
            </w:r>
            <w:r>
              <w:rPr>
                <w:rFonts w:eastAsia="MS Mincho"/>
                <w:color w:val="auto"/>
                <w:sz w:val="16"/>
                <w:szCs w:val="16"/>
              </w:rPr>
              <w:t xml:space="preserve"> </w:t>
            </w:r>
          </w:p>
          <w:p w14:paraId="0185003A" w14:textId="77777777" w:rsidR="00442CE7" w:rsidRDefault="00000000" w:rsidP="002D69CC">
            <w:pPr>
              <w:ind w:firstLine="0"/>
              <w:jc w:val="left"/>
              <w:rPr>
                <w:rFonts w:eastAsia="MS Mincho"/>
                <w:color w:val="auto"/>
                <w:sz w:val="16"/>
                <w:szCs w:val="16"/>
              </w:rPr>
            </w:pPr>
            <w:r w:rsidRPr="007C5953">
              <w:rPr>
                <w:rFonts w:eastAsia="MS Mincho"/>
                <w:color w:val="auto"/>
                <w:sz w:val="16"/>
                <w:szCs w:val="16"/>
              </w:rPr>
              <w:t xml:space="preserve">* Vahey et al. (2015) did not explicitly state using any transformations. However, their forest plot's (their Figure 1) individual effect sizes have asymmetric confidence intervals implying a transformation; their funnel plot (their Figure 2) is labeled as employing Fisher's </w:t>
            </w:r>
            <w:r w:rsidRPr="007C5953">
              <w:rPr>
                <w:rFonts w:eastAsia="MS Mincho"/>
                <w:i/>
                <w:iCs/>
                <w:color w:val="auto"/>
                <w:sz w:val="16"/>
                <w:szCs w:val="16"/>
              </w:rPr>
              <w:t>r</w:t>
            </w:r>
            <w:r w:rsidRPr="007C5953">
              <w:rPr>
                <w:rFonts w:eastAsia="MS Mincho"/>
                <w:color w:val="auto"/>
                <w:sz w:val="16"/>
                <w:szCs w:val="16"/>
              </w:rPr>
              <w:t>-to-</w:t>
            </w:r>
            <w:r w:rsidRPr="007C5953">
              <w:rPr>
                <w:rFonts w:eastAsia="MS Mincho"/>
                <w:i/>
                <w:iCs/>
                <w:color w:val="auto"/>
                <w:sz w:val="16"/>
                <w:szCs w:val="16"/>
              </w:rPr>
              <w:t>z</w:t>
            </w:r>
            <w:r w:rsidRPr="007C5953">
              <w:rPr>
                <w:rFonts w:eastAsia="MS Mincho"/>
                <w:color w:val="auto"/>
                <w:sz w:val="16"/>
                <w:szCs w:val="16"/>
              </w:rPr>
              <w:t xml:space="preserve"> transformed values; and the method they state they followed employs Fisher's </w:t>
            </w:r>
            <w:r w:rsidRPr="007C5953">
              <w:rPr>
                <w:rFonts w:eastAsia="MS Mincho"/>
                <w:i/>
                <w:iCs/>
                <w:color w:val="auto"/>
                <w:sz w:val="16"/>
                <w:szCs w:val="16"/>
              </w:rPr>
              <w:t>r</w:t>
            </w:r>
            <w:r w:rsidRPr="007C5953">
              <w:rPr>
                <w:rFonts w:eastAsia="MS Mincho"/>
                <w:color w:val="auto"/>
                <w:sz w:val="16"/>
                <w:szCs w:val="16"/>
              </w:rPr>
              <w:t>-to-</w:t>
            </w:r>
            <w:r w:rsidRPr="007C5953">
              <w:rPr>
                <w:rFonts w:eastAsia="MS Mincho"/>
                <w:i/>
                <w:iCs/>
                <w:color w:val="auto"/>
                <w:sz w:val="16"/>
                <w:szCs w:val="16"/>
              </w:rPr>
              <w:t>z</w:t>
            </w:r>
            <w:r w:rsidRPr="007C5953">
              <w:rPr>
                <w:rFonts w:eastAsia="MS Mincho"/>
                <w:color w:val="auto"/>
                <w:sz w:val="16"/>
                <w:szCs w:val="16"/>
              </w:rPr>
              <w:t xml:space="preserve"> transformations.</w:t>
            </w:r>
          </w:p>
          <w:p w14:paraId="66665841" w14:textId="77777777" w:rsidR="00442CE7" w:rsidRPr="004375D6" w:rsidRDefault="00000000" w:rsidP="002D69CC">
            <w:pPr>
              <w:ind w:firstLine="0"/>
              <w:jc w:val="left"/>
              <w:rPr>
                <w:rFonts w:eastAsia="MS Mincho"/>
                <w:color w:val="auto"/>
                <w:sz w:val="16"/>
                <w:szCs w:val="16"/>
              </w:rPr>
            </w:pPr>
            <w:r>
              <w:rPr>
                <w:rFonts w:eastAsia="MS Mincho"/>
                <w:color w:val="auto"/>
                <w:sz w:val="16"/>
                <w:szCs w:val="16"/>
              </w:rPr>
              <w:t>** Field &amp; Gillett (2010) describe the Hedges and colleagues style meta-analysis as involving an Overton correction but not the Hunter and Schmidt style meta-analysis. However, their script applies the correction to both, misaligning the code with the article. In order to correct this apparent issue and attempt to more closely align the code with the described method, I therefore removed the Overton correction from this version.</w:t>
            </w:r>
          </w:p>
        </w:tc>
      </w:tr>
    </w:tbl>
    <w:p w14:paraId="6FCD1030" w14:textId="77777777" w:rsidR="00442CE7" w:rsidRPr="007C5953" w:rsidRDefault="00442CE7" w:rsidP="00442CE7">
      <w:pPr>
        <w:ind w:firstLine="0"/>
        <w:jc w:val="left"/>
        <w:rPr>
          <w:rFonts w:eastAsia="MS Mincho"/>
          <w:color w:val="auto"/>
          <w:kern w:val="2"/>
          <w:sz w:val="16"/>
          <w:szCs w:val="16"/>
          <w:lang w:val=""/>
          <w14:ligatures w14:val="standardContextual"/>
        </w:rPr>
      </w:pPr>
    </w:p>
    <w:p w14:paraId="28F2FD4C" w14:textId="77777777" w:rsidR="00442CE7" w:rsidRPr="007C5953" w:rsidRDefault="00442CE7" w:rsidP="00442CE7">
      <w:pPr>
        <w:ind w:firstLine="0"/>
        <w:jc w:val="left"/>
        <w:rPr>
          <w:rFonts w:eastAsia="MS Mincho"/>
          <w:color w:val="auto"/>
          <w:kern w:val="2"/>
          <w:sz w:val="16"/>
          <w:szCs w:val="16"/>
          <w:lang w:val=""/>
          <w14:ligatures w14:val="standardContextual"/>
        </w:rPr>
      </w:pPr>
    </w:p>
    <w:p w14:paraId="0CEC09D4" w14:textId="77777777" w:rsidR="00442CE7" w:rsidRPr="007C5953" w:rsidRDefault="00442CE7" w:rsidP="00442CE7">
      <w:pPr>
        <w:ind w:firstLine="0"/>
        <w:jc w:val="left"/>
        <w:rPr>
          <w:rFonts w:eastAsia="MS Mincho"/>
          <w:color w:val="auto"/>
          <w:kern w:val="2"/>
          <w:sz w:val="16"/>
          <w:szCs w:val="16"/>
          <w:lang w:val=""/>
          <w14:ligatures w14:val="standardContextual"/>
        </w:rPr>
      </w:pPr>
    </w:p>
    <w:p w14:paraId="5641CCDA" w14:textId="77777777" w:rsidR="00442CE7" w:rsidRPr="007C5953" w:rsidRDefault="00442CE7" w:rsidP="00442CE7">
      <w:pPr>
        <w:ind w:firstLine="0"/>
        <w:jc w:val="left"/>
        <w:rPr>
          <w:rFonts w:eastAsia="MS Mincho"/>
          <w:i/>
          <w:iCs/>
          <w:color w:val="auto"/>
          <w:kern w:val="2"/>
          <w:sz w:val="16"/>
          <w:szCs w:val="16"/>
          <w:lang w:val=""/>
          <w14:ligatures w14:val="standardContextual"/>
        </w:rPr>
      </w:pPr>
    </w:p>
    <w:p w14:paraId="355CA1EF" w14:textId="77777777" w:rsidR="00442CE7" w:rsidRPr="007C5953" w:rsidRDefault="00442CE7" w:rsidP="00442CE7">
      <w:pPr>
        <w:ind w:firstLine="0"/>
        <w:jc w:val="left"/>
        <w:rPr>
          <w:rFonts w:eastAsia="MS Mincho"/>
          <w:color w:val="auto"/>
          <w:kern w:val="2"/>
          <w:sz w:val="16"/>
          <w:szCs w:val="16"/>
          <w:lang w:val=""/>
          <w14:ligatures w14:val="standardContextual"/>
        </w:rPr>
      </w:pPr>
    </w:p>
    <w:p w14:paraId="3DBD2664" w14:textId="77777777" w:rsidR="00442CE7" w:rsidRDefault="00442CE7" w:rsidP="00442CE7">
      <w:pPr>
        <w:ind w:firstLine="0"/>
        <w:jc w:val="left"/>
        <w:rPr>
          <w:rFonts w:eastAsia="MS Mincho"/>
          <w:b/>
          <w:bCs/>
          <w:color w:val="auto"/>
          <w:kern w:val="2"/>
          <w:sz w:val="16"/>
          <w:szCs w:val="16"/>
          <w:lang w:val=""/>
          <w14:ligatures w14:val="standardContextual"/>
        </w:rPr>
        <w:sectPr w:rsidR="00442CE7" w:rsidSect="00442CE7">
          <w:type w:val="continuous"/>
          <w:pgSz w:w="16840" w:h="11900" w:orient="landscape"/>
          <w:pgMar w:top="1440" w:right="1440" w:bottom="1440" w:left="1440" w:header="709" w:footer="709" w:gutter="0"/>
          <w:cols w:space="340"/>
          <w:titlePg/>
          <w:docGrid w:linePitch="360"/>
          <w15:footnoteColumns w:val="1"/>
        </w:sectPr>
      </w:pPr>
    </w:p>
    <w:p w14:paraId="0CCA2B36" w14:textId="1616DCE9" w:rsidR="00442CE7" w:rsidRPr="00271F97" w:rsidRDefault="00000000" w:rsidP="00271F97">
      <w:pPr>
        <w:ind w:firstLine="0"/>
        <w:jc w:val="left"/>
        <w:rPr>
          <w:rFonts w:eastAsia="MS Mincho"/>
          <w:b/>
          <w:bCs/>
          <w:color w:val="auto"/>
          <w:kern w:val="2"/>
          <w:sz w:val="16"/>
          <w:szCs w:val="16"/>
          <w:lang w:val=""/>
          <w14:ligatures w14:val="standardContextual"/>
        </w:rPr>
        <w:sectPr w:rsidR="00442CE7" w:rsidRPr="00271F97" w:rsidSect="00442CE7">
          <w:type w:val="continuous"/>
          <w:pgSz w:w="16840" w:h="11900" w:orient="landscape"/>
          <w:pgMar w:top="1440" w:right="1440" w:bottom="1440" w:left="1440" w:header="709" w:footer="709" w:gutter="0"/>
          <w:cols w:space="340"/>
          <w:titlePg/>
          <w:docGrid w:linePitch="360"/>
          <w15:footnoteColumns w:val="1"/>
        </w:sectPr>
      </w:pPr>
      <w:r>
        <w:rPr>
          <w:rFonts w:eastAsia="MS Mincho"/>
          <w:b/>
          <w:bCs/>
          <w:color w:val="auto"/>
          <w:kern w:val="2"/>
          <w:sz w:val="16"/>
          <w:szCs w:val="16"/>
          <w:lang w:val=""/>
          <w14:ligatures w14:val="standardContextual"/>
        </w:rPr>
        <w:br w:type="page"/>
      </w:r>
    </w:p>
    <w:p w14:paraId="7886DC6B" w14:textId="77777777" w:rsidR="00F0424A" w:rsidRDefault="00F0424A" w:rsidP="00F0424A">
      <w:r>
        <w:lastRenderedPageBreak/>
        <w:t xml:space="preserve">Table 2 </w:t>
      </w:r>
      <w:proofErr w:type="spellStart"/>
      <w:r>
        <w:t>catalogs</w:t>
      </w:r>
      <w:proofErr w:type="spellEnd"/>
      <w:r>
        <w:t xml:space="preserve"> the metrics reported in Vahey et al. (2015) and those nominally calculated by the scripts, based on an inspection of their code. Table 2 illustrates that neither script’s features (e.g., use of corrections, transformations, and reliability estimates) nor outputs (point estimates and types of intervals, which I discuss in detail later) correspond with the results reported in Vahey et al. (2015). </w:t>
      </w:r>
    </w:p>
    <w:p w14:paraId="57761AD7" w14:textId="1A072E3D" w:rsidR="000E5C0F" w:rsidRPr="00F0424A" w:rsidRDefault="00F0424A" w:rsidP="00F0424A">
      <w:r>
        <w:t xml:space="preserve">Specifically, Vahey et al. (2015) likely (but not definitely, or perhaps not consistently across analyses) used Fisher’s </w:t>
      </w:r>
      <w:r w:rsidRPr="00055607">
        <w:rPr>
          <w:i/>
          <w:iCs/>
        </w:rPr>
        <w:t>r</w:t>
      </w:r>
      <w:r>
        <w:t>-to-</w:t>
      </w:r>
      <w:r w:rsidRPr="00055607">
        <w:rPr>
          <w:i/>
          <w:iCs/>
        </w:rPr>
        <w:t>z</w:t>
      </w:r>
      <w:r>
        <w:t xml:space="preserve"> transformations (e.g., due to asymmetric Confidence Intervals in the weighted mean effect sizes in their Figure 1, and the reference to this transformation in Figure 2), and reported both Confidence Intervals and Credibility Intervals. In </w:t>
      </w:r>
      <w:r w:rsidR="000E5C0F">
        <w:t xml:space="preserve">contrast, </w:t>
      </w:r>
      <w:r w:rsidR="000E5C0F" w:rsidRPr="00A035CD">
        <w:t>“</w:t>
      </w:r>
      <w:proofErr w:type="spellStart"/>
      <w:r w:rsidR="000E5C0F" w:rsidRPr="00A035CD">
        <w:t>h_s</w:t>
      </w:r>
      <w:proofErr w:type="spellEnd"/>
      <w:r w:rsidR="000E5C0F" w:rsidRPr="00A035CD">
        <w:t xml:space="preserve"> </w:t>
      </w:r>
      <w:proofErr w:type="spellStart"/>
      <w:r w:rsidR="000E5C0F" w:rsidRPr="00A035CD">
        <w:t>syntax.sps</w:t>
      </w:r>
      <w:proofErr w:type="spellEnd"/>
      <w:r w:rsidR="000E5C0F" w:rsidRPr="00A035CD">
        <w:t>” script</w:t>
      </w:r>
      <w:r w:rsidR="000E5C0F">
        <w:t>’s Hunter and Schmidt style meta-analysis</w:t>
      </w:r>
      <w:r w:rsidR="000E5C0F" w:rsidRPr="00A035CD">
        <w:t xml:space="preserve"> does </w:t>
      </w:r>
      <w:r w:rsidR="000E5C0F">
        <w:t xml:space="preserve">not </w:t>
      </w:r>
      <w:r w:rsidR="000E5C0F" w:rsidRPr="00A035CD">
        <w:t>calculate Confidence Intervals</w:t>
      </w:r>
      <w:r w:rsidR="000E5C0F">
        <w:t xml:space="preserve">; </w:t>
      </w:r>
      <w:r w:rsidR="000E5C0F" w:rsidRPr="00A035CD">
        <w:t>the “</w:t>
      </w:r>
      <w:proofErr w:type="spellStart"/>
      <w:r w:rsidR="000E5C0F" w:rsidRPr="00A035CD">
        <w:t>Meta_Basic_R.sps</w:t>
      </w:r>
      <w:proofErr w:type="spellEnd"/>
      <w:r w:rsidR="000E5C0F" w:rsidRPr="00A035CD">
        <w:t>” script</w:t>
      </w:r>
      <w:r w:rsidR="000E5C0F">
        <w:t xml:space="preserve">’s </w:t>
      </w:r>
      <w:r w:rsidR="000E5C0F" w:rsidRPr="00A035CD">
        <w:t>Hunter &amp; Schmidt style meta-analys</w:t>
      </w:r>
      <w:r w:rsidR="000E5C0F">
        <w:t>i</w:t>
      </w:r>
      <w:r w:rsidR="000E5C0F" w:rsidRPr="00A035CD">
        <w:t xml:space="preserve">s </w:t>
      </w:r>
      <w:r w:rsidR="000E5C0F">
        <w:t xml:space="preserve">does not report Confidence Intervals; and its Hedges and colleagues style meta-analysis does not use </w:t>
      </w:r>
      <w:r w:rsidR="000E5C0F" w:rsidRPr="00055607">
        <w:t xml:space="preserve">Fisher’s </w:t>
      </w:r>
      <w:r w:rsidR="000E5C0F" w:rsidRPr="00055607">
        <w:rPr>
          <w:i/>
          <w:iCs/>
        </w:rPr>
        <w:t>r</w:t>
      </w:r>
      <w:r w:rsidR="000E5C0F" w:rsidRPr="00055607">
        <w:t>-to-</w:t>
      </w:r>
      <w:r w:rsidR="000E5C0F" w:rsidRPr="00055607">
        <w:rPr>
          <w:i/>
          <w:iCs/>
        </w:rPr>
        <w:t>z</w:t>
      </w:r>
      <w:r w:rsidR="000E5C0F">
        <w:t xml:space="preserve"> transformations or report Credibility Intervals. In addition to this, the </w:t>
      </w:r>
      <w:r w:rsidR="000E5C0F" w:rsidRPr="00A035CD">
        <w:t>“</w:t>
      </w:r>
      <w:proofErr w:type="spellStart"/>
      <w:r w:rsidR="000E5C0F" w:rsidRPr="00A035CD">
        <w:t>h_s</w:t>
      </w:r>
      <w:proofErr w:type="spellEnd"/>
      <w:r w:rsidR="000E5C0F" w:rsidRPr="00A035CD">
        <w:t xml:space="preserve"> </w:t>
      </w:r>
      <w:proofErr w:type="spellStart"/>
      <w:r w:rsidR="000E5C0F" w:rsidRPr="00A035CD">
        <w:t>syntax.sps</w:t>
      </w:r>
      <w:proofErr w:type="spellEnd"/>
      <w:r w:rsidR="000E5C0F" w:rsidRPr="00A035CD">
        <w:t>” scri</w:t>
      </w:r>
      <w:r w:rsidR="000E5C0F">
        <w:t xml:space="preserve">pt requires </w:t>
      </w:r>
      <w:r w:rsidR="000E5C0F" w:rsidRPr="00A035CD">
        <w:t xml:space="preserve">the </w:t>
      </w:r>
      <w:r w:rsidR="000E5C0F">
        <w:t xml:space="preserve">researcher </w:t>
      </w:r>
      <w:r w:rsidR="000E5C0F" w:rsidRPr="00A035CD">
        <w:t xml:space="preserve">to provide reliability estimates for both variables in each correlation (i.e., the reliabilities </w:t>
      </w:r>
      <m:oMath>
        <m:sSub>
          <m:sSubPr>
            <m:ctrlPr>
              <w:rPr>
                <w:rFonts w:ascii="Cambria Math" w:hAnsi="Cambria Math"/>
                <w:i/>
              </w:rPr>
            </m:ctrlPr>
          </m:sSubPr>
          <m:e>
            <m:r>
              <w:rPr>
                <w:rFonts w:ascii="Cambria Math" w:hAnsi="Cambria Math"/>
              </w:rPr>
              <m:t>r</m:t>
            </m:r>
          </m:e>
          <m:sub>
            <m:r>
              <w:rPr>
                <w:rFonts w:ascii="Cambria Math" w:hAnsi="Cambria Math"/>
              </w:rPr>
              <m:t>x</m:t>
            </m:r>
          </m:sub>
        </m:sSub>
      </m:oMath>
      <w:r w:rsidR="000E5C0F" w:rsidRPr="00A035CD">
        <w:t xml:space="preserve"> and </w:t>
      </w:r>
      <m:oMath>
        <m:sSub>
          <m:sSubPr>
            <m:ctrlPr>
              <w:rPr>
                <w:rFonts w:ascii="Cambria Math" w:hAnsi="Cambria Math"/>
                <w:i/>
              </w:rPr>
            </m:ctrlPr>
          </m:sSubPr>
          <m:e>
            <m:r>
              <w:rPr>
                <w:rFonts w:ascii="Cambria Math" w:hAnsi="Cambria Math"/>
              </w:rPr>
              <m:t>r</m:t>
            </m:r>
          </m:e>
          <m:sub>
            <m:r>
              <w:rPr>
                <w:rFonts w:ascii="Cambria Math" w:hAnsi="Cambria Math"/>
              </w:rPr>
              <m:t>y</m:t>
            </m:r>
          </m:sub>
        </m:sSub>
      </m:oMath>
      <w:r w:rsidR="000E5C0F" w:rsidRPr="00A035CD">
        <w:t xml:space="preserve"> for the correlation </w:t>
      </w:r>
      <m:oMath>
        <m:sSub>
          <m:sSubPr>
            <m:ctrlPr>
              <w:rPr>
                <w:rFonts w:ascii="Cambria Math" w:hAnsi="Cambria Math"/>
                <w:i/>
              </w:rPr>
            </m:ctrlPr>
          </m:sSubPr>
          <m:e>
            <m:r>
              <w:rPr>
                <w:rFonts w:ascii="Cambria Math" w:hAnsi="Cambria Math"/>
              </w:rPr>
              <m:t>r</m:t>
            </m:r>
          </m:e>
          <m:sub>
            <m:r>
              <w:rPr>
                <w:rFonts w:ascii="Cambria Math" w:hAnsi="Cambria Math"/>
              </w:rPr>
              <m:t>xy</m:t>
            </m:r>
          </m:sub>
        </m:sSub>
      </m:oMath>
      <w:r w:rsidR="000E5C0F" w:rsidRPr="00A035CD">
        <w:t>) in order to correct the effect sizes for attenuation. Vahey et al. (2015) did not report extracting or using reliability estimates in this way in their article or supplementary materials.</w:t>
      </w:r>
      <w:r w:rsidR="000E5C0F">
        <w:t xml:space="preserve"> </w:t>
      </w:r>
    </w:p>
    <w:p w14:paraId="68F09912" w14:textId="77777777" w:rsidR="000E5C0F" w:rsidRDefault="000E5C0F" w:rsidP="000E5C0F">
      <w:r>
        <w:t xml:space="preserve">Based on these facts, we could conclude that Vahey et al. (2015) did not in fact employ the Hunter &amp; Schmidt style meta-analysis specified in Field &amp; Gillett (2010), as stated. It is possible they ran more than one type or implementation of the meta-analyses implemented in these scripts and reported them as one, or perhaps they modified the analytic strategy in an undisclosed way. </w:t>
      </w:r>
    </w:p>
    <w:p w14:paraId="712D481D" w14:textId="77777777" w:rsidR="000E5C0F" w:rsidRDefault="000E5C0F" w:rsidP="000E5C0F">
      <w:r w:rsidRPr="00034410">
        <w:t xml:space="preserve">In light of this, I therefore altered the implementations in multiple ways in order to attempt to reproduce Vahey et al.’s (2015) results. </w:t>
      </w:r>
      <w:r>
        <w:t>The code used to implement each verification attempt, notes on what was modified from the default original code, and the results of the meta-analyses are reported in Table 3.</w:t>
      </w:r>
      <w:r w:rsidRPr="00772E42">
        <w:t xml:space="preserve"> </w:t>
      </w:r>
      <w:r w:rsidRPr="00034410">
        <w:t xml:space="preserve">Copies of all original and </w:t>
      </w:r>
      <w:r>
        <w:t>modified</w:t>
      </w:r>
      <w:r w:rsidRPr="00034410">
        <w:t xml:space="preserve"> scripts are available in the supplementary materials.</w:t>
      </w:r>
    </w:p>
    <w:p w14:paraId="7134750C" w14:textId="77777777" w:rsidR="000E5C0F" w:rsidRPr="00CC1B6A" w:rsidRDefault="000E5C0F" w:rsidP="000E5C0F">
      <w:pPr>
        <w:pStyle w:val="Heading3"/>
      </w:pPr>
      <w:r w:rsidRPr="00CC1B6A">
        <w:t>Definitions of different types of intervals</w:t>
      </w:r>
    </w:p>
    <w:p w14:paraId="047B3896" w14:textId="77777777" w:rsidR="000E5C0F" w:rsidRPr="00CC1B6A" w:rsidRDefault="000E5C0F" w:rsidP="000E5C0F">
      <w:r w:rsidRPr="00CC1B6A">
        <w:t xml:space="preserve">Vahey et al. (2015) report both Confidence Intervals (CI) and Credibility Intervals (CR which attempt to estimate the generalizability of the meta-effect size </w:t>
      </w:r>
      <w:r w:rsidRPr="00CC1B6A">
        <w:fldChar w:fldCharType="begin"/>
      </w:r>
      <w:r w:rsidRPr="00CC1B6A">
        <w:instrText xml:space="preserve"> ADDIN ZOTERO_ITEM CSL_CITATION {"citationID":"7TL7OAQf","properties":{"formattedCitation":"(Field &amp; Gillett, 2010; Hunter &amp; Schmidt, 2004)","plainCitation":"(Field &amp; Gillett, 2010; Hunter &amp; Schmidt, 2004)","noteIndex":0},"citationItems":[{"id":400,"uris":["http://zotero.org/users/1687755/items/T4RKSQ58"],"itemData":{"id":400,"type":"article-journal","abstract":"Meta-analysis is a statistical tool for estimating the mean and variance of underlying population effects from a collection of empirical studies addressing ostensibly the same research question. Meta-analysis has become an increasing popular and valuable tool in psychological research, and major review articles typically employ these methods. This article describes the process of conducting meta-analysis: selecting articles, developing inclusion criteria, calculating effect sizes, conducting the actual analysis (including information on how to do the analysis on popular computer packages such as IBM SPSS and R) and estimating the effects of publication bias. Guidance is also given on how to write up a meta-analysis.","container-title":"British Journal of Mathematical and Statistical Psychology","DOI":"10.1348/000711010X502733","ISSN":"2044-8317","issue":"3","language":"en","note":"_eprint: https://onlinelibrary.wiley.com/doi/pdf/10.1348/000711010X502733","page":"665-694","source":"Wiley Online Library","title":"How to do a meta-analysis","volume":"63","author":[{"family":"Field","given":"Andy P."},{"family":"Gillett","given":"Raphael"}],"issued":{"date-parts":[["2010"]]}}},{"id":29142,"uris":["http://zotero.org/users/1687755/items/G2PQG5VA"],"itemData":{"id":29142,"type":"book","publisher":"Sage","title":"Methods of meta-analysis: Correcting error and bias in research findings","author":[{"family":"Hunter","given":"John E"},{"family":"Schmidt","given":"Frank L"}],"issued":{"date-parts":[["2004"]]}}}],"schema":"https://github.com/citation-style-language/schema/raw/master/csl-citation.json"} </w:instrText>
      </w:r>
      <w:r w:rsidRPr="00CC1B6A">
        <w:fldChar w:fldCharType="separate"/>
      </w:r>
      <w:r w:rsidRPr="00CC1B6A">
        <w:rPr>
          <w:noProof/>
        </w:rPr>
        <w:t>(Field &amp; Gillett, 2010; Hunter &amp; Schmidt, 2004)</w:t>
      </w:r>
      <w:r w:rsidRPr="00CC1B6A">
        <w:fldChar w:fldCharType="end"/>
      </w:r>
      <w:r w:rsidRPr="00CC1B6A">
        <w:t xml:space="preserve">. </w:t>
      </w:r>
    </w:p>
    <w:p w14:paraId="06368346" w14:textId="77777777" w:rsidR="000E5C0F" w:rsidRPr="00CC1B6A" w:rsidRDefault="000E5C0F" w:rsidP="000E5C0F">
      <w:r w:rsidRPr="00CC1B6A">
        <w:t xml:space="preserve">Vahey et al. (2015) state that such “Credibility Intervals are generally wider and thus more conservative than corresponding Confidence Intervals” (p.61), however, this is not the case: Confidence Intervals and Credibility Intervals have different </w:t>
      </w:r>
      <w:proofErr w:type="spellStart"/>
      <w:r w:rsidRPr="00CC1B6A">
        <w:t>estimands</w:t>
      </w:r>
      <w:proofErr w:type="spellEnd"/>
      <w:r w:rsidRPr="00CC1B6A">
        <w:t xml:space="preserve">, and therefore the two have no correlation. Confidence Intervals quantify the precision of the estimate given sampling error (i.e., within-study </w:t>
      </w:r>
      <w:r w:rsidRPr="00CC1B6A">
        <w:t xml:space="preserve">variance, </w:t>
      </w:r>
      <m:oMath>
        <m:sSup>
          <m:sSupPr>
            <m:ctrlPr>
              <w:rPr>
                <w:rFonts w:ascii="Cambria Math" w:hAnsi="Cambria Math"/>
                <w:i/>
              </w:rPr>
            </m:ctrlPr>
          </m:sSupPr>
          <m:e>
            <m:acc>
              <m:accPr>
                <m:ctrlPr>
                  <w:rPr>
                    <w:rFonts w:ascii="Cambria Math" w:hAnsi="Cambria Math"/>
                    <w:i/>
                  </w:rPr>
                </m:ctrlPr>
              </m:accPr>
              <m:e>
                <m:r>
                  <w:rPr>
                    <w:rFonts w:ascii="Cambria Math" w:hAnsi="Cambria Math"/>
                  </w:rPr>
                  <m:t>σ</m:t>
                </m:r>
              </m:e>
            </m:acc>
          </m:e>
          <m:sup>
            <m:r>
              <w:rPr>
                <w:rFonts w:ascii="Cambria Math" w:hAnsi="Cambria Math"/>
              </w:rPr>
              <m:t>2</m:t>
            </m:r>
          </m:sup>
        </m:sSup>
      </m:oMath>
      <w:r w:rsidRPr="00CC1B6A">
        <w:t>), whereas Credibility Intervals are a function of between-study variance (</w:t>
      </w:r>
      <m:oMath>
        <m:sSup>
          <m:sSupPr>
            <m:ctrlPr>
              <w:rPr>
                <w:rFonts w:ascii="Cambria Math" w:hAnsi="Cambria Math"/>
                <w:i/>
              </w:rPr>
            </m:ctrlPr>
          </m:sSupPr>
          <m:e>
            <m:acc>
              <m:accPr>
                <m:ctrlPr>
                  <w:rPr>
                    <w:rFonts w:ascii="Cambria Math" w:hAnsi="Cambria Math"/>
                    <w:i/>
                  </w:rPr>
                </m:ctrlPr>
              </m:accPr>
              <m:e>
                <m:r>
                  <w:rPr>
                    <w:rFonts w:ascii="Cambria Math" w:hAnsi="Cambria Math"/>
                  </w:rPr>
                  <m:t>τ</m:t>
                </m:r>
              </m:e>
            </m:acc>
          </m:e>
          <m:sup>
            <m:r>
              <w:rPr>
                <w:rFonts w:ascii="Cambria Math" w:hAnsi="Cambria Math"/>
              </w:rPr>
              <m:t>2</m:t>
            </m:r>
          </m:sup>
        </m:sSup>
      </m:oMath>
      <w:r w:rsidRPr="00CC1B6A">
        <w:t xml:space="preserve">: see Field &amp; Gillett, 2010, equations 2, 3, 4, and 5). A third type of interval, Prediction Intervals (PI), take both into account and are often reported for meta-analyses (e.g., within the metafor R package). It is true that PIs are at least as wide as Confidence Intervals, however, this is not because they are more 'conservative' than Confidence Intervals but because they quantify a different property under different assumptions. It is unclear whether this discrepancy in Vahey et al. (2015) was due to (a) a misinterpretation of Credibility Intervals, or (b) whether they actually calculated PIs but mislabelled them as Credibility Intervals. In order to attempt to resolve this for the purpose of verification, it is useful to define all three to highlight the differences between them: </w:t>
      </w:r>
    </w:p>
    <w:p w14:paraId="7456D16B" w14:textId="77777777" w:rsidR="000E5C0F" w:rsidRPr="00CC1B6A" w:rsidRDefault="000E5C0F" w:rsidP="000E5C0F"/>
    <w:p w14:paraId="41ACF087" w14:textId="77777777" w:rsidR="000E5C0F" w:rsidRPr="00CC1B6A" w:rsidRDefault="00000000" w:rsidP="000E5C0F">
      <m:oMathPara>
        <m:oMath>
          <m:eqArr>
            <m:eqArrPr>
              <m:maxDist m:val="1"/>
              <m:ctrlPr>
                <w:rPr>
                  <w:rFonts w:ascii="Cambria Math" w:hAnsi="Cambria Math"/>
                  <w:i/>
                </w:rPr>
              </m:ctrlPr>
            </m:eqArrPr>
            <m:e>
              <m:r>
                <m:rPr>
                  <m:sty m:val="p"/>
                </m:rPr>
                <w:rPr>
                  <w:rFonts w:ascii="Cambria Math" w:hAnsi="Cambria Math"/>
                </w:rPr>
                <m:t>95% CI=</m:t>
              </m:r>
              <m:acc>
                <m:accPr>
                  <m:chr m:val="̅"/>
                  <m:ctrlPr>
                    <w:rPr>
                      <w:rFonts w:ascii="Cambria Math" w:hAnsi="Cambria Math"/>
                    </w:rPr>
                  </m:ctrlPr>
                </m:accPr>
                <m:e>
                  <m:r>
                    <w:rPr>
                      <w:rFonts w:ascii="Cambria Math" w:hAnsi="Cambria Math"/>
                    </w:rPr>
                    <m:t>r</m:t>
                  </m:r>
                </m:e>
              </m:acc>
              <m:r>
                <m:rPr>
                  <m:sty m:val="p"/>
                </m:rPr>
                <w:rPr>
                  <w:rFonts w:ascii="Cambria Math" w:hAnsi="Cambria Math"/>
                </w:rPr>
                <m:t xml:space="preserve"> ±1.96</m:t>
              </m:r>
              <m:rad>
                <m:radPr>
                  <m:degHide m:val="1"/>
                  <m:ctrlPr>
                    <w:rPr>
                      <w:rFonts w:ascii="Cambria Math" w:hAnsi="Cambria Math"/>
                    </w:rPr>
                  </m:ctrlPr>
                </m:radPr>
                <m:deg/>
                <m:e>
                  <m:sSup>
                    <m:sSupPr>
                      <m:ctrlPr>
                        <w:rPr>
                          <w:rFonts w:ascii="Cambria Math" w:hAnsi="Cambria Math"/>
                        </w:rPr>
                      </m:ctrlPr>
                    </m:sSupPr>
                    <m:e>
                      <m:acc>
                        <m:accPr>
                          <m:ctrlPr>
                            <w:rPr>
                              <w:rFonts w:ascii="Cambria Math" w:hAnsi="Cambria Math"/>
                            </w:rPr>
                          </m:ctrlPr>
                        </m:accPr>
                        <m:e>
                          <m:r>
                            <w:rPr>
                              <w:rFonts w:ascii="Cambria Math" w:hAnsi="Cambria Math"/>
                            </w:rPr>
                            <m:t>σ</m:t>
                          </m:r>
                        </m:e>
                      </m:acc>
                    </m:e>
                    <m:sup>
                      <m:r>
                        <m:rPr>
                          <m:sty m:val="p"/>
                        </m:rPr>
                        <w:rPr>
                          <w:rFonts w:ascii="Cambria Math" w:hAnsi="Cambria Math"/>
                        </w:rPr>
                        <m:t>2</m:t>
                      </m:r>
                    </m:sup>
                  </m:sSup>
                </m:e>
              </m:rad>
              <m:r>
                <w:rPr>
                  <w:rFonts w:ascii="Cambria Math" w:hAnsi="Cambria Math"/>
                </w:rPr>
                <m:t xml:space="preserve"> #</m:t>
              </m:r>
              <m:d>
                <m:dPr>
                  <m:ctrlPr>
                    <w:rPr>
                      <w:rFonts w:ascii="Cambria Math" w:hAnsi="Cambria Math"/>
                      <w:i/>
                    </w:rPr>
                  </m:ctrlPr>
                </m:dPr>
                <m:e>
                  <m:r>
                    <w:rPr>
                      <w:rFonts w:ascii="Cambria Math" w:hAnsi="Cambria Math"/>
                    </w:rPr>
                    <m:t>2</m:t>
                  </m:r>
                </m:e>
              </m:d>
            </m:e>
          </m:eqArr>
        </m:oMath>
      </m:oMathPara>
    </w:p>
    <w:p w14:paraId="22945239" w14:textId="77777777" w:rsidR="000E5C0F" w:rsidRPr="00CC1B6A" w:rsidRDefault="000E5C0F" w:rsidP="000E5C0F">
      <w:pPr>
        <w:ind w:firstLine="0"/>
      </w:pPr>
    </w:p>
    <w:p w14:paraId="2F230CC1" w14:textId="77777777" w:rsidR="000E5C0F" w:rsidRPr="00CC1B6A" w:rsidRDefault="00000000" w:rsidP="000E5C0F">
      <m:oMathPara>
        <m:oMath>
          <m:eqArr>
            <m:eqArrPr>
              <m:maxDist m:val="1"/>
              <m:ctrlPr>
                <w:rPr>
                  <w:rFonts w:ascii="Cambria Math" w:hAnsi="Cambria Math"/>
                  <w:i/>
                </w:rPr>
              </m:ctrlPr>
            </m:eqArrPr>
            <m:e>
              <m:r>
                <m:rPr>
                  <m:sty m:val="p"/>
                </m:rPr>
                <w:rPr>
                  <w:rFonts w:ascii="Cambria Math" w:hAnsi="Cambria Math"/>
                </w:rPr>
                <m:t>95% CR=</m:t>
              </m:r>
              <m:acc>
                <m:accPr>
                  <m:chr m:val="̅"/>
                  <m:ctrlPr>
                    <w:rPr>
                      <w:rFonts w:ascii="Cambria Math" w:hAnsi="Cambria Math"/>
                    </w:rPr>
                  </m:ctrlPr>
                </m:accPr>
                <m:e>
                  <m:r>
                    <w:rPr>
                      <w:rFonts w:ascii="Cambria Math" w:hAnsi="Cambria Math"/>
                    </w:rPr>
                    <m:t>r</m:t>
                  </m:r>
                </m:e>
              </m:acc>
              <m:r>
                <m:rPr>
                  <m:sty m:val="p"/>
                </m:rPr>
                <w:rPr>
                  <w:rFonts w:ascii="Cambria Math" w:hAnsi="Cambria Math"/>
                </w:rPr>
                <m:t xml:space="preserve"> ±1.96</m:t>
              </m:r>
              <m:rad>
                <m:radPr>
                  <m:degHide m:val="1"/>
                  <m:ctrlPr>
                    <w:rPr>
                      <w:rFonts w:ascii="Cambria Math" w:hAnsi="Cambria Math"/>
                    </w:rPr>
                  </m:ctrlPr>
                </m:radPr>
                <m:deg/>
                <m:e>
                  <m:sSup>
                    <m:sSupPr>
                      <m:ctrlPr>
                        <w:rPr>
                          <w:rFonts w:ascii="Cambria Math" w:hAnsi="Cambria Math"/>
                        </w:rPr>
                      </m:ctrlPr>
                    </m:sSupPr>
                    <m:e>
                      <m:acc>
                        <m:accPr>
                          <m:ctrlPr>
                            <w:rPr>
                              <w:rFonts w:ascii="Cambria Math" w:hAnsi="Cambria Math"/>
                            </w:rPr>
                          </m:ctrlPr>
                        </m:accPr>
                        <m:e>
                          <m:r>
                            <w:rPr>
                              <w:rFonts w:ascii="Cambria Math" w:hAnsi="Cambria Math"/>
                            </w:rPr>
                            <m:t>τ</m:t>
                          </m:r>
                        </m:e>
                      </m:acc>
                    </m:e>
                    <m:sup>
                      <m:r>
                        <m:rPr>
                          <m:sty m:val="p"/>
                        </m:rPr>
                        <w:rPr>
                          <w:rFonts w:ascii="Cambria Math" w:hAnsi="Cambria Math"/>
                        </w:rPr>
                        <m:t>2</m:t>
                      </m:r>
                    </m:sup>
                  </m:sSup>
                </m:e>
              </m:rad>
              <m:r>
                <w:rPr>
                  <w:rFonts w:ascii="Cambria Math" w:hAnsi="Cambria Math"/>
                </w:rPr>
                <m:t xml:space="preserve"> #</m:t>
              </m:r>
              <m:d>
                <m:dPr>
                  <m:ctrlPr>
                    <w:rPr>
                      <w:rFonts w:ascii="Cambria Math" w:hAnsi="Cambria Math"/>
                      <w:i/>
                    </w:rPr>
                  </m:ctrlPr>
                </m:dPr>
                <m:e>
                  <m:r>
                    <w:rPr>
                      <w:rFonts w:ascii="Cambria Math" w:hAnsi="Cambria Math"/>
                    </w:rPr>
                    <m:t>3</m:t>
                  </m:r>
                </m:e>
              </m:d>
            </m:e>
          </m:eqArr>
        </m:oMath>
      </m:oMathPara>
    </w:p>
    <w:p w14:paraId="6EAD1CDB" w14:textId="77777777" w:rsidR="000E5C0F" w:rsidRPr="00CC1B6A" w:rsidRDefault="000E5C0F" w:rsidP="000E5C0F">
      <w:pPr>
        <w:ind w:firstLine="0"/>
      </w:pPr>
    </w:p>
    <w:p w14:paraId="0238E81C" w14:textId="77777777" w:rsidR="000E5C0F" w:rsidRPr="00CC1B6A" w:rsidRDefault="00000000" w:rsidP="000E5C0F">
      <m:oMathPara>
        <m:oMath>
          <m:eqArr>
            <m:eqArrPr>
              <m:maxDist m:val="1"/>
              <m:ctrlPr>
                <w:rPr>
                  <w:rFonts w:ascii="Cambria Math" w:hAnsi="Cambria Math"/>
                  <w:i/>
                </w:rPr>
              </m:ctrlPr>
            </m:eqArrPr>
            <m:e>
              <m:r>
                <m:rPr>
                  <m:sty m:val="p"/>
                </m:rPr>
                <w:rPr>
                  <w:rFonts w:ascii="Cambria Math" w:hAnsi="Cambria Math"/>
                </w:rPr>
                <m:t>95% PI=</m:t>
              </m:r>
              <m:acc>
                <m:accPr>
                  <m:chr m:val="̅"/>
                  <m:ctrlPr>
                    <w:rPr>
                      <w:rFonts w:ascii="Cambria Math" w:hAnsi="Cambria Math"/>
                    </w:rPr>
                  </m:ctrlPr>
                </m:accPr>
                <m:e>
                  <m:r>
                    <w:rPr>
                      <w:rFonts w:ascii="Cambria Math" w:hAnsi="Cambria Math"/>
                    </w:rPr>
                    <m:t>r</m:t>
                  </m:r>
                </m:e>
              </m:acc>
              <m:r>
                <m:rPr>
                  <m:sty m:val="p"/>
                </m:rPr>
                <w:rPr>
                  <w:rFonts w:ascii="Cambria Math" w:hAnsi="Cambria Math"/>
                </w:rPr>
                <m:t xml:space="preserve"> ±1.96</m:t>
              </m:r>
              <m:rad>
                <m:radPr>
                  <m:degHide m:val="1"/>
                  <m:ctrlPr>
                    <w:rPr>
                      <w:rFonts w:ascii="Cambria Math" w:hAnsi="Cambria Math"/>
                    </w:rPr>
                  </m:ctrlPr>
                </m:radPr>
                <m:deg/>
                <m:e>
                  <m:sSup>
                    <m:sSupPr>
                      <m:ctrlPr>
                        <w:rPr>
                          <w:rFonts w:ascii="Cambria Math" w:hAnsi="Cambria Math"/>
                        </w:rPr>
                      </m:ctrlPr>
                    </m:sSupPr>
                    <m:e>
                      <m:acc>
                        <m:accPr>
                          <m:ctrlPr>
                            <w:rPr>
                              <w:rFonts w:ascii="Cambria Math" w:hAnsi="Cambria Math"/>
                            </w:rPr>
                          </m:ctrlPr>
                        </m:accPr>
                        <m:e>
                          <m:r>
                            <w:rPr>
                              <w:rFonts w:ascii="Cambria Math" w:hAnsi="Cambria Math"/>
                            </w:rPr>
                            <m:t>τ</m:t>
                          </m:r>
                        </m:e>
                      </m:acc>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acc>
                        <m:accPr>
                          <m:ctrlPr>
                            <w:rPr>
                              <w:rFonts w:ascii="Cambria Math" w:hAnsi="Cambria Math"/>
                            </w:rPr>
                          </m:ctrlPr>
                        </m:accPr>
                        <m:e>
                          <m:r>
                            <w:rPr>
                              <w:rFonts w:ascii="Cambria Math" w:hAnsi="Cambria Math"/>
                            </w:rPr>
                            <m:t>σ</m:t>
                          </m:r>
                        </m:e>
                      </m:acc>
                    </m:e>
                    <m:sup>
                      <m:r>
                        <m:rPr>
                          <m:sty m:val="p"/>
                        </m:rPr>
                        <w:rPr>
                          <w:rFonts w:ascii="Cambria Math" w:hAnsi="Cambria Math"/>
                        </w:rPr>
                        <m:t>2</m:t>
                      </m:r>
                    </m:sup>
                  </m:sSup>
                </m:e>
              </m:rad>
              <m:r>
                <w:rPr>
                  <w:rFonts w:ascii="Cambria Math" w:hAnsi="Cambria Math"/>
                </w:rPr>
                <m:t xml:space="preserve"> #</m:t>
              </m:r>
              <m:d>
                <m:dPr>
                  <m:ctrlPr>
                    <w:rPr>
                      <w:rFonts w:ascii="Cambria Math" w:hAnsi="Cambria Math"/>
                      <w:i/>
                    </w:rPr>
                  </m:ctrlPr>
                </m:dPr>
                <m:e>
                  <m:r>
                    <w:rPr>
                      <w:rFonts w:ascii="Cambria Math" w:hAnsi="Cambria Math"/>
                    </w:rPr>
                    <m:t>4</m:t>
                  </m:r>
                </m:e>
              </m:d>
            </m:e>
          </m:eqArr>
        </m:oMath>
      </m:oMathPara>
    </w:p>
    <w:p w14:paraId="5C2D38E3" w14:textId="77777777" w:rsidR="000E5C0F" w:rsidRDefault="000E5C0F" w:rsidP="000E5C0F">
      <w:pPr>
        <w:ind w:firstLine="0"/>
      </w:pPr>
    </w:p>
    <w:p w14:paraId="4DEC3794" w14:textId="77777777" w:rsidR="000E5C0F" w:rsidRPr="00CC1B6A" w:rsidRDefault="000E5C0F" w:rsidP="000E5C0F">
      <w:pPr>
        <w:ind w:firstLine="0"/>
      </w:pPr>
    </w:p>
    <w:p w14:paraId="7A1D14CF" w14:textId="77777777" w:rsidR="000E5C0F" w:rsidRPr="00CC1B6A" w:rsidRDefault="000E5C0F" w:rsidP="000E5C0F">
      <w:r w:rsidRPr="00CC1B6A">
        <w:t xml:space="preserve">Where </w:t>
      </w:r>
      <m:oMath>
        <m:acc>
          <m:accPr>
            <m:chr m:val="̅"/>
            <m:ctrlPr>
              <w:rPr>
                <w:rFonts w:ascii="Cambria Math" w:hAnsi="Cambria Math"/>
                <w:i/>
              </w:rPr>
            </m:ctrlPr>
          </m:accPr>
          <m:e>
            <m:r>
              <w:rPr>
                <w:rFonts w:ascii="Cambria Math" w:hAnsi="Cambria Math"/>
              </w:rPr>
              <m:t>r</m:t>
            </m:r>
          </m:e>
        </m:acc>
      </m:oMath>
      <w:r w:rsidRPr="00CC1B6A">
        <w:t xml:space="preserve"> is the weighted average effect size, </w:t>
      </w:r>
      <m:oMath>
        <m:sSup>
          <m:sSupPr>
            <m:ctrlPr>
              <w:rPr>
                <w:rFonts w:ascii="Cambria Math" w:hAnsi="Cambria Math"/>
                <w:i/>
              </w:rPr>
            </m:ctrlPr>
          </m:sSupPr>
          <m:e>
            <m:acc>
              <m:accPr>
                <m:ctrlPr>
                  <w:rPr>
                    <w:rFonts w:ascii="Cambria Math" w:hAnsi="Cambria Math"/>
                    <w:i/>
                  </w:rPr>
                </m:ctrlPr>
              </m:accPr>
              <m:e>
                <m:r>
                  <w:rPr>
                    <w:rFonts w:ascii="Cambria Math" w:hAnsi="Cambria Math"/>
                  </w:rPr>
                  <m:t>σ</m:t>
                </m:r>
              </m:e>
            </m:acc>
          </m:e>
          <m:sup>
            <m:r>
              <w:rPr>
                <w:rFonts w:ascii="Cambria Math" w:hAnsi="Cambria Math"/>
              </w:rPr>
              <m:t>2</m:t>
            </m:r>
          </m:sup>
        </m:sSup>
      </m:oMath>
      <w:r w:rsidRPr="00CC1B6A">
        <w:t xml:space="preserve"> is the estimated within-study variance (i.e., the square of the Standard Error of </w:t>
      </w:r>
      <m:oMath>
        <m:acc>
          <m:accPr>
            <m:chr m:val="̅"/>
            <m:ctrlPr>
              <w:rPr>
                <w:rFonts w:ascii="Cambria Math" w:hAnsi="Cambria Math"/>
                <w:i/>
              </w:rPr>
            </m:ctrlPr>
          </m:accPr>
          <m:e>
            <m:r>
              <w:rPr>
                <w:rFonts w:ascii="Cambria Math" w:hAnsi="Cambria Math"/>
              </w:rPr>
              <m:t>r</m:t>
            </m:r>
          </m:e>
        </m:acc>
      </m:oMath>
      <w:r w:rsidRPr="00CC1B6A">
        <w:t xml:space="preserve">), and </w:t>
      </w:r>
      <m:oMath>
        <m:sSup>
          <m:sSupPr>
            <m:ctrlPr>
              <w:rPr>
                <w:rFonts w:ascii="Cambria Math" w:hAnsi="Cambria Math"/>
                <w:i/>
              </w:rPr>
            </m:ctrlPr>
          </m:sSupPr>
          <m:e>
            <m:acc>
              <m:accPr>
                <m:ctrlPr>
                  <w:rPr>
                    <w:rFonts w:ascii="Cambria Math" w:hAnsi="Cambria Math"/>
                    <w:i/>
                  </w:rPr>
                </m:ctrlPr>
              </m:accPr>
              <m:e>
                <m:r>
                  <w:rPr>
                    <w:rFonts w:ascii="Cambria Math" w:hAnsi="Cambria Math"/>
                  </w:rPr>
                  <m:t>τ</m:t>
                </m:r>
              </m:e>
            </m:acc>
          </m:e>
          <m:sup>
            <m:r>
              <w:rPr>
                <w:rFonts w:ascii="Cambria Math" w:hAnsi="Cambria Math"/>
              </w:rPr>
              <m:t>2</m:t>
            </m:r>
          </m:sup>
        </m:sSup>
      </m:oMath>
      <w:r w:rsidRPr="00CC1B6A">
        <w:t xml:space="preserve"> is the estimated between-study variance (heterogeneity). </w:t>
      </w:r>
    </w:p>
    <w:p w14:paraId="48B4468E" w14:textId="77777777" w:rsidR="000E5C0F" w:rsidRPr="00CC1B6A" w:rsidRDefault="000E5C0F" w:rsidP="000E5C0F">
      <w:r w:rsidRPr="00CC1B6A">
        <w:t>An important point to appreciate regarding Credibility Intervals is that when between-study heterogeneity is zero (</w:t>
      </w:r>
      <m:oMath>
        <m:sSup>
          <m:sSupPr>
            <m:ctrlPr>
              <w:rPr>
                <w:rFonts w:ascii="Cambria Math" w:hAnsi="Cambria Math"/>
              </w:rPr>
            </m:ctrlPr>
          </m:sSupPr>
          <m:e>
            <m:acc>
              <m:accPr>
                <m:ctrlPr>
                  <w:rPr>
                    <w:rFonts w:ascii="Cambria Math" w:hAnsi="Cambria Math"/>
                  </w:rPr>
                </m:ctrlPr>
              </m:accPr>
              <m:e>
                <m:r>
                  <w:rPr>
                    <w:rFonts w:ascii="Cambria Math" w:hAnsi="Cambria Math"/>
                  </w:rPr>
                  <m:t>τ</m:t>
                </m:r>
              </m:e>
            </m:acc>
          </m:e>
          <m:sup>
            <m:r>
              <m:rPr>
                <m:sty m:val="p"/>
              </m:rPr>
              <w:rPr>
                <w:rFonts w:ascii="Cambria Math" w:hAnsi="Cambria Math"/>
              </w:rPr>
              <m:t>2</m:t>
            </m:r>
          </m:sup>
        </m:sSup>
      </m:oMath>
      <w:r w:rsidRPr="00CC1B6A">
        <w:t xml:space="preserve"> = 0), the CR interval width will also be zero, as is the case in the results of the verification attempts reported later. </w:t>
      </w:r>
    </w:p>
    <w:p w14:paraId="47038B14" w14:textId="77777777" w:rsidR="000E5C0F" w:rsidRDefault="000E5C0F" w:rsidP="000E5C0F">
      <w:r w:rsidRPr="00CC1B6A">
        <w:t xml:space="preserve">This also follows from Field &amp; Gillet’s (2010) equations 2, 3, 4, and 5 (note that they use slightly different notation), which define the variance in the estimate of population correlations as the variance of sample effect sizes (which Vahey et al. 2015 denote as </w:t>
      </w:r>
      <m:oMath>
        <m:sSubSup>
          <m:sSubSupPr>
            <m:ctrlPr>
              <w:rPr>
                <w:rFonts w:ascii="Cambria Math" w:hAnsi="Cambria Math"/>
                <w:i/>
              </w:rPr>
            </m:ctrlPr>
          </m:sSubSupPr>
          <m:e>
            <m:r>
              <w:rPr>
                <w:rFonts w:ascii="Cambria Math" w:hAnsi="Cambria Math"/>
              </w:rPr>
              <m:t>s</m:t>
            </m:r>
          </m:e>
          <m:sub>
            <m:r>
              <w:rPr>
                <w:rFonts w:ascii="Cambria Math" w:hAnsi="Cambria Math"/>
              </w:rPr>
              <m:t>r</m:t>
            </m:r>
          </m:sub>
          <m:sup>
            <m:r>
              <w:rPr>
                <w:rFonts w:ascii="Cambria Math" w:hAnsi="Cambria Math"/>
              </w:rPr>
              <m:t>2</m:t>
            </m:r>
          </m:sup>
        </m:sSubSup>
      </m:oMath>
      <w:r w:rsidRPr="00CC1B6A">
        <w:t xml:space="preserve">) minus the sampling error variance. As such, if the sampling error variance is found to be larger than the variance in the sample effect sizes, then </w:t>
      </w:r>
      <m:oMath>
        <m:sSubSup>
          <m:sSubSupPr>
            <m:ctrlPr>
              <w:rPr>
                <w:rFonts w:ascii="Cambria Math" w:hAnsi="Cambria Math"/>
                <w:i/>
              </w:rPr>
            </m:ctrlPr>
          </m:sSubSupPr>
          <m:e>
            <m:acc>
              <m:accPr>
                <m:ctrlPr>
                  <w:rPr>
                    <w:rFonts w:ascii="Cambria Math" w:hAnsi="Cambria Math"/>
                    <w:i/>
                  </w:rPr>
                </m:ctrlPr>
              </m:accPr>
              <m:e>
                <m:r>
                  <w:rPr>
                    <w:rFonts w:ascii="Cambria Math" w:hAnsi="Cambria Math"/>
                  </w:rPr>
                  <m:t>σ</m:t>
                </m:r>
              </m:e>
            </m:acc>
          </m:e>
          <m:sub>
            <m:r>
              <w:rPr>
                <w:rFonts w:ascii="Cambria Math" w:hAnsi="Cambria Math"/>
              </w:rPr>
              <m:t>p</m:t>
            </m:r>
          </m:sub>
          <m:sup>
            <m:r>
              <w:rPr>
                <w:rFonts w:ascii="Cambria Math" w:hAnsi="Cambria Math"/>
              </w:rPr>
              <m:t>2</m:t>
            </m:r>
          </m:sup>
        </m:sSubSup>
      </m:oMath>
      <w:r w:rsidRPr="00CC1B6A">
        <w:t xml:space="preserve"> will be negative, and Credibility Intervals cannot be calculated, as the square root of a negative number is non-real. Although Field and Gillett (2010) do not discuss this possibility in their article, they cover this case in their code by setting negative values of </w:t>
      </w:r>
      <m:oMath>
        <m:sSubSup>
          <m:sSubSupPr>
            <m:ctrlPr>
              <w:rPr>
                <w:rFonts w:ascii="Cambria Math" w:hAnsi="Cambria Math"/>
                <w:i/>
              </w:rPr>
            </m:ctrlPr>
          </m:sSubSupPr>
          <m:e>
            <m:acc>
              <m:accPr>
                <m:ctrlPr>
                  <w:rPr>
                    <w:rFonts w:ascii="Cambria Math" w:hAnsi="Cambria Math"/>
                    <w:i/>
                  </w:rPr>
                </m:ctrlPr>
              </m:accPr>
              <m:e>
                <m:r>
                  <w:rPr>
                    <w:rFonts w:ascii="Cambria Math" w:hAnsi="Cambria Math"/>
                  </w:rPr>
                  <m:t>σ</m:t>
                </m:r>
              </m:e>
            </m:acc>
          </m:e>
          <m:sub>
            <m:r>
              <w:rPr>
                <w:rFonts w:ascii="Cambria Math" w:hAnsi="Cambria Math"/>
              </w:rPr>
              <m:t>p</m:t>
            </m:r>
          </m:sub>
          <m:sup>
            <m:r>
              <w:rPr>
                <w:rFonts w:ascii="Cambria Math" w:hAnsi="Cambria Math"/>
              </w:rPr>
              <m:t>2</m:t>
            </m:r>
          </m:sup>
        </m:sSubSup>
      </m:oMath>
      <w:r w:rsidRPr="00CC1B6A">
        <w:t xml:space="preserve"> to zero (see “h_s syntax.sps” script). In such cases, both the lower and upper bound of the Credibility Interval will equal the point estimate (i.e., </w:t>
      </w:r>
      <m:oMath>
        <m:r>
          <w:rPr>
            <w:rFonts w:ascii="Cambria Math" w:hAnsi="Cambria Math"/>
          </w:rPr>
          <m:t xml:space="preserve">95% </m:t>
        </m:r>
        <m:r>
          <m:rPr>
            <m:sty m:val="p"/>
          </m:rPr>
          <w:rPr>
            <w:rFonts w:ascii="Cambria Math" w:hAnsi="Cambria Math"/>
          </w:rPr>
          <m:t>CR</m:t>
        </m:r>
        <m:r>
          <w:rPr>
            <w:rFonts w:ascii="Cambria Math" w:hAnsi="Cambria Math"/>
          </w:rPr>
          <m:t xml:space="preserve">= </m:t>
        </m:r>
        <m:acc>
          <m:accPr>
            <m:chr m:val="̅"/>
            <m:ctrlPr>
              <w:rPr>
                <w:rFonts w:ascii="Cambria Math" w:hAnsi="Cambria Math"/>
              </w:rPr>
            </m:ctrlPr>
          </m:accPr>
          <m:e>
            <m:r>
              <w:rPr>
                <w:rFonts w:ascii="Cambria Math" w:hAnsi="Cambria Math"/>
              </w:rPr>
              <m:t>r</m:t>
            </m:r>
          </m:e>
        </m:acc>
        <m:r>
          <w:rPr>
            <w:rFonts w:ascii="Cambria Math" w:hAnsi="Cambria Math"/>
          </w:rPr>
          <m:t xml:space="preserve"> ±1.96×0=[</m:t>
        </m:r>
        <m:acc>
          <m:accPr>
            <m:chr m:val="̅"/>
            <m:ctrlPr>
              <w:rPr>
                <w:rFonts w:ascii="Cambria Math" w:hAnsi="Cambria Math"/>
              </w:rPr>
            </m:ctrlPr>
          </m:accPr>
          <m:e>
            <m:r>
              <w:rPr>
                <w:rFonts w:ascii="Cambria Math" w:hAnsi="Cambria Math"/>
              </w:rPr>
              <m:t>r</m:t>
            </m:r>
          </m:e>
        </m:acc>
        <m:r>
          <w:rPr>
            <w:rFonts w:ascii="Cambria Math" w:hAnsi="Cambria Math"/>
          </w:rPr>
          <m:t xml:space="preserve">,  </m:t>
        </m:r>
        <m:acc>
          <m:accPr>
            <m:chr m:val="̅"/>
            <m:ctrlPr>
              <w:rPr>
                <w:rFonts w:ascii="Cambria Math" w:hAnsi="Cambria Math"/>
              </w:rPr>
            </m:ctrlPr>
          </m:accPr>
          <m:e>
            <m:r>
              <w:rPr>
                <w:rFonts w:ascii="Cambria Math" w:hAnsi="Cambria Math"/>
              </w:rPr>
              <m:t>r</m:t>
            </m:r>
          </m:e>
        </m:acc>
        <m:r>
          <w:rPr>
            <w:rFonts w:ascii="Cambria Math" w:hAnsi="Cambria Math"/>
          </w:rPr>
          <m:t>]</m:t>
        </m:r>
      </m:oMath>
      <w:r w:rsidRPr="00CC1B6A">
        <w:t>). This would represent an important case in which Confidence Intervals are both wider than Credibility Intervals, contrary to Vahey et al.'s (2015) claim and indeed where the Credibility Intervals are implausibly narrow (i.e., 0).</w:t>
      </w:r>
    </w:p>
    <w:p w14:paraId="1FB770AC" w14:textId="4E989C59" w:rsidR="00056983" w:rsidRPr="00993E5C" w:rsidRDefault="00056983" w:rsidP="00993E5C">
      <w:pPr>
        <w:ind w:firstLine="0"/>
        <w:jc w:val="left"/>
        <w:rPr>
          <w:b/>
          <w:bCs/>
        </w:rPr>
        <w:sectPr w:rsidR="00056983" w:rsidRPr="00993E5C" w:rsidSect="00442CE7">
          <w:pgSz w:w="11900" w:h="16840"/>
          <w:pgMar w:top="1440" w:right="1440" w:bottom="1440" w:left="1440" w:header="709" w:footer="709" w:gutter="0"/>
          <w:cols w:num="2" w:space="340"/>
          <w:titlePg/>
          <w:docGrid w:linePitch="360"/>
          <w15:footnoteColumns w:val="1"/>
        </w:sectPr>
      </w:pPr>
    </w:p>
    <w:p w14:paraId="5B6A368C" w14:textId="77777777" w:rsidR="009B4A0E" w:rsidRPr="00DC0FA7" w:rsidRDefault="00000000" w:rsidP="004219D9">
      <w:pPr>
        <w:ind w:firstLine="0"/>
        <w:jc w:val="left"/>
        <w:rPr>
          <w:rFonts w:eastAsia="MS Mincho"/>
          <w:color w:val="auto"/>
          <w:kern w:val="2"/>
          <w:lang w:val=""/>
          <w14:ligatures w14:val="standardContextual"/>
        </w:rPr>
      </w:pPr>
      <w:r w:rsidRPr="00DC0FA7">
        <w:rPr>
          <w:rFonts w:eastAsia="MS Mincho"/>
          <w:b/>
          <w:bCs/>
          <w:color w:val="auto"/>
          <w:kern w:val="2"/>
          <w:lang w:val=""/>
          <w14:ligatures w14:val="standardContextual"/>
        </w:rPr>
        <w:lastRenderedPageBreak/>
        <w:t xml:space="preserve">Table </w:t>
      </w:r>
      <w:r w:rsidR="00BD4CA2" w:rsidRPr="00DC0FA7">
        <w:rPr>
          <w:rFonts w:eastAsia="MS Mincho"/>
          <w:b/>
          <w:bCs/>
          <w:color w:val="auto"/>
          <w:kern w:val="2"/>
          <w:lang w:val=""/>
          <w14:ligatures w14:val="standardContextual"/>
        </w:rPr>
        <w:t>3</w:t>
      </w:r>
      <w:r w:rsidRPr="00DC0FA7">
        <w:rPr>
          <w:rFonts w:eastAsia="MS Mincho"/>
          <w:b/>
          <w:bCs/>
          <w:color w:val="auto"/>
          <w:kern w:val="2"/>
          <w:lang w:val=""/>
          <w14:ligatures w14:val="standardContextual"/>
        </w:rPr>
        <w:t xml:space="preserve">. </w:t>
      </w:r>
      <w:r w:rsidRPr="00DC0FA7">
        <w:rPr>
          <w:rFonts w:eastAsia="MS Mincho"/>
          <w:color w:val="auto"/>
          <w:kern w:val="2"/>
          <w:lang w:val=""/>
          <w14:ligatures w14:val="standardContextual"/>
        </w:rPr>
        <w:t>Verification attempts for the meta-analysis</w:t>
      </w:r>
    </w:p>
    <w:p w14:paraId="14BB7E51" w14:textId="77777777" w:rsidR="004219D9" w:rsidRPr="004219D9" w:rsidRDefault="004219D9" w:rsidP="004219D9">
      <w:pPr>
        <w:ind w:firstLine="0"/>
        <w:jc w:val="left"/>
        <w:rPr>
          <w:rFonts w:eastAsia="MS Mincho"/>
          <w:b/>
          <w:bCs/>
          <w:color w:val="auto"/>
          <w:kern w:val="2"/>
          <w:sz w:val="16"/>
          <w:szCs w:val="16"/>
          <w:lang w:val=""/>
          <w14:ligatures w14:val="standardContextual"/>
        </w:rPr>
      </w:pPr>
    </w:p>
    <w:tbl>
      <w:tblPr>
        <w:tblStyle w:val="TableGrid1"/>
        <w:tblW w:w="0" w:type="auto"/>
        <w:jc w:val="center"/>
        <w:tblLook w:val="04A0" w:firstRow="1" w:lastRow="0" w:firstColumn="1" w:lastColumn="0" w:noHBand="0" w:noVBand="1"/>
      </w:tblPr>
      <w:tblGrid>
        <w:gridCol w:w="1080"/>
        <w:gridCol w:w="3420"/>
        <w:gridCol w:w="4332"/>
        <w:gridCol w:w="706"/>
        <w:gridCol w:w="706"/>
        <w:gridCol w:w="706"/>
        <w:gridCol w:w="706"/>
        <w:gridCol w:w="706"/>
        <w:gridCol w:w="706"/>
        <w:gridCol w:w="706"/>
      </w:tblGrid>
      <w:tr w:rsidR="00AA6907" w14:paraId="5C785B6C" w14:textId="77777777" w:rsidTr="002D69CC">
        <w:trPr>
          <w:trHeight w:val="269"/>
          <w:jc w:val="center"/>
        </w:trPr>
        <w:tc>
          <w:tcPr>
            <w:tcW w:w="1080" w:type="dxa"/>
            <w:tcBorders>
              <w:top w:val="single" w:sz="4" w:space="0" w:color="auto"/>
              <w:left w:val="nil"/>
              <w:bottom w:val="nil"/>
              <w:right w:val="nil"/>
            </w:tcBorders>
            <w:vAlign w:val="center"/>
          </w:tcPr>
          <w:p w14:paraId="77E99AA7" w14:textId="77777777" w:rsidR="009B4A0E" w:rsidRPr="009B4A0E" w:rsidRDefault="009B4A0E" w:rsidP="009B4A0E">
            <w:pPr>
              <w:ind w:firstLine="0"/>
              <w:jc w:val="left"/>
              <w:rPr>
                <w:rFonts w:eastAsia="MS Mincho"/>
                <w:color w:val="auto"/>
                <w:sz w:val="16"/>
                <w:szCs w:val="16"/>
              </w:rPr>
            </w:pPr>
          </w:p>
        </w:tc>
        <w:tc>
          <w:tcPr>
            <w:tcW w:w="3420" w:type="dxa"/>
            <w:tcBorders>
              <w:top w:val="single" w:sz="4" w:space="0" w:color="auto"/>
              <w:left w:val="nil"/>
              <w:bottom w:val="nil"/>
              <w:right w:val="nil"/>
            </w:tcBorders>
            <w:vAlign w:val="center"/>
          </w:tcPr>
          <w:p w14:paraId="57DEDF78" w14:textId="77777777" w:rsidR="009B4A0E" w:rsidRPr="009B4A0E" w:rsidRDefault="009B4A0E" w:rsidP="009B4A0E">
            <w:pPr>
              <w:ind w:firstLine="0"/>
              <w:jc w:val="left"/>
              <w:rPr>
                <w:rFonts w:eastAsia="MS Mincho"/>
                <w:color w:val="auto"/>
                <w:sz w:val="16"/>
                <w:szCs w:val="16"/>
              </w:rPr>
            </w:pPr>
          </w:p>
        </w:tc>
        <w:tc>
          <w:tcPr>
            <w:tcW w:w="4332" w:type="dxa"/>
            <w:tcBorders>
              <w:top w:val="single" w:sz="4" w:space="0" w:color="auto"/>
              <w:left w:val="nil"/>
              <w:bottom w:val="nil"/>
              <w:right w:val="nil"/>
            </w:tcBorders>
            <w:vAlign w:val="center"/>
          </w:tcPr>
          <w:p w14:paraId="1C2FE087" w14:textId="77777777" w:rsidR="009B4A0E" w:rsidRPr="009B4A0E" w:rsidRDefault="009B4A0E" w:rsidP="009B4A0E">
            <w:pPr>
              <w:ind w:firstLine="0"/>
              <w:jc w:val="left"/>
              <w:rPr>
                <w:rFonts w:eastAsia="MS Mincho"/>
                <w:color w:val="auto"/>
                <w:sz w:val="16"/>
                <w:szCs w:val="16"/>
              </w:rPr>
            </w:pPr>
          </w:p>
        </w:tc>
        <w:tc>
          <w:tcPr>
            <w:tcW w:w="706" w:type="dxa"/>
            <w:tcBorders>
              <w:top w:val="single" w:sz="4" w:space="0" w:color="auto"/>
              <w:left w:val="nil"/>
              <w:bottom w:val="nil"/>
              <w:right w:val="nil"/>
            </w:tcBorders>
            <w:noWrap/>
            <w:vAlign w:val="center"/>
          </w:tcPr>
          <w:p w14:paraId="73C55E07" w14:textId="77777777" w:rsidR="009B4A0E" w:rsidRPr="009B4A0E" w:rsidRDefault="009B4A0E" w:rsidP="009B4A0E">
            <w:pPr>
              <w:ind w:firstLine="0"/>
              <w:jc w:val="center"/>
              <w:rPr>
                <w:rFonts w:eastAsia="MS Mincho"/>
                <w:color w:val="auto"/>
                <w:sz w:val="16"/>
                <w:szCs w:val="16"/>
              </w:rPr>
            </w:pPr>
          </w:p>
        </w:tc>
        <w:tc>
          <w:tcPr>
            <w:tcW w:w="1412" w:type="dxa"/>
            <w:gridSpan w:val="2"/>
            <w:tcBorders>
              <w:top w:val="single" w:sz="4" w:space="0" w:color="auto"/>
              <w:left w:val="nil"/>
              <w:bottom w:val="single" w:sz="4" w:space="0" w:color="auto"/>
              <w:right w:val="nil"/>
            </w:tcBorders>
            <w:noWrap/>
            <w:vAlign w:val="center"/>
          </w:tcPr>
          <w:p w14:paraId="75B51B37" w14:textId="77777777" w:rsidR="009B4A0E" w:rsidRPr="009B4A0E" w:rsidRDefault="00000000" w:rsidP="009B4A0E">
            <w:pPr>
              <w:ind w:firstLine="0"/>
              <w:jc w:val="center"/>
              <w:rPr>
                <w:rFonts w:eastAsia="MS Mincho"/>
                <w:color w:val="auto"/>
                <w:sz w:val="16"/>
                <w:szCs w:val="16"/>
              </w:rPr>
            </w:pPr>
            <w:r w:rsidRPr="009B4A0E">
              <w:rPr>
                <w:rFonts w:eastAsia="MS Mincho"/>
                <w:color w:val="auto"/>
                <w:sz w:val="16"/>
                <w:szCs w:val="16"/>
              </w:rPr>
              <w:t>95% CI</w:t>
            </w:r>
          </w:p>
        </w:tc>
        <w:tc>
          <w:tcPr>
            <w:tcW w:w="1412" w:type="dxa"/>
            <w:gridSpan w:val="2"/>
            <w:tcBorders>
              <w:top w:val="single" w:sz="4" w:space="0" w:color="auto"/>
              <w:left w:val="nil"/>
              <w:bottom w:val="single" w:sz="4" w:space="0" w:color="auto"/>
              <w:right w:val="nil"/>
            </w:tcBorders>
            <w:noWrap/>
            <w:vAlign w:val="center"/>
          </w:tcPr>
          <w:p w14:paraId="3FE203BE" w14:textId="77777777" w:rsidR="009B4A0E" w:rsidRPr="009B4A0E" w:rsidRDefault="00000000" w:rsidP="009B4A0E">
            <w:pPr>
              <w:ind w:firstLine="0"/>
              <w:jc w:val="center"/>
              <w:rPr>
                <w:rFonts w:eastAsia="MS Mincho"/>
                <w:color w:val="auto"/>
                <w:sz w:val="16"/>
                <w:szCs w:val="16"/>
              </w:rPr>
            </w:pPr>
            <w:r w:rsidRPr="009B4A0E">
              <w:rPr>
                <w:rFonts w:eastAsia="MS Mincho"/>
                <w:color w:val="auto"/>
                <w:sz w:val="16"/>
                <w:szCs w:val="16"/>
              </w:rPr>
              <w:t>95% CR</w:t>
            </w:r>
          </w:p>
        </w:tc>
        <w:tc>
          <w:tcPr>
            <w:tcW w:w="1412" w:type="dxa"/>
            <w:gridSpan w:val="2"/>
            <w:tcBorders>
              <w:top w:val="single" w:sz="4" w:space="0" w:color="auto"/>
              <w:left w:val="nil"/>
              <w:bottom w:val="single" w:sz="4" w:space="0" w:color="auto"/>
              <w:right w:val="nil"/>
            </w:tcBorders>
            <w:vAlign w:val="center"/>
          </w:tcPr>
          <w:p w14:paraId="5CB6661D" w14:textId="77777777" w:rsidR="009B4A0E" w:rsidRPr="009B4A0E" w:rsidRDefault="00000000" w:rsidP="009B4A0E">
            <w:pPr>
              <w:ind w:firstLine="0"/>
              <w:jc w:val="center"/>
              <w:rPr>
                <w:rFonts w:eastAsia="MS Mincho"/>
                <w:color w:val="auto"/>
                <w:sz w:val="16"/>
                <w:szCs w:val="16"/>
              </w:rPr>
            </w:pPr>
            <w:r w:rsidRPr="009B4A0E">
              <w:rPr>
                <w:rFonts w:eastAsia="MS Mincho"/>
                <w:color w:val="auto"/>
                <w:sz w:val="16"/>
                <w:szCs w:val="16"/>
              </w:rPr>
              <w:t>95% PI</w:t>
            </w:r>
          </w:p>
        </w:tc>
      </w:tr>
      <w:tr w:rsidR="00AA6907" w14:paraId="23B185AD" w14:textId="77777777" w:rsidTr="002D69CC">
        <w:trPr>
          <w:trHeight w:val="269"/>
          <w:jc w:val="center"/>
        </w:trPr>
        <w:tc>
          <w:tcPr>
            <w:tcW w:w="1080" w:type="dxa"/>
            <w:tcBorders>
              <w:top w:val="nil"/>
              <w:left w:val="nil"/>
              <w:bottom w:val="single" w:sz="4" w:space="0" w:color="auto"/>
              <w:right w:val="nil"/>
            </w:tcBorders>
            <w:vAlign w:val="center"/>
            <w:hideMark/>
          </w:tcPr>
          <w:p w14:paraId="105825DD" w14:textId="77777777" w:rsidR="009B4A0E" w:rsidRPr="009B4A0E" w:rsidRDefault="00000000" w:rsidP="009B4A0E">
            <w:pPr>
              <w:ind w:firstLine="0"/>
              <w:jc w:val="left"/>
              <w:rPr>
                <w:rFonts w:eastAsia="MS Mincho"/>
                <w:color w:val="auto"/>
                <w:sz w:val="16"/>
                <w:szCs w:val="16"/>
              </w:rPr>
            </w:pPr>
            <w:r>
              <w:rPr>
                <w:rFonts w:eastAsia="MS Mincho"/>
                <w:color w:val="auto"/>
                <w:sz w:val="16"/>
                <w:szCs w:val="16"/>
              </w:rPr>
              <w:t>Source</w:t>
            </w:r>
          </w:p>
        </w:tc>
        <w:tc>
          <w:tcPr>
            <w:tcW w:w="3420" w:type="dxa"/>
            <w:tcBorders>
              <w:top w:val="nil"/>
              <w:left w:val="nil"/>
              <w:bottom w:val="single" w:sz="4" w:space="0" w:color="auto"/>
              <w:right w:val="nil"/>
            </w:tcBorders>
            <w:vAlign w:val="center"/>
            <w:hideMark/>
          </w:tcPr>
          <w:p w14:paraId="20B14AC8" w14:textId="77777777" w:rsidR="009B4A0E" w:rsidRPr="009B4A0E" w:rsidRDefault="00000000" w:rsidP="009B4A0E">
            <w:pPr>
              <w:ind w:firstLine="0"/>
              <w:jc w:val="left"/>
              <w:rPr>
                <w:rFonts w:eastAsia="MS Mincho"/>
                <w:color w:val="auto"/>
                <w:sz w:val="16"/>
                <w:szCs w:val="16"/>
              </w:rPr>
            </w:pPr>
            <w:r w:rsidRPr="009B4A0E">
              <w:rPr>
                <w:rFonts w:eastAsia="MS Mincho"/>
                <w:color w:val="auto"/>
                <w:sz w:val="16"/>
                <w:szCs w:val="16"/>
              </w:rPr>
              <w:t>Implementation</w:t>
            </w:r>
          </w:p>
        </w:tc>
        <w:tc>
          <w:tcPr>
            <w:tcW w:w="4332" w:type="dxa"/>
            <w:tcBorders>
              <w:top w:val="nil"/>
              <w:left w:val="nil"/>
              <w:bottom w:val="single" w:sz="4" w:space="0" w:color="auto"/>
              <w:right w:val="nil"/>
            </w:tcBorders>
            <w:vAlign w:val="center"/>
            <w:hideMark/>
          </w:tcPr>
          <w:p w14:paraId="4C8E96AC" w14:textId="77777777" w:rsidR="009B4A0E" w:rsidRPr="009B4A0E" w:rsidRDefault="00000000" w:rsidP="009B4A0E">
            <w:pPr>
              <w:ind w:firstLine="0"/>
              <w:jc w:val="left"/>
              <w:rPr>
                <w:rFonts w:eastAsia="MS Mincho"/>
                <w:color w:val="auto"/>
                <w:sz w:val="16"/>
                <w:szCs w:val="16"/>
              </w:rPr>
            </w:pPr>
            <w:r w:rsidRPr="009B4A0E">
              <w:rPr>
                <w:rFonts w:eastAsia="MS Mincho"/>
                <w:color w:val="auto"/>
                <w:sz w:val="16"/>
                <w:szCs w:val="16"/>
              </w:rPr>
              <w:t>Modifications from the original code</w:t>
            </w:r>
          </w:p>
        </w:tc>
        <w:tc>
          <w:tcPr>
            <w:tcW w:w="706" w:type="dxa"/>
            <w:tcBorders>
              <w:top w:val="nil"/>
              <w:left w:val="nil"/>
              <w:bottom w:val="single" w:sz="4" w:space="0" w:color="auto"/>
              <w:right w:val="nil"/>
            </w:tcBorders>
            <w:noWrap/>
            <w:vAlign w:val="center"/>
            <w:hideMark/>
          </w:tcPr>
          <w:p w14:paraId="15373148" w14:textId="77777777" w:rsidR="009B4A0E" w:rsidRPr="009B4A0E" w:rsidRDefault="00000000" w:rsidP="009B4A0E">
            <w:pPr>
              <w:ind w:firstLine="0"/>
              <w:jc w:val="center"/>
              <w:rPr>
                <w:rFonts w:eastAsia="MS Mincho"/>
                <w:color w:val="auto"/>
                <w:sz w:val="16"/>
                <w:szCs w:val="16"/>
              </w:rPr>
            </w:pPr>
            <m:oMathPara>
              <m:oMath>
                <m:acc>
                  <m:accPr>
                    <m:chr m:val="̅"/>
                    <m:ctrlPr>
                      <w:rPr>
                        <w:rFonts w:ascii="Cambria Math" w:eastAsia="MS Mincho" w:hAnsi="Cambria Math"/>
                        <w:color w:val="auto"/>
                        <w:sz w:val="16"/>
                        <w:szCs w:val="16"/>
                      </w:rPr>
                    </m:ctrlPr>
                  </m:accPr>
                  <m:e>
                    <m:r>
                      <w:rPr>
                        <w:rFonts w:ascii="Cambria Math" w:eastAsia="MS Mincho" w:hAnsi="Cambria Math"/>
                        <w:color w:val="auto"/>
                        <w:sz w:val="16"/>
                        <w:szCs w:val="16"/>
                      </w:rPr>
                      <m:t>r</m:t>
                    </m:r>
                  </m:e>
                </m:acc>
              </m:oMath>
            </m:oMathPara>
          </w:p>
        </w:tc>
        <w:tc>
          <w:tcPr>
            <w:tcW w:w="706" w:type="dxa"/>
            <w:tcBorders>
              <w:top w:val="single" w:sz="4" w:space="0" w:color="auto"/>
              <w:left w:val="nil"/>
              <w:bottom w:val="single" w:sz="4" w:space="0" w:color="auto"/>
              <w:right w:val="nil"/>
            </w:tcBorders>
            <w:noWrap/>
            <w:vAlign w:val="center"/>
            <w:hideMark/>
          </w:tcPr>
          <w:p w14:paraId="016A671C" w14:textId="77777777" w:rsidR="009B4A0E" w:rsidRPr="009B4A0E" w:rsidRDefault="00000000" w:rsidP="009B4A0E">
            <w:pPr>
              <w:ind w:firstLine="0"/>
              <w:jc w:val="center"/>
              <w:rPr>
                <w:rFonts w:eastAsia="MS Mincho"/>
                <w:color w:val="auto"/>
                <w:sz w:val="16"/>
                <w:szCs w:val="16"/>
              </w:rPr>
            </w:pPr>
            <w:r w:rsidRPr="009B4A0E">
              <w:rPr>
                <w:rFonts w:eastAsia="MS Mincho"/>
                <w:color w:val="auto"/>
                <w:sz w:val="16"/>
                <w:szCs w:val="16"/>
              </w:rPr>
              <w:t>Lower</w:t>
            </w:r>
          </w:p>
        </w:tc>
        <w:tc>
          <w:tcPr>
            <w:tcW w:w="706" w:type="dxa"/>
            <w:tcBorders>
              <w:top w:val="single" w:sz="4" w:space="0" w:color="auto"/>
              <w:left w:val="nil"/>
              <w:bottom w:val="single" w:sz="4" w:space="0" w:color="auto"/>
              <w:right w:val="nil"/>
            </w:tcBorders>
            <w:noWrap/>
            <w:vAlign w:val="center"/>
            <w:hideMark/>
          </w:tcPr>
          <w:p w14:paraId="6A024961" w14:textId="77777777" w:rsidR="009B4A0E" w:rsidRPr="009B4A0E" w:rsidRDefault="00000000" w:rsidP="009B4A0E">
            <w:pPr>
              <w:ind w:firstLine="0"/>
              <w:jc w:val="center"/>
              <w:rPr>
                <w:rFonts w:eastAsia="MS Mincho"/>
                <w:color w:val="auto"/>
                <w:sz w:val="16"/>
                <w:szCs w:val="16"/>
              </w:rPr>
            </w:pPr>
            <w:r w:rsidRPr="009B4A0E">
              <w:rPr>
                <w:rFonts w:eastAsia="MS Mincho"/>
                <w:color w:val="auto"/>
                <w:sz w:val="16"/>
                <w:szCs w:val="16"/>
              </w:rPr>
              <w:t>Upper</w:t>
            </w:r>
          </w:p>
        </w:tc>
        <w:tc>
          <w:tcPr>
            <w:tcW w:w="706" w:type="dxa"/>
            <w:tcBorders>
              <w:top w:val="single" w:sz="4" w:space="0" w:color="auto"/>
              <w:left w:val="nil"/>
              <w:bottom w:val="single" w:sz="4" w:space="0" w:color="auto"/>
              <w:right w:val="nil"/>
            </w:tcBorders>
            <w:noWrap/>
            <w:vAlign w:val="center"/>
            <w:hideMark/>
          </w:tcPr>
          <w:p w14:paraId="74C5EE85" w14:textId="77777777" w:rsidR="009B4A0E" w:rsidRPr="009B4A0E" w:rsidRDefault="00000000" w:rsidP="009B4A0E">
            <w:pPr>
              <w:ind w:firstLine="0"/>
              <w:jc w:val="center"/>
              <w:rPr>
                <w:rFonts w:eastAsia="MS Mincho"/>
                <w:color w:val="auto"/>
                <w:sz w:val="16"/>
                <w:szCs w:val="16"/>
              </w:rPr>
            </w:pPr>
            <w:r w:rsidRPr="009B4A0E">
              <w:rPr>
                <w:rFonts w:eastAsia="MS Mincho"/>
                <w:color w:val="auto"/>
                <w:sz w:val="16"/>
                <w:szCs w:val="16"/>
              </w:rPr>
              <w:t>Lower</w:t>
            </w:r>
          </w:p>
        </w:tc>
        <w:tc>
          <w:tcPr>
            <w:tcW w:w="706" w:type="dxa"/>
            <w:tcBorders>
              <w:top w:val="single" w:sz="4" w:space="0" w:color="auto"/>
              <w:left w:val="nil"/>
              <w:bottom w:val="single" w:sz="4" w:space="0" w:color="auto"/>
              <w:right w:val="nil"/>
            </w:tcBorders>
            <w:noWrap/>
            <w:vAlign w:val="center"/>
            <w:hideMark/>
          </w:tcPr>
          <w:p w14:paraId="685C5947" w14:textId="77777777" w:rsidR="009B4A0E" w:rsidRPr="009B4A0E" w:rsidRDefault="00000000" w:rsidP="009B4A0E">
            <w:pPr>
              <w:ind w:firstLine="0"/>
              <w:jc w:val="center"/>
              <w:rPr>
                <w:rFonts w:eastAsia="MS Mincho"/>
                <w:color w:val="auto"/>
                <w:sz w:val="16"/>
                <w:szCs w:val="16"/>
              </w:rPr>
            </w:pPr>
            <w:r w:rsidRPr="009B4A0E">
              <w:rPr>
                <w:rFonts w:eastAsia="MS Mincho"/>
                <w:color w:val="auto"/>
                <w:sz w:val="16"/>
                <w:szCs w:val="16"/>
              </w:rPr>
              <w:t>Upper</w:t>
            </w:r>
          </w:p>
        </w:tc>
        <w:tc>
          <w:tcPr>
            <w:tcW w:w="706" w:type="dxa"/>
            <w:tcBorders>
              <w:top w:val="single" w:sz="4" w:space="0" w:color="auto"/>
              <w:left w:val="nil"/>
              <w:bottom w:val="single" w:sz="4" w:space="0" w:color="auto"/>
              <w:right w:val="nil"/>
            </w:tcBorders>
            <w:vAlign w:val="center"/>
          </w:tcPr>
          <w:p w14:paraId="39D9E776" w14:textId="77777777" w:rsidR="009B4A0E" w:rsidRPr="009B4A0E" w:rsidRDefault="00000000" w:rsidP="009B4A0E">
            <w:pPr>
              <w:ind w:firstLine="0"/>
              <w:jc w:val="center"/>
              <w:rPr>
                <w:rFonts w:eastAsia="MS Mincho"/>
                <w:color w:val="auto"/>
                <w:sz w:val="16"/>
                <w:szCs w:val="16"/>
              </w:rPr>
            </w:pPr>
            <w:r w:rsidRPr="009B4A0E">
              <w:rPr>
                <w:rFonts w:eastAsia="MS Mincho"/>
                <w:color w:val="auto"/>
                <w:sz w:val="16"/>
                <w:szCs w:val="16"/>
              </w:rPr>
              <w:t>Lower</w:t>
            </w:r>
          </w:p>
        </w:tc>
        <w:tc>
          <w:tcPr>
            <w:tcW w:w="706" w:type="dxa"/>
            <w:tcBorders>
              <w:top w:val="single" w:sz="4" w:space="0" w:color="auto"/>
              <w:left w:val="nil"/>
              <w:bottom w:val="single" w:sz="4" w:space="0" w:color="auto"/>
              <w:right w:val="nil"/>
            </w:tcBorders>
            <w:vAlign w:val="center"/>
          </w:tcPr>
          <w:p w14:paraId="77917E91" w14:textId="77777777" w:rsidR="009B4A0E" w:rsidRPr="009B4A0E" w:rsidRDefault="00000000" w:rsidP="009B4A0E">
            <w:pPr>
              <w:ind w:firstLine="0"/>
              <w:jc w:val="center"/>
              <w:rPr>
                <w:rFonts w:eastAsia="MS Mincho"/>
                <w:color w:val="auto"/>
                <w:sz w:val="16"/>
                <w:szCs w:val="16"/>
              </w:rPr>
            </w:pPr>
            <w:r w:rsidRPr="009B4A0E">
              <w:rPr>
                <w:rFonts w:eastAsia="MS Mincho"/>
                <w:color w:val="auto"/>
                <w:sz w:val="16"/>
                <w:szCs w:val="16"/>
              </w:rPr>
              <w:t>Upper</w:t>
            </w:r>
          </w:p>
        </w:tc>
      </w:tr>
      <w:tr w:rsidR="00AA6907" w14:paraId="26151E18" w14:textId="77777777" w:rsidTr="004219D9">
        <w:trPr>
          <w:trHeight w:val="806"/>
          <w:jc w:val="center"/>
        </w:trPr>
        <w:tc>
          <w:tcPr>
            <w:tcW w:w="1080" w:type="dxa"/>
            <w:tcBorders>
              <w:top w:val="single" w:sz="4" w:space="0" w:color="auto"/>
              <w:left w:val="nil"/>
              <w:bottom w:val="nil"/>
              <w:right w:val="nil"/>
            </w:tcBorders>
            <w:vAlign w:val="center"/>
            <w:hideMark/>
          </w:tcPr>
          <w:p w14:paraId="6C620135" w14:textId="77777777" w:rsidR="009B4A0E" w:rsidRPr="009B4A0E" w:rsidRDefault="00000000" w:rsidP="009B4A0E">
            <w:pPr>
              <w:ind w:firstLine="0"/>
              <w:jc w:val="left"/>
              <w:rPr>
                <w:rFonts w:eastAsia="MS Mincho"/>
                <w:color w:val="auto"/>
                <w:sz w:val="16"/>
                <w:szCs w:val="16"/>
              </w:rPr>
            </w:pPr>
            <w:r w:rsidRPr="009B4A0E">
              <w:rPr>
                <w:rFonts w:eastAsia="MS Mincho"/>
                <w:color w:val="auto"/>
                <w:sz w:val="16"/>
                <w:szCs w:val="16"/>
              </w:rPr>
              <w:t>Vahey et al. (2015)</w:t>
            </w:r>
          </w:p>
        </w:tc>
        <w:tc>
          <w:tcPr>
            <w:tcW w:w="3420" w:type="dxa"/>
            <w:tcBorders>
              <w:top w:val="single" w:sz="4" w:space="0" w:color="auto"/>
              <w:left w:val="nil"/>
              <w:bottom w:val="nil"/>
              <w:right w:val="nil"/>
            </w:tcBorders>
            <w:vAlign w:val="center"/>
            <w:hideMark/>
          </w:tcPr>
          <w:p w14:paraId="06D53369" w14:textId="77777777" w:rsidR="009B4A0E" w:rsidRPr="009B4A0E" w:rsidRDefault="00000000" w:rsidP="009B4A0E">
            <w:pPr>
              <w:ind w:firstLine="0"/>
              <w:jc w:val="left"/>
              <w:rPr>
                <w:rFonts w:eastAsia="MS Mincho"/>
                <w:color w:val="auto"/>
                <w:sz w:val="16"/>
                <w:szCs w:val="16"/>
              </w:rPr>
            </w:pPr>
            <w:r w:rsidRPr="009B4A0E">
              <w:rPr>
                <w:rFonts w:eastAsia="MS Mincho"/>
                <w:color w:val="auto"/>
                <w:sz w:val="16"/>
                <w:szCs w:val="16"/>
              </w:rPr>
              <w:t xml:space="preserve">Vahey </w:t>
            </w:r>
            <w:r w:rsidR="003A52F0">
              <w:rPr>
                <w:rFonts w:eastAsia="MS Mincho"/>
                <w:color w:val="auto"/>
                <w:sz w:val="16"/>
                <w:szCs w:val="16"/>
              </w:rPr>
              <w:t xml:space="preserve">et al. (2015) state they followed </w:t>
            </w:r>
            <w:r w:rsidRPr="009B4A0E">
              <w:rPr>
                <w:rFonts w:eastAsia="MS Mincho"/>
                <w:color w:val="auto"/>
                <w:sz w:val="16"/>
                <w:szCs w:val="16"/>
              </w:rPr>
              <w:t>Field &amp; Gillett’s (2010)</w:t>
            </w:r>
            <w:r w:rsidR="004219D9">
              <w:rPr>
                <w:rFonts w:eastAsia="MS Mincho"/>
                <w:color w:val="auto"/>
                <w:sz w:val="16"/>
                <w:szCs w:val="16"/>
              </w:rPr>
              <w:t xml:space="preserve"> description of a Hunter and Schmidt style meta-analysis</w:t>
            </w:r>
          </w:p>
        </w:tc>
        <w:tc>
          <w:tcPr>
            <w:tcW w:w="4332" w:type="dxa"/>
            <w:tcBorders>
              <w:top w:val="single" w:sz="4" w:space="0" w:color="auto"/>
              <w:left w:val="nil"/>
              <w:bottom w:val="nil"/>
              <w:right w:val="nil"/>
            </w:tcBorders>
            <w:vAlign w:val="center"/>
            <w:hideMark/>
          </w:tcPr>
          <w:p w14:paraId="3C21FEDD" w14:textId="77777777" w:rsidR="009B4A0E" w:rsidRPr="009B4A0E" w:rsidRDefault="00000000" w:rsidP="009B4A0E">
            <w:pPr>
              <w:ind w:firstLine="0"/>
              <w:jc w:val="left"/>
              <w:rPr>
                <w:rFonts w:eastAsia="MS Mincho"/>
                <w:color w:val="auto"/>
                <w:sz w:val="16"/>
                <w:szCs w:val="16"/>
              </w:rPr>
            </w:pPr>
            <w:r w:rsidRPr="009B4A0E">
              <w:rPr>
                <w:rFonts w:eastAsia="MS Mincho"/>
                <w:color w:val="auto"/>
                <w:sz w:val="16"/>
                <w:szCs w:val="16"/>
              </w:rPr>
              <w:t>Unknown.</w:t>
            </w:r>
          </w:p>
        </w:tc>
        <w:tc>
          <w:tcPr>
            <w:tcW w:w="706" w:type="dxa"/>
            <w:tcBorders>
              <w:top w:val="single" w:sz="4" w:space="0" w:color="auto"/>
              <w:left w:val="nil"/>
              <w:bottom w:val="nil"/>
              <w:right w:val="nil"/>
            </w:tcBorders>
            <w:shd w:val="clear" w:color="auto" w:fill="D9D9D9"/>
            <w:noWrap/>
            <w:vAlign w:val="center"/>
            <w:hideMark/>
          </w:tcPr>
          <w:p w14:paraId="7F3B3534" w14:textId="77777777" w:rsidR="009B4A0E" w:rsidRPr="009B4A0E" w:rsidRDefault="00000000" w:rsidP="009B4A0E">
            <w:pPr>
              <w:ind w:firstLine="0"/>
              <w:jc w:val="center"/>
              <w:rPr>
                <w:rFonts w:eastAsia="MS Mincho"/>
                <w:color w:val="auto"/>
                <w:sz w:val="16"/>
                <w:szCs w:val="16"/>
              </w:rPr>
            </w:pPr>
            <w:r w:rsidRPr="009B4A0E">
              <w:rPr>
                <w:rFonts w:eastAsia="MS Mincho"/>
                <w:color w:val="auto"/>
                <w:sz w:val="16"/>
                <w:szCs w:val="16"/>
              </w:rPr>
              <w:t>.45</w:t>
            </w:r>
          </w:p>
        </w:tc>
        <w:tc>
          <w:tcPr>
            <w:tcW w:w="706" w:type="dxa"/>
            <w:tcBorders>
              <w:top w:val="single" w:sz="4" w:space="0" w:color="auto"/>
              <w:left w:val="nil"/>
              <w:bottom w:val="nil"/>
              <w:right w:val="nil"/>
            </w:tcBorders>
            <w:shd w:val="clear" w:color="auto" w:fill="D9D9D9"/>
            <w:noWrap/>
            <w:vAlign w:val="center"/>
            <w:hideMark/>
          </w:tcPr>
          <w:p w14:paraId="1D7512B0" w14:textId="77777777" w:rsidR="009B4A0E" w:rsidRPr="009B4A0E" w:rsidRDefault="00000000" w:rsidP="009B4A0E">
            <w:pPr>
              <w:ind w:firstLine="0"/>
              <w:jc w:val="center"/>
              <w:rPr>
                <w:rFonts w:eastAsia="MS Mincho"/>
                <w:color w:val="auto"/>
                <w:sz w:val="16"/>
                <w:szCs w:val="16"/>
              </w:rPr>
            </w:pPr>
            <w:r w:rsidRPr="009B4A0E">
              <w:rPr>
                <w:rFonts w:eastAsia="MS Mincho"/>
                <w:color w:val="auto"/>
                <w:sz w:val="16"/>
                <w:szCs w:val="16"/>
              </w:rPr>
              <w:t>.40</w:t>
            </w:r>
          </w:p>
        </w:tc>
        <w:tc>
          <w:tcPr>
            <w:tcW w:w="706" w:type="dxa"/>
            <w:tcBorders>
              <w:top w:val="single" w:sz="4" w:space="0" w:color="auto"/>
              <w:left w:val="nil"/>
              <w:bottom w:val="nil"/>
              <w:right w:val="nil"/>
            </w:tcBorders>
            <w:shd w:val="clear" w:color="auto" w:fill="D9D9D9"/>
            <w:noWrap/>
            <w:vAlign w:val="center"/>
            <w:hideMark/>
          </w:tcPr>
          <w:p w14:paraId="2F5ABB16" w14:textId="77777777" w:rsidR="009B4A0E" w:rsidRPr="009B4A0E" w:rsidRDefault="00000000" w:rsidP="009B4A0E">
            <w:pPr>
              <w:ind w:firstLine="0"/>
              <w:jc w:val="center"/>
              <w:rPr>
                <w:rFonts w:eastAsia="MS Mincho"/>
                <w:color w:val="auto"/>
                <w:sz w:val="16"/>
                <w:szCs w:val="16"/>
              </w:rPr>
            </w:pPr>
            <w:r w:rsidRPr="009B4A0E">
              <w:rPr>
                <w:rFonts w:eastAsia="MS Mincho"/>
                <w:color w:val="auto"/>
                <w:sz w:val="16"/>
                <w:szCs w:val="16"/>
              </w:rPr>
              <w:t>.54</w:t>
            </w:r>
          </w:p>
        </w:tc>
        <w:tc>
          <w:tcPr>
            <w:tcW w:w="706" w:type="dxa"/>
            <w:tcBorders>
              <w:top w:val="single" w:sz="4" w:space="0" w:color="auto"/>
              <w:left w:val="nil"/>
              <w:bottom w:val="nil"/>
              <w:right w:val="nil"/>
            </w:tcBorders>
            <w:shd w:val="clear" w:color="auto" w:fill="D9D9D9"/>
            <w:noWrap/>
            <w:vAlign w:val="center"/>
            <w:hideMark/>
          </w:tcPr>
          <w:p w14:paraId="46C809F7" w14:textId="77777777" w:rsidR="009B4A0E" w:rsidRPr="009B4A0E" w:rsidRDefault="00000000" w:rsidP="009B4A0E">
            <w:pPr>
              <w:ind w:firstLine="0"/>
              <w:jc w:val="center"/>
              <w:rPr>
                <w:rFonts w:eastAsia="MS Mincho"/>
                <w:color w:val="auto"/>
                <w:sz w:val="16"/>
                <w:szCs w:val="16"/>
              </w:rPr>
            </w:pPr>
            <w:r w:rsidRPr="009B4A0E">
              <w:rPr>
                <w:rFonts w:eastAsia="MS Mincho"/>
                <w:color w:val="auto"/>
                <w:sz w:val="16"/>
                <w:szCs w:val="16"/>
              </w:rPr>
              <w:t>.23</w:t>
            </w:r>
          </w:p>
        </w:tc>
        <w:tc>
          <w:tcPr>
            <w:tcW w:w="706" w:type="dxa"/>
            <w:tcBorders>
              <w:top w:val="single" w:sz="4" w:space="0" w:color="auto"/>
              <w:left w:val="nil"/>
              <w:bottom w:val="nil"/>
              <w:right w:val="nil"/>
            </w:tcBorders>
            <w:shd w:val="clear" w:color="auto" w:fill="D9D9D9"/>
            <w:noWrap/>
            <w:vAlign w:val="center"/>
            <w:hideMark/>
          </w:tcPr>
          <w:p w14:paraId="033333CF" w14:textId="77777777" w:rsidR="009B4A0E" w:rsidRPr="009B4A0E" w:rsidRDefault="00000000" w:rsidP="009B4A0E">
            <w:pPr>
              <w:ind w:firstLine="0"/>
              <w:jc w:val="center"/>
              <w:rPr>
                <w:rFonts w:eastAsia="MS Mincho"/>
                <w:color w:val="auto"/>
                <w:sz w:val="16"/>
                <w:szCs w:val="16"/>
              </w:rPr>
            </w:pPr>
            <w:r w:rsidRPr="009B4A0E">
              <w:rPr>
                <w:rFonts w:eastAsia="MS Mincho"/>
                <w:color w:val="auto"/>
                <w:sz w:val="16"/>
                <w:szCs w:val="16"/>
              </w:rPr>
              <w:t>.67</w:t>
            </w:r>
          </w:p>
        </w:tc>
        <w:tc>
          <w:tcPr>
            <w:tcW w:w="706" w:type="dxa"/>
            <w:tcBorders>
              <w:top w:val="single" w:sz="4" w:space="0" w:color="auto"/>
              <w:left w:val="nil"/>
              <w:bottom w:val="nil"/>
              <w:right w:val="nil"/>
            </w:tcBorders>
            <w:shd w:val="clear" w:color="auto" w:fill="D9D9D9"/>
            <w:vAlign w:val="center"/>
          </w:tcPr>
          <w:p w14:paraId="5E572EF7" w14:textId="77777777" w:rsidR="009B4A0E" w:rsidRPr="009B4A0E" w:rsidRDefault="00000000" w:rsidP="009B4A0E">
            <w:pPr>
              <w:ind w:firstLine="0"/>
              <w:jc w:val="center"/>
              <w:rPr>
                <w:rFonts w:eastAsia="MS Mincho"/>
                <w:color w:val="auto"/>
                <w:sz w:val="16"/>
                <w:szCs w:val="16"/>
              </w:rPr>
            </w:pPr>
            <w:r w:rsidRPr="009B4A0E">
              <w:rPr>
                <w:rFonts w:eastAsia="MS Mincho"/>
                <w:color w:val="auto"/>
                <w:sz w:val="16"/>
                <w:szCs w:val="16"/>
              </w:rPr>
              <w:t>-</w:t>
            </w:r>
          </w:p>
        </w:tc>
        <w:tc>
          <w:tcPr>
            <w:tcW w:w="706" w:type="dxa"/>
            <w:tcBorders>
              <w:top w:val="single" w:sz="4" w:space="0" w:color="auto"/>
              <w:left w:val="nil"/>
              <w:bottom w:val="nil"/>
              <w:right w:val="nil"/>
            </w:tcBorders>
            <w:shd w:val="clear" w:color="auto" w:fill="D9D9D9"/>
            <w:vAlign w:val="center"/>
          </w:tcPr>
          <w:p w14:paraId="51B19E5C" w14:textId="77777777" w:rsidR="009B4A0E" w:rsidRPr="009B4A0E" w:rsidRDefault="00000000" w:rsidP="009B4A0E">
            <w:pPr>
              <w:ind w:firstLine="0"/>
              <w:jc w:val="center"/>
              <w:rPr>
                <w:rFonts w:eastAsia="MS Mincho"/>
                <w:color w:val="auto"/>
                <w:sz w:val="16"/>
                <w:szCs w:val="16"/>
              </w:rPr>
            </w:pPr>
            <w:r w:rsidRPr="009B4A0E">
              <w:rPr>
                <w:rFonts w:eastAsia="MS Mincho"/>
                <w:color w:val="auto"/>
                <w:sz w:val="16"/>
                <w:szCs w:val="16"/>
              </w:rPr>
              <w:t>-</w:t>
            </w:r>
          </w:p>
        </w:tc>
      </w:tr>
      <w:tr w:rsidR="00AA6907" w14:paraId="4176787A" w14:textId="77777777" w:rsidTr="002D69CC">
        <w:trPr>
          <w:trHeight w:val="540"/>
          <w:jc w:val="center"/>
        </w:trPr>
        <w:tc>
          <w:tcPr>
            <w:tcW w:w="1080" w:type="dxa"/>
            <w:tcBorders>
              <w:top w:val="nil"/>
              <w:left w:val="nil"/>
              <w:bottom w:val="nil"/>
              <w:right w:val="nil"/>
            </w:tcBorders>
            <w:vAlign w:val="center"/>
            <w:hideMark/>
          </w:tcPr>
          <w:p w14:paraId="13303D10" w14:textId="77777777" w:rsidR="009B4A0E" w:rsidRPr="009B4A0E" w:rsidRDefault="00000000" w:rsidP="009B4A0E">
            <w:pPr>
              <w:ind w:firstLine="0"/>
              <w:jc w:val="left"/>
              <w:rPr>
                <w:rFonts w:eastAsia="MS Mincho"/>
                <w:color w:val="auto"/>
                <w:sz w:val="16"/>
                <w:szCs w:val="16"/>
              </w:rPr>
            </w:pPr>
            <w:r w:rsidRPr="009B4A0E">
              <w:rPr>
                <w:rFonts w:eastAsia="MS Mincho"/>
                <w:color w:val="auto"/>
                <w:sz w:val="16"/>
                <w:szCs w:val="16"/>
              </w:rPr>
              <w:t>Verification attempt 1</w:t>
            </w:r>
          </w:p>
        </w:tc>
        <w:tc>
          <w:tcPr>
            <w:tcW w:w="3420" w:type="dxa"/>
            <w:tcBorders>
              <w:top w:val="nil"/>
              <w:left w:val="nil"/>
              <w:bottom w:val="nil"/>
              <w:right w:val="nil"/>
            </w:tcBorders>
            <w:vAlign w:val="center"/>
            <w:hideMark/>
          </w:tcPr>
          <w:p w14:paraId="3CA34716" w14:textId="77777777" w:rsidR="009B4A0E" w:rsidRPr="009B4A0E" w:rsidRDefault="00000000" w:rsidP="009B4A0E">
            <w:pPr>
              <w:ind w:firstLine="0"/>
              <w:jc w:val="left"/>
              <w:rPr>
                <w:rFonts w:eastAsia="MS Mincho"/>
                <w:color w:val="auto"/>
                <w:sz w:val="16"/>
                <w:szCs w:val="16"/>
              </w:rPr>
            </w:pPr>
            <w:r w:rsidRPr="009B4A0E">
              <w:rPr>
                <w:rFonts w:eastAsia="MS Mincho"/>
                <w:color w:val="auto"/>
                <w:sz w:val="16"/>
                <w:szCs w:val="16"/>
              </w:rPr>
              <w:t>Hunter &amp; Schmidt method using Field &amp; Gillett’s (2010) “h_s_syntax.sps”</w:t>
            </w:r>
          </w:p>
        </w:tc>
        <w:tc>
          <w:tcPr>
            <w:tcW w:w="4332" w:type="dxa"/>
            <w:tcBorders>
              <w:top w:val="nil"/>
              <w:left w:val="nil"/>
              <w:bottom w:val="nil"/>
              <w:right w:val="nil"/>
            </w:tcBorders>
            <w:vAlign w:val="center"/>
            <w:hideMark/>
          </w:tcPr>
          <w:p w14:paraId="5EEADA47" w14:textId="77777777" w:rsidR="009B4A0E" w:rsidRPr="009B4A0E" w:rsidRDefault="00000000" w:rsidP="009B4A0E">
            <w:pPr>
              <w:ind w:firstLine="0"/>
              <w:jc w:val="left"/>
              <w:rPr>
                <w:rFonts w:eastAsia="MS Mincho"/>
                <w:color w:val="auto"/>
                <w:sz w:val="16"/>
                <w:szCs w:val="16"/>
              </w:rPr>
            </w:pPr>
            <w:r w:rsidRPr="009B4A0E">
              <w:rPr>
                <w:rFonts w:eastAsia="MS Mincho"/>
                <w:color w:val="auto"/>
                <w:sz w:val="16"/>
                <w:szCs w:val="16"/>
              </w:rPr>
              <w:t>All reliabilities were set to 0.</w:t>
            </w:r>
          </w:p>
        </w:tc>
        <w:tc>
          <w:tcPr>
            <w:tcW w:w="706" w:type="dxa"/>
            <w:tcBorders>
              <w:top w:val="nil"/>
              <w:left w:val="nil"/>
              <w:bottom w:val="nil"/>
              <w:right w:val="nil"/>
            </w:tcBorders>
            <w:noWrap/>
            <w:vAlign w:val="center"/>
            <w:hideMark/>
          </w:tcPr>
          <w:p w14:paraId="72C4B3FA" w14:textId="77777777" w:rsidR="009B4A0E" w:rsidRPr="009B4A0E" w:rsidRDefault="00000000" w:rsidP="009B4A0E">
            <w:pPr>
              <w:ind w:firstLine="0"/>
              <w:jc w:val="center"/>
              <w:rPr>
                <w:rFonts w:eastAsia="MS Mincho"/>
                <w:color w:val="auto"/>
                <w:sz w:val="16"/>
                <w:szCs w:val="16"/>
              </w:rPr>
            </w:pPr>
            <w:r w:rsidRPr="009B4A0E">
              <w:rPr>
                <w:rFonts w:eastAsia="MS Mincho"/>
                <w:color w:val="auto"/>
                <w:sz w:val="16"/>
                <w:szCs w:val="16"/>
              </w:rPr>
              <w:t>.47</w:t>
            </w:r>
          </w:p>
        </w:tc>
        <w:tc>
          <w:tcPr>
            <w:tcW w:w="706" w:type="dxa"/>
            <w:tcBorders>
              <w:top w:val="nil"/>
              <w:left w:val="nil"/>
              <w:bottom w:val="nil"/>
              <w:right w:val="nil"/>
            </w:tcBorders>
            <w:noWrap/>
            <w:vAlign w:val="center"/>
            <w:hideMark/>
          </w:tcPr>
          <w:p w14:paraId="7F396405" w14:textId="77777777" w:rsidR="009B4A0E" w:rsidRPr="009B4A0E" w:rsidRDefault="00000000" w:rsidP="009B4A0E">
            <w:pPr>
              <w:ind w:firstLine="0"/>
              <w:jc w:val="center"/>
              <w:rPr>
                <w:rFonts w:eastAsia="MS Mincho"/>
                <w:color w:val="auto"/>
                <w:sz w:val="16"/>
                <w:szCs w:val="16"/>
              </w:rPr>
            </w:pPr>
            <w:r w:rsidRPr="009B4A0E">
              <w:rPr>
                <w:rFonts w:eastAsia="MS Mincho"/>
                <w:color w:val="auto"/>
                <w:sz w:val="16"/>
                <w:szCs w:val="16"/>
              </w:rPr>
              <w:t>.20</w:t>
            </w:r>
          </w:p>
        </w:tc>
        <w:tc>
          <w:tcPr>
            <w:tcW w:w="706" w:type="dxa"/>
            <w:tcBorders>
              <w:top w:val="nil"/>
              <w:left w:val="nil"/>
              <w:bottom w:val="nil"/>
              <w:right w:val="nil"/>
            </w:tcBorders>
            <w:noWrap/>
            <w:vAlign w:val="center"/>
            <w:hideMark/>
          </w:tcPr>
          <w:p w14:paraId="57BF0ABA" w14:textId="77777777" w:rsidR="009B4A0E" w:rsidRPr="009B4A0E" w:rsidRDefault="00000000" w:rsidP="009B4A0E">
            <w:pPr>
              <w:ind w:firstLine="0"/>
              <w:jc w:val="center"/>
              <w:rPr>
                <w:rFonts w:eastAsia="MS Mincho"/>
                <w:color w:val="auto"/>
                <w:sz w:val="16"/>
                <w:szCs w:val="16"/>
              </w:rPr>
            </w:pPr>
            <w:r w:rsidRPr="009B4A0E">
              <w:rPr>
                <w:rFonts w:eastAsia="MS Mincho"/>
                <w:color w:val="auto"/>
                <w:sz w:val="16"/>
                <w:szCs w:val="16"/>
              </w:rPr>
              <w:t>.74</w:t>
            </w:r>
          </w:p>
        </w:tc>
        <w:tc>
          <w:tcPr>
            <w:tcW w:w="706" w:type="dxa"/>
            <w:tcBorders>
              <w:top w:val="nil"/>
              <w:left w:val="nil"/>
              <w:bottom w:val="nil"/>
              <w:right w:val="nil"/>
            </w:tcBorders>
            <w:noWrap/>
            <w:vAlign w:val="center"/>
            <w:hideMark/>
          </w:tcPr>
          <w:p w14:paraId="570B6599" w14:textId="77777777" w:rsidR="009B4A0E" w:rsidRPr="009B4A0E" w:rsidRDefault="00000000" w:rsidP="009B4A0E">
            <w:pPr>
              <w:ind w:firstLine="0"/>
              <w:jc w:val="center"/>
              <w:rPr>
                <w:rFonts w:eastAsia="MS Mincho"/>
                <w:color w:val="auto"/>
                <w:sz w:val="16"/>
                <w:szCs w:val="16"/>
              </w:rPr>
            </w:pPr>
            <w:r w:rsidRPr="009B4A0E">
              <w:rPr>
                <w:rFonts w:eastAsia="MS Mincho"/>
                <w:color w:val="auto"/>
                <w:sz w:val="16"/>
                <w:szCs w:val="16"/>
              </w:rPr>
              <w:t>.47</w:t>
            </w:r>
          </w:p>
        </w:tc>
        <w:tc>
          <w:tcPr>
            <w:tcW w:w="706" w:type="dxa"/>
            <w:tcBorders>
              <w:top w:val="nil"/>
              <w:left w:val="nil"/>
              <w:bottom w:val="nil"/>
              <w:right w:val="nil"/>
            </w:tcBorders>
            <w:noWrap/>
            <w:vAlign w:val="center"/>
            <w:hideMark/>
          </w:tcPr>
          <w:p w14:paraId="6B458B3A" w14:textId="77777777" w:rsidR="009B4A0E" w:rsidRPr="009B4A0E" w:rsidRDefault="00000000" w:rsidP="009B4A0E">
            <w:pPr>
              <w:ind w:firstLine="0"/>
              <w:jc w:val="center"/>
              <w:rPr>
                <w:rFonts w:eastAsia="MS Mincho"/>
                <w:color w:val="auto"/>
                <w:sz w:val="16"/>
                <w:szCs w:val="16"/>
              </w:rPr>
            </w:pPr>
            <w:r w:rsidRPr="009B4A0E">
              <w:rPr>
                <w:rFonts w:eastAsia="MS Mincho"/>
                <w:color w:val="auto"/>
                <w:sz w:val="16"/>
                <w:szCs w:val="16"/>
              </w:rPr>
              <w:t>.47</w:t>
            </w:r>
          </w:p>
        </w:tc>
        <w:tc>
          <w:tcPr>
            <w:tcW w:w="706" w:type="dxa"/>
            <w:tcBorders>
              <w:top w:val="nil"/>
              <w:left w:val="nil"/>
              <w:bottom w:val="nil"/>
              <w:right w:val="nil"/>
            </w:tcBorders>
            <w:vAlign w:val="center"/>
          </w:tcPr>
          <w:p w14:paraId="65FB1872" w14:textId="77777777" w:rsidR="009B4A0E" w:rsidRPr="009B4A0E" w:rsidRDefault="00000000" w:rsidP="009B4A0E">
            <w:pPr>
              <w:ind w:firstLine="0"/>
              <w:jc w:val="center"/>
              <w:rPr>
                <w:rFonts w:eastAsia="MS Mincho"/>
                <w:color w:val="auto"/>
                <w:sz w:val="16"/>
                <w:szCs w:val="16"/>
              </w:rPr>
            </w:pPr>
            <w:r w:rsidRPr="009B4A0E">
              <w:rPr>
                <w:rFonts w:eastAsia="MS Mincho"/>
                <w:color w:val="auto"/>
                <w:sz w:val="16"/>
                <w:szCs w:val="16"/>
              </w:rPr>
              <w:t>-</w:t>
            </w:r>
          </w:p>
        </w:tc>
        <w:tc>
          <w:tcPr>
            <w:tcW w:w="706" w:type="dxa"/>
            <w:tcBorders>
              <w:top w:val="nil"/>
              <w:left w:val="nil"/>
              <w:bottom w:val="nil"/>
              <w:right w:val="nil"/>
            </w:tcBorders>
            <w:vAlign w:val="center"/>
          </w:tcPr>
          <w:p w14:paraId="6CE5A84D" w14:textId="77777777" w:rsidR="009B4A0E" w:rsidRPr="009B4A0E" w:rsidRDefault="00000000" w:rsidP="009B4A0E">
            <w:pPr>
              <w:ind w:firstLine="0"/>
              <w:jc w:val="center"/>
              <w:rPr>
                <w:rFonts w:eastAsia="MS Mincho"/>
                <w:color w:val="auto"/>
                <w:sz w:val="16"/>
                <w:szCs w:val="16"/>
              </w:rPr>
            </w:pPr>
            <w:r w:rsidRPr="009B4A0E">
              <w:rPr>
                <w:rFonts w:eastAsia="MS Mincho"/>
                <w:color w:val="auto"/>
                <w:sz w:val="16"/>
                <w:szCs w:val="16"/>
              </w:rPr>
              <w:t>-</w:t>
            </w:r>
          </w:p>
        </w:tc>
      </w:tr>
      <w:tr w:rsidR="00AA6907" w14:paraId="7A91E0E7" w14:textId="77777777" w:rsidTr="000B19C6">
        <w:trPr>
          <w:trHeight w:val="549"/>
          <w:jc w:val="center"/>
        </w:trPr>
        <w:tc>
          <w:tcPr>
            <w:tcW w:w="1080" w:type="dxa"/>
            <w:tcBorders>
              <w:top w:val="nil"/>
              <w:left w:val="nil"/>
              <w:bottom w:val="nil"/>
              <w:right w:val="nil"/>
            </w:tcBorders>
            <w:vAlign w:val="center"/>
          </w:tcPr>
          <w:p w14:paraId="78F8A660" w14:textId="77777777" w:rsidR="000B19C6" w:rsidRPr="009B4A0E" w:rsidRDefault="00000000" w:rsidP="000B19C6">
            <w:pPr>
              <w:ind w:firstLine="0"/>
              <w:jc w:val="left"/>
              <w:rPr>
                <w:rFonts w:eastAsia="MS Mincho"/>
                <w:color w:val="auto"/>
                <w:sz w:val="16"/>
                <w:szCs w:val="16"/>
              </w:rPr>
            </w:pPr>
            <w:r w:rsidRPr="009B4A0E">
              <w:rPr>
                <w:rFonts w:eastAsia="MS Mincho"/>
                <w:color w:val="auto"/>
                <w:sz w:val="16"/>
                <w:szCs w:val="16"/>
              </w:rPr>
              <w:t xml:space="preserve">Verification attempt </w:t>
            </w:r>
            <w:r>
              <w:rPr>
                <w:rFonts w:eastAsia="MS Mincho"/>
                <w:color w:val="auto"/>
                <w:sz w:val="16"/>
                <w:szCs w:val="16"/>
              </w:rPr>
              <w:t>2</w:t>
            </w:r>
          </w:p>
        </w:tc>
        <w:tc>
          <w:tcPr>
            <w:tcW w:w="3420" w:type="dxa"/>
            <w:tcBorders>
              <w:top w:val="nil"/>
              <w:left w:val="nil"/>
              <w:bottom w:val="nil"/>
              <w:right w:val="nil"/>
            </w:tcBorders>
            <w:vAlign w:val="center"/>
            <w:hideMark/>
          </w:tcPr>
          <w:p w14:paraId="7613AAB5" w14:textId="77777777" w:rsidR="000B19C6" w:rsidRPr="00B26ABB" w:rsidRDefault="00000000" w:rsidP="000B19C6">
            <w:pPr>
              <w:ind w:firstLine="0"/>
              <w:jc w:val="left"/>
              <w:rPr>
                <w:rFonts w:eastAsia="MS Mincho"/>
                <w:color w:val="auto"/>
                <w:sz w:val="16"/>
                <w:szCs w:val="16"/>
              </w:rPr>
            </w:pPr>
            <w:r w:rsidRPr="00B26ABB">
              <w:rPr>
                <w:rFonts w:eastAsia="MS Mincho"/>
                <w:color w:val="auto"/>
                <w:sz w:val="16"/>
                <w:szCs w:val="16"/>
              </w:rPr>
              <w:t>Hunter &amp; Schmidt method using Field &amp; Gillett’s (2010) “Meta_Basic_r.sps” *</w:t>
            </w:r>
          </w:p>
        </w:tc>
        <w:tc>
          <w:tcPr>
            <w:tcW w:w="4332" w:type="dxa"/>
            <w:tcBorders>
              <w:top w:val="nil"/>
              <w:left w:val="nil"/>
              <w:bottom w:val="nil"/>
              <w:right w:val="nil"/>
            </w:tcBorders>
            <w:vAlign w:val="center"/>
            <w:hideMark/>
          </w:tcPr>
          <w:p w14:paraId="6B88C8EE" w14:textId="77777777" w:rsidR="000B19C6" w:rsidRPr="00B26ABB" w:rsidRDefault="00000000" w:rsidP="000B19C6">
            <w:pPr>
              <w:ind w:firstLine="0"/>
              <w:jc w:val="left"/>
              <w:rPr>
                <w:rFonts w:eastAsia="MS Mincho"/>
                <w:color w:val="auto"/>
                <w:sz w:val="16"/>
                <w:szCs w:val="16"/>
              </w:rPr>
            </w:pPr>
            <w:r w:rsidRPr="00B26ABB">
              <w:rPr>
                <w:rFonts w:eastAsia="MS Mincho"/>
                <w:color w:val="auto"/>
                <w:sz w:val="16"/>
                <w:szCs w:val="16"/>
              </w:rPr>
              <w:t>Set variance in population correlations to zero if it is negative so that CRs must be non-negative.</w:t>
            </w:r>
          </w:p>
        </w:tc>
        <w:tc>
          <w:tcPr>
            <w:tcW w:w="706" w:type="dxa"/>
            <w:tcBorders>
              <w:top w:val="nil"/>
              <w:left w:val="nil"/>
              <w:bottom w:val="nil"/>
              <w:right w:val="nil"/>
            </w:tcBorders>
            <w:shd w:val="clear" w:color="auto" w:fill="auto"/>
            <w:noWrap/>
            <w:vAlign w:val="center"/>
            <w:hideMark/>
          </w:tcPr>
          <w:p w14:paraId="799130F1" w14:textId="77777777" w:rsidR="000B19C6" w:rsidRPr="00B26ABB" w:rsidRDefault="00000000" w:rsidP="000B19C6">
            <w:pPr>
              <w:ind w:firstLine="0"/>
              <w:jc w:val="center"/>
              <w:rPr>
                <w:rFonts w:eastAsia="MS Mincho"/>
                <w:color w:val="auto"/>
                <w:sz w:val="16"/>
                <w:szCs w:val="16"/>
              </w:rPr>
            </w:pPr>
            <w:r w:rsidRPr="00B26ABB">
              <w:rPr>
                <w:rFonts w:eastAsia="MS Mincho"/>
                <w:color w:val="auto"/>
                <w:sz w:val="16"/>
                <w:szCs w:val="16"/>
              </w:rPr>
              <w:t>-</w:t>
            </w:r>
          </w:p>
        </w:tc>
        <w:tc>
          <w:tcPr>
            <w:tcW w:w="706" w:type="dxa"/>
            <w:tcBorders>
              <w:top w:val="nil"/>
              <w:left w:val="nil"/>
              <w:bottom w:val="nil"/>
              <w:right w:val="nil"/>
            </w:tcBorders>
            <w:shd w:val="clear" w:color="auto" w:fill="auto"/>
            <w:noWrap/>
            <w:vAlign w:val="center"/>
            <w:hideMark/>
          </w:tcPr>
          <w:p w14:paraId="520F8FB3" w14:textId="77777777" w:rsidR="000B19C6" w:rsidRPr="00B26ABB" w:rsidRDefault="00000000" w:rsidP="000B19C6">
            <w:pPr>
              <w:ind w:firstLine="0"/>
              <w:jc w:val="center"/>
              <w:rPr>
                <w:rFonts w:eastAsia="MS Mincho"/>
                <w:color w:val="auto"/>
                <w:sz w:val="16"/>
                <w:szCs w:val="16"/>
              </w:rPr>
            </w:pPr>
            <w:r w:rsidRPr="00B26ABB">
              <w:rPr>
                <w:rFonts w:eastAsia="MS Mincho"/>
                <w:color w:val="auto"/>
                <w:sz w:val="16"/>
                <w:szCs w:val="16"/>
              </w:rPr>
              <w:t>-</w:t>
            </w:r>
          </w:p>
        </w:tc>
        <w:tc>
          <w:tcPr>
            <w:tcW w:w="706" w:type="dxa"/>
            <w:tcBorders>
              <w:top w:val="nil"/>
              <w:left w:val="nil"/>
              <w:bottom w:val="nil"/>
              <w:right w:val="nil"/>
            </w:tcBorders>
            <w:shd w:val="clear" w:color="auto" w:fill="auto"/>
            <w:noWrap/>
            <w:vAlign w:val="center"/>
            <w:hideMark/>
          </w:tcPr>
          <w:p w14:paraId="3A08B380" w14:textId="77777777" w:rsidR="000B19C6" w:rsidRPr="00B26ABB" w:rsidRDefault="00000000" w:rsidP="000B19C6">
            <w:pPr>
              <w:ind w:firstLine="0"/>
              <w:jc w:val="center"/>
              <w:rPr>
                <w:rFonts w:eastAsia="MS Mincho"/>
                <w:color w:val="auto"/>
                <w:sz w:val="16"/>
                <w:szCs w:val="16"/>
              </w:rPr>
            </w:pPr>
            <w:r w:rsidRPr="00B26ABB">
              <w:rPr>
                <w:rFonts w:eastAsia="MS Mincho"/>
                <w:color w:val="auto"/>
                <w:sz w:val="16"/>
                <w:szCs w:val="16"/>
              </w:rPr>
              <w:t>-</w:t>
            </w:r>
          </w:p>
        </w:tc>
        <w:tc>
          <w:tcPr>
            <w:tcW w:w="706" w:type="dxa"/>
            <w:tcBorders>
              <w:top w:val="nil"/>
              <w:left w:val="nil"/>
              <w:bottom w:val="nil"/>
              <w:right w:val="nil"/>
            </w:tcBorders>
            <w:shd w:val="clear" w:color="auto" w:fill="auto"/>
            <w:noWrap/>
            <w:vAlign w:val="center"/>
            <w:hideMark/>
          </w:tcPr>
          <w:p w14:paraId="7ADAF76F" w14:textId="77777777" w:rsidR="000B19C6" w:rsidRPr="00B26ABB" w:rsidRDefault="00000000" w:rsidP="000B19C6">
            <w:pPr>
              <w:ind w:firstLine="0"/>
              <w:jc w:val="center"/>
              <w:rPr>
                <w:rFonts w:eastAsia="MS Mincho"/>
                <w:color w:val="auto"/>
                <w:sz w:val="16"/>
                <w:szCs w:val="16"/>
              </w:rPr>
            </w:pPr>
            <w:r w:rsidRPr="00B26ABB">
              <w:rPr>
                <w:rFonts w:eastAsia="MS Mincho"/>
                <w:color w:val="auto"/>
                <w:sz w:val="16"/>
                <w:szCs w:val="16"/>
              </w:rPr>
              <w:t>-</w:t>
            </w:r>
          </w:p>
        </w:tc>
        <w:tc>
          <w:tcPr>
            <w:tcW w:w="706" w:type="dxa"/>
            <w:tcBorders>
              <w:top w:val="nil"/>
              <w:left w:val="nil"/>
              <w:bottom w:val="nil"/>
              <w:right w:val="nil"/>
            </w:tcBorders>
            <w:shd w:val="clear" w:color="auto" w:fill="auto"/>
            <w:noWrap/>
            <w:vAlign w:val="center"/>
            <w:hideMark/>
          </w:tcPr>
          <w:p w14:paraId="3D535788" w14:textId="77777777" w:rsidR="000B19C6" w:rsidRPr="00B26ABB" w:rsidRDefault="00000000" w:rsidP="000B19C6">
            <w:pPr>
              <w:ind w:firstLine="0"/>
              <w:jc w:val="center"/>
              <w:rPr>
                <w:rFonts w:eastAsia="MS Mincho"/>
                <w:color w:val="auto"/>
                <w:sz w:val="16"/>
                <w:szCs w:val="16"/>
              </w:rPr>
            </w:pPr>
            <w:r w:rsidRPr="00B26ABB">
              <w:rPr>
                <w:rFonts w:eastAsia="MS Mincho"/>
                <w:color w:val="auto"/>
                <w:sz w:val="16"/>
                <w:szCs w:val="16"/>
              </w:rPr>
              <w:t>-</w:t>
            </w:r>
          </w:p>
        </w:tc>
        <w:tc>
          <w:tcPr>
            <w:tcW w:w="706" w:type="dxa"/>
            <w:tcBorders>
              <w:top w:val="nil"/>
              <w:left w:val="nil"/>
              <w:bottom w:val="nil"/>
              <w:right w:val="nil"/>
            </w:tcBorders>
            <w:shd w:val="clear" w:color="auto" w:fill="auto"/>
            <w:vAlign w:val="center"/>
          </w:tcPr>
          <w:p w14:paraId="4151E023" w14:textId="77777777" w:rsidR="000B19C6" w:rsidRPr="00B26ABB" w:rsidRDefault="00000000" w:rsidP="000B19C6">
            <w:pPr>
              <w:ind w:firstLine="0"/>
              <w:jc w:val="center"/>
              <w:rPr>
                <w:rFonts w:eastAsia="MS Mincho"/>
                <w:color w:val="auto"/>
                <w:sz w:val="16"/>
                <w:szCs w:val="16"/>
              </w:rPr>
            </w:pPr>
            <w:r w:rsidRPr="00B26ABB">
              <w:rPr>
                <w:rFonts w:eastAsia="MS Mincho"/>
                <w:color w:val="auto"/>
                <w:sz w:val="16"/>
                <w:szCs w:val="16"/>
              </w:rPr>
              <w:t>-</w:t>
            </w:r>
          </w:p>
        </w:tc>
        <w:tc>
          <w:tcPr>
            <w:tcW w:w="706" w:type="dxa"/>
            <w:tcBorders>
              <w:top w:val="nil"/>
              <w:left w:val="nil"/>
              <w:bottom w:val="nil"/>
              <w:right w:val="nil"/>
            </w:tcBorders>
            <w:shd w:val="clear" w:color="auto" w:fill="auto"/>
            <w:vAlign w:val="center"/>
          </w:tcPr>
          <w:p w14:paraId="7D106F7C" w14:textId="77777777" w:rsidR="000B19C6" w:rsidRPr="00B26ABB" w:rsidRDefault="00000000" w:rsidP="000B19C6">
            <w:pPr>
              <w:ind w:firstLine="0"/>
              <w:jc w:val="center"/>
              <w:rPr>
                <w:rFonts w:eastAsia="MS Mincho"/>
                <w:color w:val="auto"/>
                <w:sz w:val="16"/>
                <w:szCs w:val="16"/>
              </w:rPr>
            </w:pPr>
            <w:r w:rsidRPr="00B26ABB">
              <w:rPr>
                <w:rFonts w:eastAsia="MS Mincho"/>
                <w:color w:val="auto"/>
                <w:sz w:val="16"/>
                <w:szCs w:val="16"/>
              </w:rPr>
              <w:t>-</w:t>
            </w:r>
          </w:p>
        </w:tc>
      </w:tr>
      <w:tr w:rsidR="00AA6907" w14:paraId="2DA8805C" w14:textId="77777777" w:rsidTr="009B4A0E">
        <w:trPr>
          <w:trHeight w:val="801"/>
          <w:jc w:val="center"/>
        </w:trPr>
        <w:tc>
          <w:tcPr>
            <w:tcW w:w="1080" w:type="dxa"/>
            <w:tcBorders>
              <w:top w:val="nil"/>
              <w:left w:val="nil"/>
              <w:bottom w:val="nil"/>
              <w:right w:val="nil"/>
            </w:tcBorders>
            <w:vAlign w:val="center"/>
          </w:tcPr>
          <w:p w14:paraId="496DFDAC" w14:textId="77777777" w:rsidR="000B19C6" w:rsidRPr="009B4A0E" w:rsidRDefault="00000000" w:rsidP="000B19C6">
            <w:pPr>
              <w:ind w:firstLine="0"/>
              <w:jc w:val="left"/>
              <w:rPr>
                <w:rFonts w:eastAsia="MS Mincho"/>
                <w:color w:val="auto"/>
                <w:sz w:val="16"/>
                <w:szCs w:val="16"/>
              </w:rPr>
            </w:pPr>
            <w:r w:rsidRPr="009B4A0E">
              <w:rPr>
                <w:rFonts w:eastAsia="MS Mincho"/>
                <w:color w:val="auto"/>
                <w:sz w:val="16"/>
                <w:szCs w:val="16"/>
              </w:rPr>
              <w:t xml:space="preserve">Verification attempt </w:t>
            </w:r>
            <w:r>
              <w:rPr>
                <w:rFonts w:eastAsia="MS Mincho"/>
                <w:color w:val="auto"/>
                <w:sz w:val="16"/>
                <w:szCs w:val="16"/>
              </w:rPr>
              <w:t>3</w:t>
            </w:r>
          </w:p>
        </w:tc>
        <w:tc>
          <w:tcPr>
            <w:tcW w:w="3420" w:type="dxa"/>
            <w:tcBorders>
              <w:top w:val="nil"/>
              <w:left w:val="nil"/>
              <w:bottom w:val="nil"/>
              <w:right w:val="nil"/>
            </w:tcBorders>
            <w:vAlign w:val="center"/>
          </w:tcPr>
          <w:p w14:paraId="1BA97DC9" w14:textId="77777777" w:rsidR="000B19C6" w:rsidRPr="009B4A0E" w:rsidRDefault="00000000" w:rsidP="000B19C6">
            <w:pPr>
              <w:ind w:firstLine="0"/>
              <w:jc w:val="left"/>
              <w:rPr>
                <w:rFonts w:eastAsia="MS Mincho"/>
                <w:color w:val="auto"/>
                <w:sz w:val="16"/>
                <w:szCs w:val="16"/>
              </w:rPr>
            </w:pPr>
            <w:r w:rsidRPr="009B4A0E">
              <w:rPr>
                <w:rFonts w:eastAsia="MS Mincho"/>
                <w:color w:val="auto"/>
                <w:sz w:val="16"/>
                <w:szCs w:val="16"/>
              </w:rPr>
              <w:t xml:space="preserve">Hunter &amp; Schmidt method </w:t>
            </w:r>
            <w:r>
              <w:rPr>
                <w:rFonts w:eastAsia="MS Mincho"/>
                <w:color w:val="auto"/>
                <w:sz w:val="16"/>
                <w:szCs w:val="16"/>
              </w:rPr>
              <w:t>using a reimplementation of</w:t>
            </w:r>
            <w:r w:rsidRPr="009B4A0E">
              <w:rPr>
                <w:rFonts w:eastAsia="MS Mincho"/>
                <w:color w:val="auto"/>
                <w:sz w:val="16"/>
                <w:szCs w:val="16"/>
              </w:rPr>
              <w:t xml:space="preserve"> Field &amp; Gillett’s (2010) “Meta_Basic_r.sps” </w:t>
            </w:r>
            <w:r>
              <w:rPr>
                <w:rFonts w:eastAsia="MS Mincho"/>
                <w:color w:val="auto"/>
                <w:sz w:val="16"/>
                <w:szCs w:val="16"/>
              </w:rPr>
              <w:t>in</w:t>
            </w:r>
            <w:r w:rsidRPr="009B4A0E">
              <w:rPr>
                <w:rFonts w:eastAsia="MS Mincho"/>
                <w:color w:val="auto"/>
                <w:sz w:val="16"/>
                <w:szCs w:val="16"/>
              </w:rPr>
              <w:t xml:space="preserve"> R</w:t>
            </w:r>
          </w:p>
        </w:tc>
        <w:tc>
          <w:tcPr>
            <w:tcW w:w="4332" w:type="dxa"/>
            <w:tcBorders>
              <w:top w:val="nil"/>
              <w:left w:val="nil"/>
              <w:bottom w:val="nil"/>
              <w:right w:val="nil"/>
            </w:tcBorders>
            <w:vAlign w:val="center"/>
          </w:tcPr>
          <w:p w14:paraId="504B5ABD" w14:textId="77777777" w:rsidR="000B19C6" w:rsidRPr="009B4A0E" w:rsidRDefault="00000000" w:rsidP="000B19C6">
            <w:pPr>
              <w:ind w:firstLine="0"/>
              <w:jc w:val="left"/>
              <w:rPr>
                <w:rFonts w:eastAsia="MS Mincho"/>
                <w:color w:val="auto"/>
                <w:sz w:val="16"/>
                <w:szCs w:val="16"/>
              </w:rPr>
            </w:pPr>
            <w:r w:rsidRPr="009B4A0E">
              <w:rPr>
                <w:rFonts w:eastAsia="MS Mincho"/>
                <w:color w:val="auto"/>
                <w:sz w:val="16"/>
                <w:szCs w:val="16"/>
              </w:rPr>
              <w:t>Set variance in population correlations to zero if it is negative so that CRs must be non-negative.</w:t>
            </w:r>
          </w:p>
        </w:tc>
        <w:tc>
          <w:tcPr>
            <w:tcW w:w="706" w:type="dxa"/>
            <w:tcBorders>
              <w:top w:val="nil"/>
              <w:left w:val="nil"/>
              <w:bottom w:val="nil"/>
              <w:right w:val="nil"/>
            </w:tcBorders>
            <w:shd w:val="clear" w:color="auto" w:fill="D9D9D9"/>
            <w:noWrap/>
            <w:vAlign w:val="center"/>
          </w:tcPr>
          <w:p w14:paraId="75E4F2E0" w14:textId="77777777" w:rsidR="000B19C6" w:rsidRPr="009B4A0E" w:rsidRDefault="00000000" w:rsidP="000B19C6">
            <w:pPr>
              <w:ind w:firstLine="0"/>
              <w:jc w:val="center"/>
              <w:rPr>
                <w:rFonts w:eastAsia="MS Mincho"/>
                <w:color w:val="auto"/>
                <w:sz w:val="16"/>
                <w:szCs w:val="16"/>
              </w:rPr>
            </w:pPr>
            <w:r w:rsidRPr="009B4A0E">
              <w:rPr>
                <w:rFonts w:eastAsia="MS Mincho"/>
                <w:color w:val="auto"/>
                <w:sz w:val="16"/>
                <w:szCs w:val="16"/>
              </w:rPr>
              <w:t>.46</w:t>
            </w:r>
          </w:p>
        </w:tc>
        <w:tc>
          <w:tcPr>
            <w:tcW w:w="706" w:type="dxa"/>
            <w:tcBorders>
              <w:top w:val="nil"/>
              <w:left w:val="nil"/>
              <w:bottom w:val="nil"/>
              <w:right w:val="nil"/>
            </w:tcBorders>
            <w:shd w:val="clear" w:color="auto" w:fill="auto"/>
            <w:noWrap/>
            <w:vAlign w:val="center"/>
          </w:tcPr>
          <w:p w14:paraId="6B4682FE" w14:textId="77777777" w:rsidR="000B19C6" w:rsidRPr="009B4A0E" w:rsidRDefault="00000000" w:rsidP="000B19C6">
            <w:pPr>
              <w:ind w:firstLine="0"/>
              <w:jc w:val="center"/>
              <w:rPr>
                <w:rFonts w:eastAsia="MS Mincho"/>
                <w:color w:val="auto"/>
                <w:sz w:val="16"/>
                <w:szCs w:val="16"/>
              </w:rPr>
            </w:pPr>
            <w:r w:rsidRPr="009B4A0E">
              <w:rPr>
                <w:rFonts w:eastAsia="MS Mincho"/>
                <w:color w:val="auto"/>
                <w:sz w:val="16"/>
                <w:szCs w:val="16"/>
              </w:rPr>
              <w:t>-</w:t>
            </w:r>
          </w:p>
        </w:tc>
        <w:tc>
          <w:tcPr>
            <w:tcW w:w="706" w:type="dxa"/>
            <w:tcBorders>
              <w:top w:val="nil"/>
              <w:left w:val="nil"/>
              <w:bottom w:val="nil"/>
              <w:right w:val="nil"/>
            </w:tcBorders>
            <w:shd w:val="clear" w:color="auto" w:fill="auto"/>
            <w:noWrap/>
            <w:vAlign w:val="center"/>
          </w:tcPr>
          <w:p w14:paraId="0B1C41A3" w14:textId="77777777" w:rsidR="000B19C6" w:rsidRPr="009B4A0E" w:rsidRDefault="00000000" w:rsidP="000B19C6">
            <w:pPr>
              <w:ind w:firstLine="0"/>
              <w:jc w:val="center"/>
              <w:rPr>
                <w:rFonts w:eastAsia="MS Mincho"/>
                <w:color w:val="auto"/>
                <w:sz w:val="16"/>
                <w:szCs w:val="16"/>
              </w:rPr>
            </w:pPr>
            <w:r w:rsidRPr="009B4A0E">
              <w:rPr>
                <w:rFonts w:eastAsia="MS Mincho"/>
                <w:color w:val="auto"/>
                <w:sz w:val="16"/>
                <w:szCs w:val="16"/>
              </w:rPr>
              <w:t>-</w:t>
            </w:r>
          </w:p>
        </w:tc>
        <w:tc>
          <w:tcPr>
            <w:tcW w:w="706" w:type="dxa"/>
            <w:tcBorders>
              <w:top w:val="nil"/>
              <w:left w:val="nil"/>
              <w:bottom w:val="nil"/>
              <w:right w:val="nil"/>
            </w:tcBorders>
            <w:noWrap/>
            <w:vAlign w:val="center"/>
          </w:tcPr>
          <w:p w14:paraId="560ECB54" w14:textId="77777777" w:rsidR="000B19C6" w:rsidRPr="009B4A0E" w:rsidRDefault="00000000" w:rsidP="000B19C6">
            <w:pPr>
              <w:ind w:firstLine="0"/>
              <w:jc w:val="center"/>
              <w:rPr>
                <w:rFonts w:eastAsia="MS Mincho"/>
                <w:color w:val="auto"/>
                <w:sz w:val="16"/>
                <w:szCs w:val="16"/>
              </w:rPr>
            </w:pPr>
            <w:r w:rsidRPr="009B4A0E">
              <w:rPr>
                <w:rFonts w:eastAsia="MS Mincho"/>
                <w:color w:val="auto"/>
                <w:sz w:val="16"/>
                <w:szCs w:val="16"/>
              </w:rPr>
              <w:t>.46</w:t>
            </w:r>
          </w:p>
        </w:tc>
        <w:tc>
          <w:tcPr>
            <w:tcW w:w="706" w:type="dxa"/>
            <w:tcBorders>
              <w:top w:val="nil"/>
              <w:left w:val="nil"/>
              <w:bottom w:val="nil"/>
              <w:right w:val="nil"/>
            </w:tcBorders>
            <w:noWrap/>
            <w:vAlign w:val="center"/>
          </w:tcPr>
          <w:p w14:paraId="109B2970" w14:textId="77777777" w:rsidR="000B19C6" w:rsidRPr="009B4A0E" w:rsidRDefault="00000000" w:rsidP="000B19C6">
            <w:pPr>
              <w:ind w:firstLine="0"/>
              <w:jc w:val="center"/>
              <w:rPr>
                <w:rFonts w:eastAsia="MS Mincho"/>
                <w:color w:val="auto"/>
                <w:sz w:val="16"/>
                <w:szCs w:val="16"/>
              </w:rPr>
            </w:pPr>
            <w:r w:rsidRPr="009B4A0E">
              <w:rPr>
                <w:rFonts w:eastAsia="MS Mincho"/>
                <w:color w:val="auto"/>
                <w:sz w:val="16"/>
                <w:szCs w:val="16"/>
              </w:rPr>
              <w:t>.46</w:t>
            </w:r>
          </w:p>
        </w:tc>
        <w:tc>
          <w:tcPr>
            <w:tcW w:w="706" w:type="dxa"/>
            <w:tcBorders>
              <w:top w:val="nil"/>
              <w:left w:val="nil"/>
              <w:bottom w:val="nil"/>
              <w:right w:val="nil"/>
            </w:tcBorders>
            <w:vAlign w:val="center"/>
          </w:tcPr>
          <w:p w14:paraId="2B9171F3" w14:textId="77777777" w:rsidR="000B19C6" w:rsidRPr="009B4A0E" w:rsidRDefault="00000000" w:rsidP="000B19C6">
            <w:pPr>
              <w:ind w:firstLine="0"/>
              <w:jc w:val="center"/>
              <w:rPr>
                <w:rFonts w:eastAsia="MS Mincho"/>
                <w:color w:val="auto"/>
                <w:sz w:val="16"/>
                <w:szCs w:val="16"/>
              </w:rPr>
            </w:pPr>
            <w:r w:rsidRPr="009B4A0E">
              <w:rPr>
                <w:rFonts w:eastAsia="MS Mincho"/>
                <w:color w:val="auto"/>
                <w:sz w:val="16"/>
                <w:szCs w:val="16"/>
              </w:rPr>
              <w:t>-</w:t>
            </w:r>
          </w:p>
        </w:tc>
        <w:tc>
          <w:tcPr>
            <w:tcW w:w="706" w:type="dxa"/>
            <w:tcBorders>
              <w:top w:val="nil"/>
              <w:left w:val="nil"/>
              <w:bottom w:val="nil"/>
              <w:right w:val="nil"/>
            </w:tcBorders>
            <w:vAlign w:val="center"/>
          </w:tcPr>
          <w:p w14:paraId="05CD3CF7" w14:textId="77777777" w:rsidR="000B19C6" w:rsidRPr="009B4A0E" w:rsidRDefault="00000000" w:rsidP="000B19C6">
            <w:pPr>
              <w:ind w:firstLine="0"/>
              <w:jc w:val="center"/>
              <w:rPr>
                <w:rFonts w:eastAsia="MS Mincho"/>
                <w:color w:val="auto"/>
                <w:sz w:val="16"/>
                <w:szCs w:val="16"/>
              </w:rPr>
            </w:pPr>
            <w:r w:rsidRPr="009B4A0E">
              <w:rPr>
                <w:rFonts w:eastAsia="MS Mincho"/>
                <w:color w:val="auto"/>
                <w:sz w:val="16"/>
                <w:szCs w:val="16"/>
              </w:rPr>
              <w:t>-</w:t>
            </w:r>
          </w:p>
        </w:tc>
      </w:tr>
      <w:tr w:rsidR="00AA6907" w14:paraId="2255D6F5" w14:textId="77777777" w:rsidTr="002D69CC">
        <w:trPr>
          <w:trHeight w:val="801"/>
          <w:jc w:val="center"/>
        </w:trPr>
        <w:tc>
          <w:tcPr>
            <w:tcW w:w="1080" w:type="dxa"/>
            <w:tcBorders>
              <w:top w:val="nil"/>
              <w:left w:val="nil"/>
              <w:bottom w:val="nil"/>
              <w:right w:val="nil"/>
            </w:tcBorders>
            <w:vAlign w:val="center"/>
          </w:tcPr>
          <w:p w14:paraId="34511ED7" w14:textId="77777777" w:rsidR="000B19C6" w:rsidRPr="009B4A0E" w:rsidRDefault="00000000" w:rsidP="000B19C6">
            <w:pPr>
              <w:ind w:firstLine="0"/>
              <w:jc w:val="left"/>
              <w:rPr>
                <w:rFonts w:eastAsia="MS Mincho"/>
                <w:color w:val="auto"/>
                <w:sz w:val="16"/>
                <w:szCs w:val="16"/>
              </w:rPr>
            </w:pPr>
            <w:r w:rsidRPr="009B4A0E">
              <w:rPr>
                <w:rFonts w:eastAsia="MS Mincho"/>
                <w:color w:val="auto"/>
                <w:sz w:val="16"/>
                <w:szCs w:val="16"/>
              </w:rPr>
              <w:t xml:space="preserve">Verification attempt </w:t>
            </w:r>
            <w:r>
              <w:rPr>
                <w:rFonts w:eastAsia="MS Mincho"/>
                <w:color w:val="auto"/>
                <w:sz w:val="16"/>
                <w:szCs w:val="16"/>
              </w:rPr>
              <w:t>4</w:t>
            </w:r>
          </w:p>
        </w:tc>
        <w:tc>
          <w:tcPr>
            <w:tcW w:w="3420" w:type="dxa"/>
            <w:tcBorders>
              <w:top w:val="nil"/>
              <w:left w:val="nil"/>
              <w:bottom w:val="nil"/>
              <w:right w:val="nil"/>
            </w:tcBorders>
            <w:vAlign w:val="center"/>
          </w:tcPr>
          <w:p w14:paraId="2718FAA5" w14:textId="77777777" w:rsidR="000B19C6" w:rsidRPr="009B4A0E" w:rsidRDefault="00000000" w:rsidP="000B19C6">
            <w:pPr>
              <w:ind w:firstLine="0"/>
              <w:jc w:val="left"/>
              <w:rPr>
                <w:rFonts w:eastAsia="MS Mincho"/>
                <w:color w:val="auto"/>
                <w:sz w:val="16"/>
                <w:szCs w:val="16"/>
              </w:rPr>
            </w:pPr>
            <w:r w:rsidRPr="009B4A0E">
              <w:rPr>
                <w:rFonts w:eastAsia="MS Mincho"/>
                <w:color w:val="auto"/>
                <w:sz w:val="16"/>
                <w:szCs w:val="16"/>
              </w:rPr>
              <w:t>Hunter &amp; Schmidt method using a converstion of Field &amp; Gillett’s (2010) “Meta_Basic_r.sps” to R</w:t>
            </w:r>
          </w:p>
        </w:tc>
        <w:tc>
          <w:tcPr>
            <w:tcW w:w="4332" w:type="dxa"/>
            <w:tcBorders>
              <w:top w:val="nil"/>
              <w:left w:val="nil"/>
              <w:bottom w:val="nil"/>
              <w:right w:val="nil"/>
            </w:tcBorders>
            <w:vAlign w:val="center"/>
          </w:tcPr>
          <w:p w14:paraId="04544BEF" w14:textId="77777777" w:rsidR="000B19C6" w:rsidRPr="009B4A0E" w:rsidRDefault="00000000" w:rsidP="000B19C6">
            <w:pPr>
              <w:ind w:firstLine="0"/>
              <w:jc w:val="left"/>
              <w:rPr>
                <w:rFonts w:eastAsia="MS Mincho"/>
                <w:color w:val="auto"/>
                <w:sz w:val="16"/>
                <w:szCs w:val="16"/>
              </w:rPr>
            </w:pPr>
            <w:r w:rsidRPr="009B4A0E">
              <w:rPr>
                <w:rFonts w:eastAsia="MS Mincho"/>
                <w:color w:val="auto"/>
                <w:sz w:val="16"/>
                <w:szCs w:val="16"/>
              </w:rPr>
              <w:t>Set variance in population correlations to zero if it is negative so that CRs must be non-negative. Removed erroneous Overton transformations.</w:t>
            </w:r>
          </w:p>
        </w:tc>
        <w:tc>
          <w:tcPr>
            <w:tcW w:w="706" w:type="dxa"/>
            <w:tcBorders>
              <w:top w:val="nil"/>
              <w:left w:val="nil"/>
              <w:bottom w:val="nil"/>
              <w:right w:val="nil"/>
            </w:tcBorders>
            <w:noWrap/>
            <w:vAlign w:val="center"/>
          </w:tcPr>
          <w:p w14:paraId="30F1C7F2" w14:textId="77777777" w:rsidR="000B19C6" w:rsidRPr="009B4A0E" w:rsidRDefault="00000000" w:rsidP="000B19C6">
            <w:pPr>
              <w:ind w:firstLine="0"/>
              <w:jc w:val="center"/>
              <w:rPr>
                <w:rFonts w:eastAsia="MS Mincho"/>
                <w:color w:val="auto"/>
                <w:sz w:val="16"/>
                <w:szCs w:val="16"/>
              </w:rPr>
            </w:pPr>
            <w:r w:rsidRPr="009B4A0E">
              <w:rPr>
                <w:rFonts w:eastAsia="MS Mincho"/>
                <w:color w:val="auto"/>
                <w:sz w:val="16"/>
                <w:szCs w:val="16"/>
              </w:rPr>
              <w:t>.47</w:t>
            </w:r>
          </w:p>
        </w:tc>
        <w:tc>
          <w:tcPr>
            <w:tcW w:w="706" w:type="dxa"/>
            <w:tcBorders>
              <w:top w:val="nil"/>
              <w:left w:val="nil"/>
              <w:bottom w:val="nil"/>
              <w:right w:val="nil"/>
            </w:tcBorders>
            <w:shd w:val="clear" w:color="auto" w:fill="auto"/>
            <w:noWrap/>
            <w:vAlign w:val="center"/>
          </w:tcPr>
          <w:p w14:paraId="46906AA0" w14:textId="77777777" w:rsidR="000B19C6" w:rsidRPr="009B4A0E" w:rsidRDefault="00000000" w:rsidP="000B19C6">
            <w:pPr>
              <w:ind w:firstLine="0"/>
              <w:jc w:val="center"/>
              <w:rPr>
                <w:rFonts w:eastAsia="MS Mincho"/>
                <w:color w:val="auto"/>
                <w:sz w:val="16"/>
                <w:szCs w:val="16"/>
              </w:rPr>
            </w:pPr>
            <w:r w:rsidRPr="009B4A0E">
              <w:rPr>
                <w:rFonts w:eastAsia="MS Mincho"/>
                <w:color w:val="auto"/>
                <w:sz w:val="16"/>
                <w:szCs w:val="16"/>
              </w:rPr>
              <w:t>-</w:t>
            </w:r>
          </w:p>
        </w:tc>
        <w:tc>
          <w:tcPr>
            <w:tcW w:w="706" w:type="dxa"/>
            <w:tcBorders>
              <w:top w:val="nil"/>
              <w:left w:val="nil"/>
              <w:bottom w:val="nil"/>
              <w:right w:val="nil"/>
            </w:tcBorders>
            <w:shd w:val="clear" w:color="auto" w:fill="auto"/>
            <w:noWrap/>
            <w:vAlign w:val="center"/>
          </w:tcPr>
          <w:p w14:paraId="2D57628E" w14:textId="77777777" w:rsidR="000B19C6" w:rsidRPr="009B4A0E" w:rsidRDefault="00000000" w:rsidP="000B19C6">
            <w:pPr>
              <w:ind w:firstLine="0"/>
              <w:jc w:val="center"/>
              <w:rPr>
                <w:rFonts w:eastAsia="MS Mincho"/>
                <w:color w:val="auto"/>
                <w:sz w:val="16"/>
                <w:szCs w:val="16"/>
              </w:rPr>
            </w:pPr>
            <w:r w:rsidRPr="009B4A0E">
              <w:rPr>
                <w:rFonts w:eastAsia="MS Mincho"/>
                <w:color w:val="auto"/>
                <w:sz w:val="16"/>
                <w:szCs w:val="16"/>
              </w:rPr>
              <w:t>-</w:t>
            </w:r>
          </w:p>
        </w:tc>
        <w:tc>
          <w:tcPr>
            <w:tcW w:w="706" w:type="dxa"/>
            <w:tcBorders>
              <w:top w:val="nil"/>
              <w:left w:val="nil"/>
              <w:bottom w:val="nil"/>
              <w:right w:val="nil"/>
            </w:tcBorders>
            <w:noWrap/>
            <w:vAlign w:val="center"/>
          </w:tcPr>
          <w:p w14:paraId="0C6CA0AE" w14:textId="77777777" w:rsidR="000B19C6" w:rsidRPr="009B4A0E" w:rsidRDefault="00000000" w:rsidP="000B19C6">
            <w:pPr>
              <w:ind w:firstLine="0"/>
              <w:jc w:val="center"/>
              <w:rPr>
                <w:rFonts w:eastAsia="MS Mincho"/>
                <w:color w:val="auto"/>
                <w:sz w:val="16"/>
                <w:szCs w:val="16"/>
              </w:rPr>
            </w:pPr>
            <w:r w:rsidRPr="009B4A0E">
              <w:rPr>
                <w:rFonts w:eastAsia="MS Mincho"/>
                <w:color w:val="auto"/>
                <w:sz w:val="16"/>
                <w:szCs w:val="16"/>
              </w:rPr>
              <w:t>.47</w:t>
            </w:r>
          </w:p>
        </w:tc>
        <w:tc>
          <w:tcPr>
            <w:tcW w:w="706" w:type="dxa"/>
            <w:tcBorders>
              <w:top w:val="nil"/>
              <w:left w:val="nil"/>
              <w:bottom w:val="nil"/>
              <w:right w:val="nil"/>
            </w:tcBorders>
            <w:noWrap/>
            <w:vAlign w:val="center"/>
          </w:tcPr>
          <w:p w14:paraId="3E5CE470" w14:textId="77777777" w:rsidR="000B19C6" w:rsidRPr="009B4A0E" w:rsidRDefault="00000000" w:rsidP="000B19C6">
            <w:pPr>
              <w:ind w:firstLine="0"/>
              <w:jc w:val="center"/>
              <w:rPr>
                <w:rFonts w:eastAsia="MS Mincho"/>
                <w:color w:val="auto"/>
                <w:sz w:val="16"/>
                <w:szCs w:val="16"/>
              </w:rPr>
            </w:pPr>
            <w:r w:rsidRPr="009B4A0E">
              <w:rPr>
                <w:rFonts w:eastAsia="MS Mincho"/>
                <w:color w:val="auto"/>
                <w:sz w:val="16"/>
                <w:szCs w:val="16"/>
              </w:rPr>
              <w:t>.47</w:t>
            </w:r>
          </w:p>
        </w:tc>
        <w:tc>
          <w:tcPr>
            <w:tcW w:w="706" w:type="dxa"/>
            <w:tcBorders>
              <w:top w:val="nil"/>
              <w:left w:val="nil"/>
              <w:bottom w:val="nil"/>
              <w:right w:val="nil"/>
            </w:tcBorders>
            <w:vAlign w:val="center"/>
          </w:tcPr>
          <w:p w14:paraId="0CB4837E" w14:textId="77777777" w:rsidR="000B19C6" w:rsidRPr="009B4A0E" w:rsidRDefault="00000000" w:rsidP="000B19C6">
            <w:pPr>
              <w:ind w:firstLine="0"/>
              <w:jc w:val="center"/>
              <w:rPr>
                <w:rFonts w:eastAsia="MS Mincho"/>
                <w:color w:val="auto"/>
                <w:sz w:val="16"/>
                <w:szCs w:val="16"/>
              </w:rPr>
            </w:pPr>
            <w:r w:rsidRPr="009B4A0E">
              <w:rPr>
                <w:rFonts w:eastAsia="MS Mincho"/>
                <w:color w:val="auto"/>
                <w:sz w:val="16"/>
                <w:szCs w:val="16"/>
              </w:rPr>
              <w:t>-</w:t>
            </w:r>
          </w:p>
        </w:tc>
        <w:tc>
          <w:tcPr>
            <w:tcW w:w="706" w:type="dxa"/>
            <w:tcBorders>
              <w:top w:val="nil"/>
              <w:left w:val="nil"/>
              <w:bottom w:val="nil"/>
              <w:right w:val="nil"/>
            </w:tcBorders>
            <w:vAlign w:val="center"/>
          </w:tcPr>
          <w:p w14:paraId="04253458" w14:textId="77777777" w:rsidR="000B19C6" w:rsidRPr="009B4A0E" w:rsidRDefault="00000000" w:rsidP="000B19C6">
            <w:pPr>
              <w:ind w:firstLine="0"/>
              <w:jc w:val="center"/>
              <w:rPr>
                <w:rFonts w:eastAsia="MS Mincho"/>
                <w:color w:val="auto"/>
                <w:sz w:val="16"/>
                <w:szCs w:val="16"/>
              </w:rPr>
            </w:pPr>
            <w:r w:rsidRPr="009B4A0E">
              <w:rPr>
                <w:rFonts w:eastAsia="MS Mincho"/>
                <w:color w:val="auto"/>
                <w:sz w:val="16"/>
                <w:szCs w:val="16"/>
              </w:rPr>
              <w:t>-</w:t>
            </w:r>
          </w:p>
        </w:tc>
      </w:tr>
      <w:tr w:rsidR="00AA6907" w14:paraId="27A37D81" w14:textId="77777777" w:rsidTr="008A02C1">
        <w:trPr>
          <w:trHeight w:val="801"/>
          <w:jc w:val="center"/>
        </w:trPr>
        <w:tc>
          <w:tcPr>
            <w:tcW w:w="1080" w:type="dxa"/>
            <w:tcBorders>
              <w:top w:val="nil"/>
              <w:left w:val="nil"/>
              <w:bottom w:val="nil"/>
              <w:right w:val="nil"/>
            </w:tcBorders>
            <w:vAlign w:val="center"/>
          </w:tcPr>
          <w:p w14:paraId="52243751" w14:textId="77777777" w:rsidR="000B19C6" w:rsidRPr="009B4A0E" w:rsidRDefault="00000000" w:rsidP="000B19C6">
            <w:pPr>
              <w:ind w:firstLine="0"/>
              <w:jc w:val="left"/>
              <w:rPr>
                <w:rFonts w:eastAsia="MS Mincho"/>
                <w:color w:val="auto"/>
                <w:sz w:val="16"/>
                <w:szCs w:val="16"/>
              </w:rPr>
            </w:pPr>
            <w:r w:rsidRPr="009B4A0E">
              <w:rPr>
                <w:rFonts w:eastAsia="MS Mincho"/>
                <w:color w:val="auto"/>
                <w:sz w:val="16"/>
                <w:szCs w:val="16"/>
              </w:rPr>
              <w:t xml:space="preserve">Verification attempt </w:t>
            </w:r>
            <w:r>
              <w:rPr>
                <w:rFonts w:eastAsia="MS Mincho"/>
                <w:color w:val="auto"/>
                <w:sz w:val="16"/>
                <w:szCs w:val="16"/>
              </w:rPr>
              <w:t>5</w:t>
            </w:r>
          </w:p>
        </w:tc>
        <w:tc>
          <w:tcPr>
            <w:tcW w:w="3420" w:type="dxa"/>
            <w:tcBorders>
              <w:top w:val="nil"/>
              <w:left w:val="nil"/>
              <w:bottom w:val="nil"/>
              <w:right w:val="nil"/>
            </w:tcBorders>
            <w:vAlign w:val="center"/>
          </w:tcPr>
          <w:p w14:paraId="526AEEC0" w14:textId="77777777" w:rsidR="000B19C6" w:rsidRPr="009B4A0E" w:rsidRDefault="00000000" w:rsidP="000B19C6">
            <w:pPr>
              <w:ind w:firstLine="0"/>
              <w:jc w:val="left"/>
              <w:rPr>
                <w:rFonts w:eastAsia="MS Mincho"/>
                <w:color w:val="auto"/>
                <w:sz w:val="16"/>
                <w:szCs w:val="16"/>
              </w:rPr>
            </w:pPr>
            <w:r w:rsidRPr="009B4A0E">
              <w:rPr>
                <w:rFonts w:eastAsia="MS Mincho"/>
                <w:color w:val="auto"/>
                <w:sz w:val="16"/>
                <w:szCs w:val="16"/>
              </w:rPr>
              <w:t>Hunter &amp; Schmidt method using Viechtbauer’s (2022) implementation in R and metafor.</w:t>
            </w:r>
          </w:p>
        </w:tc>
        <w:tc>
          <w:tcPr>
            <w:tcW w:w="4332" w:type="dxa"/>
            <w:tcBorders>
              <w:top w:val="nil"/>
              <w:left w:val="nil"/>
              <w:bottom w:val="nil"/>
              <w:right w:val="nil"/>
            </w:tcBorders>
            <w:vAlign w:val="center"/>
          </w:tcPr>
          <w:p w14:paraId="6B560ACC" w14:textId="77777777" w:rsidR="000B19C6" w:rsidRPr="009B4A0E" w:rsidRDefault="00000000" w:rsidP="000B19C6">
            <w:pPr>
              <w:ind w:firstLine="0"/>
              <w:jc w:val="left"/>
              <w:rPr>
                <w:rFonts w:eastAsia="MS Mincho"/>
                <w:color w:val="auto"/>
                <w:sz w:val="16"/>
                <w:szCs w:val="16"/>
              </w:rPr>
            </w:pPr>
            <w:r w:rsidRPr="009B4A0E">
              <w:rPr>
                <w:rFonts w:eastAsia="MS Mincho"/>
                <w:color w:val="auto"/>
                <w:sz w:val="16"/>
                <w:szCs w:val="16"/>
              </w:rPr>
              <w:t>Credibility intervals were implemented using Field &amp; Gillett</w:t>
            </w:r>
            <w:r w:rsidR="009862CD">
              <w:rPr>
                <w:rFonts w:eastAsia="MS Mincho"/>
                <w:color w:val="auto"/>
                <w:sz w:val="16"/>
                <w:szCs w:val="16"/>
              </w:rPr>
              <w:t>’</w:t>
            </w:r>
            <w:r w:rsidRPr="009B4A0E">
              <w:rPr>
                <w:rFonts w:eastAsia="MS Mincho"/>
                <w:color w:val="auto"/>
                <w:sz w:val="16"/>
                <w:szCs w:val="16"/>
              </w:rPr>
              <w:t>s (2010) equations 2 to 5.</w:t>
            </w:r>
          </w:p>
        </w:tc>
        <w:tc>
          <w:tcPr>
            <w:tcW w:w="706" w:type="dxa"/>
            <w:tcBorders>
              <w:top w:val="nil"/>
              <w:left w:val="nil"/>
              <w:bottom w:val="nil"/>
              <w:right w:val="nil"/>
            </w:tcBorders>
            <w:noWrap/>
            <w:vAlign w:val="center"/>
          </w:tcPr>
          <w:p w14:paraId="5EE92626" w14:textId="77777777" w:rsidR="000B19C6" w:rsidRPr="009B4A0E" w:rsidRDefault="00000000" w:rsidP="000B19C6">
            <w:pPr>
              <w:ind w:firstLine="0"/>
              <w:jc w:val="center"/>
              <w:rPr>
                <w:rFonts w:eastAsia="MS Mincho"/>
                <w:color w:val="auto"/>
                <w:sz w:val="16"/>
                <w:szCs w:val="16"/>
              </w:rPr>
            </w:pPr>
            <w:r w:rsidRPr="009B4A0E">
              <w:rPr>
                <w:rFonts w:eastAsia="MS Mincho"/>
                <w:color w:val="auto"/>
                <w:sz w:val="16"/>
                <w:szCs w:val="16"/>
              </w:rPr>
              <w:t>.47</w:t>
            </w:r>
          </w:p>
        </w:tc>
        <w:tc>
          <w:tcPr>
            <w:tcW w:w="706" w:type="dxa"/>
            <w:tcBorders>
              <w:top w:val="nil"/>
              <w:left w:val="nil"/>
              <w:bottom w:val="nil"/>
              <w:right w:val="nil"/>
            </w:tcBorders>
            <w:shd w:val="clear" w:color="auto" w:fill="D9D9D9"/>
            <w:noWrap/>
            <w:vAlign w:val="center"/>
          </w:tcPr>
          <w:p w14:paraId="31696B2E" w14:textId="77777777" w:rsidR="000B19C6" w:rsidRPr="009B4A0E" w:rsidRDefault="00000000" w:rsidP="000B19C6">
            <w:pPr>
              <w:ind w:firstLine="0"/>
              <w:jc w:val="center"/>
              <w:rPr>
                <w:rFonts w:eastAsia="MS Mincho"/>
                <w:color w:val="auto"/>
                <w:sz w:val="16"/>
                <w:szCs w:val="16"/>
              </w:rPr>
            </w:pPr>
            <w:r w:rsidRPr="009B4A0E">
              <w:rPr>
                <w:rFonts w:eastAsia="MS Mincho"/>
                <w:color w:val="auto"/>
                <w:sz w:val="16"/>
                <w:szCs w:val="16"/>
              </w:rPr>
              <w:t>.40</w:t>
            </w:r>
          </w:p>
        </w:tc>
        <w:tc>
          <w:tcPr>
            <w:tcW w:w="706" w:type="dxa"/>
            <w:tcBorders>
              <w:top w:val="nil"/>
              <w:left w:val="nil"/>
              <w:bottom w:val="nil"/>
              <w:right w:val="nil"/>
            </w:tcBorders>
            <w:shd w:val="clear" w:color="auto" w:fill="D9D9D9"/>
            <w:noWrap/>
            <w:vAlign w:val="center"/>
          </w:tcPr>
          <w:p w14:paraId="3441825A" w14:textId="77777777" w:rsidR="000B19C6" w:rsidRPr="009B4A0E" w:rsidRDefault="00000000" w:rsidP="000B19C6">
            <w:pPr>
              <w:ind w:firstLine="0"/>
              <w:jc w:val="center"/>
              <w:rPr>
                <w:rFonts w:eastAsia="MS Mincho"/>
                <w:color w:val="auto"/>
                <w:sz w:val="16"/>
                <w:szCs w:val="16"/>
              </w:rPr>
            </w:pPr>
            <w:r w:rsidRPr="009B4A0E">
              <w:rPr>
                <w:rFonts w:eastAsia="MS Mincho"/>
                <w:color w:val="auto"/>
                <w:sz w:val="16"/>
                <w:szCs w:val="16"/>
              </w:rPr>
              <w:t>.54</w:t>
            </w:r>
          </w:p>
        </w:tc>
        <w:tc>
          <w:tcPr>
            <w:tcW w:w="706" w:type="dxa"/>
            <w:tcBorders>
              <w:top w:val="nil"/>
              <w:left w:val="nil"/>
              <w:bottom w:val="nil"/>
              <w:right w:val="nil"/>
            </w:tcBorders>
            <w:noWrap/>
            <w:vAlign w:val="center"/>
          </w:tcPr>
          <w:p w14:paraId="50328AD7" w14:textId="77777777" w:rsidR="000B19C6" w:rsidRPr="009B4A0E" w:rsidRDefault="00000000" w:rsidP="000B19C6">
            <w:pPr>
              <w:ind w:firstLine="0"/>
              <w:jc w:val="center"/>
              <w:rPr>
                <w:rFonts w:eastAsia="MS Mincho"/>
                <w:color w:val="auto"/>
                <w:sz w:val="16"/>
                <w:szCs w:val="16"/>
              </w:rPr>
            </w:pPr>
            <w:r w:rsidRPr="009B4A0E">
              <w:rPr>
                <w:rFonts w:eastAsia="MS Mincho"/>
                <w:color w:val="auto"/>
                <w:sz w:val="16"/>
                <w:szCs w:val="16"/>
              </w:rPr>
              <w:t>.47</w:t>
            </w:r>
          </w:p>
        </w:tc>
        <w:tc>
          <w:tcPr>
            <w:tcW w:w="706" w:type="dxa"/>
            <w:tcBorders>
              <w:top w:val="nil"/>
              <w:left w:val="nil"/>
              <w:bottom w:val="nil"/>
              <w:right w:val="nil"/>
            </w:tcBorders>
            <w:noWrap/>
            <w:vAlign w:val="center"/>
          </w:tcPr>
          <w:p w14:paraId="3E053345" w14:textId="77777777" w:rsidR="000B19C6" w:rsidRPr="009B4A0E" w:rsidRDefault="00000000" w:rsidP="000B19C6">
            <w:pPr>
              <w:ind w:firstLine="0"/>
              <w:jc w:val="center"/>
              <w:rPr>
                <w:rFonts w:eastAsia="MS Mincho"/>
                <w:color w:val="auto"/>
                <w:sz w:val="16"/>
                <w:szCs w:val="16"/>
              </w:rPr>
            </w:pPr>
            <w:r w:rsidRPr="009B4A0E">
              <w:rPr>
                <w:rFonts w:eastAsia="MS Mincho"/>
                <w:color w:val="auto"/>
                <w:sz w:val="16"/>
                <w:szCs w:val="16"/>
              </w:rPr>
              <w:t>.47</w:t>
            </w:r>
          </w:p>
        </w:tc>
        <w:tc>
          <w:tcPr>
            <w:tcW w:w="706" w:type="dxa"/>
            <w:tcBorders>
              <w:top w:val="nil"/>
              <w:left w:val="nil"/>
              <w:bottom w:val="nil"/>
              <w:right w:val="nil"/>
            </w:tcBorders>
            <w:vAlign w:val="center"/>
          </w:tcPr>
          <w:p w14:paraId="688CBDBF" w14:textId="77777777" w:rsidR="000B19C6" w:rsidRPr="009B4A0E" w:rsidRDefault="00000000" w:rsidP="000B19C6">
            <w:pPr>
              <w:ind w:firstLine="0"/>
              <w:jc w:val="center"/>
              <w:rPr>
                <w:rFonts w:eastAsia="MS Mincho"/>
                <w:color w:val="auto"/>
                <w:sz w:val="16"/>
                <w:szCs w:val="16"/>
              </w:rPr>
            </w:pPr>
            <w:r w:rsidRPr="009B4A0E">
              <w:rPr>
                <w:rFonts w:eastAsia="MS Mincho"/>
                <w:color w:val="auto"/>
                <w:sz w:val="16"/>
                <w:szCs w:val="16"/>
              </w:rPr>
              <w:t>.40</w:t>
            </w:r>
          </w:p>
        </w:tc>
        <w:tc>
          <w:tcPr>
            <w:tcW w:w="706" w:type="dxa"/>
            <w:tcBorders>
              <w:top w:val="nil"/>
              <w:left w:val="nil"/>
              <w:bottom w:val="nil"/>
              <w:right w:val="nil"/>
            </w:tcBorders>
            <w:vAlign w:val="center"/>
          </w:tcPr>
          <w:p w14:paraId="7A5846DD" w14:textId="77777777" w:rsidR="000B19C6" w:rsidRPr="009B4A0E" w:rsidRDefault="00000000" w:rsidP="000B19C6">
            <w:pPr>
              <w:ind w:firstLine="0"/>
              <w:jc w:val="center"/>
              <w:rPr>
                <w:rFonts w:eastAsia="MS Mincho"/>
                <w:color w:val="auto"/>
                <w:sz w:val="16"/>
                <w:szCs w:val="16"/>
              </w:rPr>
            </w:pPr>
            <w:r w:rsidRPr="009B4A0E">
              <w:rPr>
                <w:rFonts w:eastAsia="MS Mincho"/>
                <w:color w:val="auto"/>
                <w:sz w:val="16"/>
                <w:szCs w:val="16"/>
              </w:rPr>
              <w:t>.54</w:t>
            </w:r>
          </w:p>
        </w:tc>
      </w:tr>
      <w:tr w:rsidR="00AA6907" w14:paraId="3BC769F8" w14:textId="77777777" w:rsidTr="008A02C1">
        <w:trPr>
          <w:trHeight w:val="729"/>
          <w:jc w:val="center"/>
        </w:trPr>
        <w:tc>
          <w:tcPr>
            <w:tcW w:w="1080" w:type="dxa"/>
            <w:tcBorders>
              <w:top w:val="nil"/>
              <w:left w:val="nil"/>
              <w:bottom w:val="nil"/>
              <w:right w:val="nil"/>
            </w:tcBorders>
            <w:vAlign w:val="center"/>
          </w:tcPr>
          <w:p w14:paraId="46128306" w14:textId="77777777" w:rsidR="000B19C6" w:rsidRPr="009B4A0E" w:rsidRDefault="00000000" w:rsidP="000B19C6">
            <w:pPr>
              <w:ind w:firstLine="0"/>
              <w:jc w:val="left"/>
              <w:rPr>
                <w:rFonts w:eastAsia="MS Mincho"/>
                <w:color w:val="auto"/>
                <w:sz w:val="16"/>
                <w:szCs w:val="16"/>
              </w:rPr>
            </w:pPr>
            <w:r w:rsidRPr="009B4A0E">
              <w:rPr>
                <w:rFonts w:eastAsia="MS Mincho"/>
                <w:color w:val="auto"/>
                <w:sz w:val="16"/>
                <w:szCs w:val="16"/>
              </w:rPr>
              <w:t xml:space="preserve">Verification attempt </w:t>
            </w:r>
            <w:r>
              <w:rPr>
                <w:rFonts w:eastAsia="MS Mincho"/>
                <w:color w:val="auto"/>
                <w:sz w:val="16"/>
                <w:szCs w:val="16"/>
              </w:rPr>
              <w:t>6</w:t>
            </w:r>
          </w:p>
        </w:tc>
        <w:tc>
          <w:tcPr>
            <w:tcW w:w="3420" w:type="dxa"/>
            <w:tcBorders>
              <w:top w:val="nil"/>
              <w:left w:val="nil"/>
              <w:bottom w:val="nil"/>
              <w:right w:val="nil"/>
            </w:tcBorders>
            <w:vAlign w:val="center"/>
            <w:hideMark/>
          </w:tcPr>
          <w:p w14:paraId="4F3949C1" w14:textId="77777777" w:rsidR="000B19C6" w:rsidRPr="009B4A0E" w:rsidRDefault="00000000" w:rsidP="000B19C6">
            <w:pPr>
              <w:ind w:firstLine="0"/>
              <w:jc w:val="left"/>
              <w:rPr>
                <w:rFonts w:eastAsia="MS Mincho"/>
                <w:color w:val="auto"/>
                <w:sz w:val="16"/>
                <w:szCs w:val="16"/>
              </w:rPr>
            </w:pPr>
            <w:r w:rsidRPr="009B4A0E">
              <w:rPr>
                <w:rFonts w:eastAsia="MS Mincho"/>
                <w:color w:val="auto"/>
                <w:sz w:val="16"/>
                <w:szCs w:val="16"/>
              </w:rPr>
              <w:t>A mix of Hunter &amp; Schmidt and Hedges methods using Viechtbauer's (2022) implementation in R and metafor.</w:t>
            </w:r>
          </w:p>
        </w:tc>
        <w:tc>
          <w:tcPr>
            <w:tcW w:w="4332" w:type="dxa"/>
            <w:tcBorders>
              <w:top w:val="nil"/>
              <w:left w:val="nil"/>
              <w:bottom w:val="nil"/>
              <w:right w:val="nil"/>
            </w:tcBorders>
            <w:vAlign w:val="center"/>
            <w:hideMark/>
          </w:tcPr>
          <w:p w14:paraId="63CF6361" w14:textId="77777777" w:rsidR="000B19C6" w:rsidRPr="009B4A0E" w:rsidRDefault="00000000" w:rsidP="000B19C6">
            <w:pPr>
              <w:ind w:firstLine="0"/>
              <w:jc w:val="left"/>
              <w:rPr>
                <w:rFonts w:eastAsia="MS Mincho"/>
                <w:color w:val="auto"/>
                <w:sz w:val="16"/>
                <w:szCs w:val="16"/>
              </w:rPr>
            </w:pPr>
            <w:r w:rsidRPr="009B4A0E">
              <w:rPr>
                <w:rFonts w:eastAsia="MS Mincho"/>
                <w:color w:val="auto"/>
                <w:sz w:val="16"/>
                <w:szCs w:val="16"/>
              </w:rPr>
              <w:t>Credibility intervals were implemented using Field &amp; Gillett</w:t>
            </w:r>
            <w:r w:rsidR="009862CD">
              <w:rPr>
                <w:rFonts w:eastAsia="MS Mincho"/>
                <w:color w:val="auto"/>
                <w:sz w:val="16"/>
                <w:szCs w:val="16"/>
              </w:rPr>
              <w:t>’</w:t>
            </w:r>
            <w:r w:rsidRPr="009B4A0E">
              <w:rPr>
                <w:rFonts w:eastAsia="MS Mincho"/>
                <w:color w:val="auto"/>
                <w:sz w:val="16"/>
                <w:szCs w:val="16"/>
              </w:rPr>
              <w:t xml:space="preserve">s (2010) equations 2 to 5. Fisher's </w:t>
            </w:r>
            <w:r w:rsidRPr="009B4A0E">
              <w:rPr>
                <w:rFonts w:eastAsia="MS Mincho"/>
                <w:i/>
                <w:iCs/>
                <w:color w:val="auto"/>
                <w:sz w:val="16"/>
                <w:szCs w:val="16"/>
              </w:rPr>
              <w:t>r</w:t>
            </w:r>
            <w:r w:rsidRPr="009B4A0E">
              <w:rPr>
                <w:rFonts w:eastAsia="MS Mincho"/>
                <w:color w:val="auto"/>
                <w:sz w:val="16"/>
                <w:szCs w:val="16"/>
              </w:rPr>
              <w:t>-to-</w:t>
            </w:r>
            <w:r w:rsidRPr="009B4A0E">
              <w:rPr>
                <w:rFonts w:eastAsia="MS Mincho"/>
                <w:i/>
                <w:iCs/>
                <w:color w:val="auto"/>
                <w:sz w:val="16"/>
                <w:szCs w:val="16"/>
              </w:rPr>
              <w:t>z</w:t>
            </w:r>
            <w:r w:rsidRPr="009B4A0E">
              <w:rPr>
                <w:rFonts w:eastAsia="MS Mincho"/>
                <w:color w:val="auto"/>
                <w:sz w:val="16"/>
                <w:szCs w:val="16"/>
              </w:rPr>
              <w:t xml:space="preserve"> transformations and </w:t>
            </w:r>
            <w:r w:rsidRPr="009B4A0E">
              <w:rPr>
                <w:rFonts w:eastAsia="MS Mincho"/>
                <w:i/>
                <w:iCs/>
                <w:color w:val="auto"/>
                <w:sz w:val="16"/>
                <w:szCs w:val="16"/>
              </w:rPr>
              <w:t>z</w:t>
            </w:r>
            <w:r w:rsidRPr="009B4A0E">
              <w:rPr>
                <w:rFonts w:eastAsia="MS Mincho"/>
                <w:color w:val="auto"/>
                <w:sz w:val="16"/>
                <w:szCs w:val="16"/>
              </w:rPr>
              <w:t>-to-</w:t>
            </w:r>
            <w:r w:rsidRPr="009B4A0E">
              <w:rPr>
                <w:rFonts w:eastAsia="MS Mincho"/>
                <w:i/>
                <w:iCs/>
                <w:color w:val="auto"/>
                <w:sz w:val="16"/>
                <w:szCs w:val="16"/>
              </w:rPr>
              <w:t>r</w:t>
            </w:r>
            <w:r w:rsidRPr="009B4A0E">
              <w:rPr>
                <w:rFonts w:eastAsia="MS Mincho"/>
                <w:color w:val="auto"/>
                <w:sz w:val="16"/>
                <w:szCs w:val="16"/>
              </w:rPr>
              <w:t xml:space="preserve"> back transformations.</w:t>
            </w:r>
          </w:p>
        </w:tc>
        <w:tc>
          <w:tcPr>
            <w:tcW w:w="706" w:type="dxa"/>
            <w:tcBorders>
              <w:top w:val="nil"/>
              <w:left w:val="nil"/>
              <w:bottom w:val="nil"/>
              <w:right w:val="nil"/>
            </w:tcBorders>
            <w:noWrap/>
            <w:vAlign w:val="center"/>
            <w:hideMark/>
          </w:tcPr>
          <w:p w14:paraId="26245A27" w14:textId="77777777" w:rsidR="000B19C6" w:rsidRPr="009B4A0E" w:rsidRDefault="00000000" w:rsidP="000B19C6">
            <w:pPr>
              <w:ind w:firstLine="0"/>
              <w:jc w:val="center"/>
              <w:rPr>
                <w:rFonts w:eastAsia="MS Mincho"/>
                <w:color w:val="auto"/>
                <w:sz w:val="16"/>
                <w:szCs w:val="16"/>
              </w:rPr>
            </w:pPr>
            <w:r w:rsidRPr="009B4A0E">
              <w:rPr>
                <w:rFonts w:eastAsia="MS Mincho"/>
                <w:color w:val="auto"/>
                <w:sz w:val="16"/>
                <w:szCs w:val="16"/>
              </w:rPr>
              <w:t>.47</w:t>
            </w:r>
          </w:p>
        </w:tc>
        <w:tc>
          <w:tcPr>
            <w:tcW w:w="706" w:type="dxa"/>
            <w:tcBorders>
              <w:top w:val="nil"/>
              <w:left w:val="nil"/>
              <w:bottom w:val="nil"/>
              <w:right w:val="nil"/>
            </w:tcBorders>
            <w:shd w:val="clear" w:color="auto" w:fill="D9D9D9"/>
            <w:noWrap/>
            <w:vAlign w:val="center"/>
            <w:hideMark/>
          </w:tcPr>
          <w:p w14:paraId="5BA362CF" w14:textId="77777777" w:rsidR="000B19C6" w:rsidRPr="009B4A0E" w:rsidRDefault="00000000" w:rsidP="000B19C6">
            <w:pPr>
              <w:ind w:firstLine="0"/>
              <w:jc w:val="center"/>
              <w:rPr>
                <w:rFonts w:eastAsia="MS Mincho"/>
                <w:color w:val="auto"/>
                <w:sz w:val="16"/>
                <w:szCs w:val="16"/>
              </w:rPr>
            </w:pPr>
            <w:r w:rsidRPr="009B4A0E">
              <w:rPr>
                <w:rFonts w:eastAsia="MS Mincho"/>
                <w:color w:val="auto"/>
                <w:sz w:val="16"/>
                <w:szCs w:val="16"/>
              </w:rPr>
              <w:t>.40</w:t>
            </w:r>
          </w:p>
        </w:tc>
        <w:tc>
          <w:tcPr>
            <w:tcW w:w="706" w:type="dxa"/>
            <w:tcBorders>
              <w:top w:val="nil"/>
              <w:left w:val="nil"/>
              <w:bottom w:val="nil"/>
              <w:right w:val="nil"/>
            </w:tcBorders>
            <w:shd w:val="clear" w:color="auto" w:fill="D9D9D9"/>
            <w:noWrap/>
            <w:vAlign w:val="center"/>
            <w:hideMark/>
          </w:tcPr>
          <w:p w14:paraId="26127478" w14:textId="77777777" w:rsidR="000B19C6" w:rsidRPr="009B4A0E" w:rsidRDefault="00000000" w:rsidP="000B19C6">
            <w:pPr>
              <w:ind w:firstLine="0"/>
              <w:jc w:val="center"/>
              <w:rPr>
                <w:rFonts w:eastAsia="MS Mincho"/>
                <w:color w:val="auto"/>
                <w:sz w:val="16"/>
                <w:szCs w:val="16"/>
              </w:rPr>
            </w:pPr>
            <w:r w:rsidRPr="009B4A0E">
              <w:rPr>
                <w:rFonts w:eastAsia="MS Mincho"/>
                <w:color w:val="auto"/>
                <w:sz w:val="16"/>
                <w:szCs w:val="16"/>
              </w:rPr>
              <w:t>.54</w:t>
            </w:r>
          </w:p>
        </w:tc>
        <w:tc>
          <w:tcPr>
            <w:tcW w:w="706" w:type="dxa"/>
            <w:tcBorders>
              <w:top w:val="nil"/>
              <w:left w:val="nil"/>
              <w:bottom w:val="nil"/>
              <w:right w:val="nil"/>
            </w:tcBorders>
            <w:noWrap/>
            <w:vAlign w:val="center"/>
            <w:hideMark/>
          </w:tcPr>
          <w:p w14:paraId="2D0AEE32" w14:textId="77777777" w:rsidR="000B19C6" w:rsidRPr="009B4A0E" w:rsidRDefault="00000000" w:rsidP="000B19C6">
            <w:pPr>
              <w:ind w:firstLine="0"/>
              <w:jc w:val="center"/>
              <w:rPr>
                <w:rFonts w:eastAsia="MS Mincho"/>
                <w:color w:val="auto"/>
                <w:sz w:val="16"/>
                <w:szCs w:val="16"/>
              </w:rPr>
            </w:pPr>
            <w:r w:rsidRPr="009B4A0E">
              <w:rPr>
                <w:rFonts w:eastAsia="MS Mincho"/>
                <w:color w:val="auto"/>
                <w:sz w:val="16"/>
                <w:szCs w:val="16"/>
              </w:rPr>
              <w:t>.47</w:t>
            </w:r>
          </w:p>
        </w:tc>
        <w:tc>
          <w:tcPr>
            <w:tcW w:w="706" w:type="dxa"/>
            <w:tcBorders>
              <w:top w:val="nil"/>
              <w:left w:val="nil"/>
              <w:bottom w:val="nil"/>
              <w:right w:val="nil"/>
            </w:tcBorders>
            <w:noWrap/>
            <w:vAlign w:val="center"/>
            <w:hideMark/>
          </w:tcPr>
          <w:p w14:paraId="1760BC66" w14:textId="77777777" w:rsidR="000B19C6" w:rsidRPr="009B4A0E" w:rsidRDefault="00000000" w:rsidP="000B19C6">
            <w:pPr>
              <w:ind w:firstLine="0"/>
              <w:jc w:val="center"/>
              <w:rPr>
                <w:rFonts w:eastAsia="MS Mincho"/>
                <w:color w:val="auto"/>
                <w:sz w:val="16"/>
                <w:szCs w:val="16"/>
              </w:rPr>
            </w:pPr>
            <w:r w:rsidRPr="009B4A0E">
              <w:rPr>
                <w:rFonts w:eastAsia="MS Mincho"/>
                <w:color w:val="auto"/>
                <w:sz w:val="16"/>
                <w:szCs w:val="16"/>
              </w:rPr>
              <w:t>.47</w:t>
            </w:r>
          </w:p>
        </w:tc>
        <w:tc>
          <w:tcPr>
            <w:tcW w:w="706" w:type="dxa"/>
            <w:tcBorders>
              <w:top w:val="nil"/>
              <w:left w:val="nil"/>
              <w:bottom w:val="nil"/>
              <w:right w:val="nil"/>
            </w:tcBorders>
            <w:vAlign w:val="center"/>
          </w:tcPr>
          <w:p w14:paraId="75284C6C" w14:textId="77777777" w:rsidR="000B19C6" w:rsidRPr="009B4A0E" w:rsidRDefault="00000000" w:rsidP="000B19C6">
            <w:pPr>
              <w:ind w:firstLine="0"/>
              <w:jc w:val="center"/>
              <w:rPr>
                <w:rFonts w:eastAsia="MS Mincho"/>
                <w:color w:val="auto"/>
                <w:sz w:val="16"/>
                <w:szCs w:val="16"/>
              </w:rPr>
            </w:pPr>
            <w:r w:rsidRPr="009B4A0E">
              <w:rPr>
                <w:rFonts w:eastAsia="MS Mincho"/>
                <w:color w:val="auto"/>
                <w:sz w:val="16"/>
                <w:szCs w:val="16"/>
              </w:rPr>
              <w:t>.40</w:t>
            </w:r>
          </w:p>
        </w:tc>
        <w:tc>
          <w:tcPr>
            <w:tcW w:w="706" w:type="dxa"/>
            <w:tcBorders>
              <w:top w:val="nil"/>
              <w:left w:val="nil"/>
              <w:bottom w:val="nil"/>
              <w:right w:val="nil"/>
            </w:tcBorders>
            <w:vAlign w:val="center"/>
          </w:tcPr>
          <w:p w14:paraId="2608D45B" w14:textId="77777777" w:rsidR="000B19C6" w:rsidRPr="009B4A0E" w:rsidRDefault="00000000" w:rsidP="000B19C6">
            <w:pPr>
              <w:ind w:firstLine="0"/>
              <w:jc w:val="center"/>
              <w:rPr>
                <w:rFonts w:eastAsia="MS Mincho"/>
                <w:color w:val="auto"/>
                <w:sz w:val="16"/>
                <w:szCs w:val="16"/>
              </w:rPr>
            </w:pPr>
            <w:r w:rsidRPr="009B4A0E">
              <w:rPr>
                <w:rFonts w:eastAsia="MS Mincho"/>
                <w:color w:val="auto"/>
                <w:sz w:val="16"/>
                <w:szCs w:val="16"/>
              </w:rPr>
              <w:t>.54</w:t>
            </w:r>
          </w:p>
        </w:tc>
      </w:tr>
      <w:tr w:rsidR="00AA6907" w14:paraId="5544594E" w14:textId="77777777" w:rsidTr="002D69CC">
        <w:trPr>
          <w:trHeight w:val="729"/>
          <w:jc w:val="center"/>
        </w:trPr>
        <w:tc>
          <w:tcPr>
            <w:tcW w:w="1080" w:type="dxa"/>
            <w:tcBorders>
              <w:top w:val="nil"/>
              <w:left w:val="nil"/>
              <w:bottom w:val="single" w:sz="4" w:space="0" w:color="auto"/>
              <w:right w:val="nil"/>
            </w:tcBorders>
            <w:vAlign w:val="center"/>
          </w:tcPr>
          <w:p w14:paraId="6C3930CC" w14:textId="77777777" w:rsidR="000B19C6" w:rsidRPr="009B4A0E" w:rsidRDefault="00000000" w:rsidP="000B19C6">
            <w:pPr>
              <w:ind w:firstLine="0"/>
              <w:jc w:val="left"/>
              <w:rPr>
                <w:rFonts w:eastAsia="MS Mincho"/>
                <w:color w:val="auto"/>
                <w:sz w:val="16"/>
                <w:szCs w:val="16"/>
              </w:rPr>
            </w:pPr>
            <w:r w:rsidRPr="009B4A0E">
              <w:rPr>
                <w:rFonts w:eastAsia="MS Mincho"/>
                <w:color w:val="auto"/>
                <w:sz w:val="16"/>
                <w:szCs w:val="16"/>
              </w:rPr>
              <w:t xml:space="preserve">Verification attempt </w:t>
            </w:r>
            <w:r>
              <w:rPr>
                <w:rFonts w:eastAsia="MS Mincho"/>
                <w:color w:val="auto"/>
                <w:sz w:val="16"/>
                <w:szCs w:val="16"/>
              </w:rPr>
              <w:t>7</w:t>
            </w:r>
          </w:p>
        </w:tc>
        <w:tc>
          <w:tcPr>
            <w:tcW w:w="3420" w:type="dxa"/>
            <w:tcBorders>
              <w:top w:val="nil"/>
              <w:left w:val="nil"/>
              <w:bottom w:val="single" w:sz="4" w:space="0" w:color="auto"/>
              <w:right w:val="nil"/>
            </w:tcBorders>
            <w:vAlign w:val="center"/>
          </w:tcPr>
          <w:p w14:paraId="6911FCEA" w14:textId="77777777" w:rsidR="000B19C6" w:rsidRPr="009B4A0E" w:rsidRDefault="00000000" w:rsidP="000B19C6">
            <w:pPr>
              <w:ind w:firstLine="0"/>
              <w:jc w:val="left"/>
              <w:rPr>
                <w:rFonts w:eastAsia="MS Mincho"/>
                <w:color w:val="auto"/>
                <w:sz w:val="16"/>
                <w:szCs w:val="16"/>
              </w:rPr>
            </w:pPr>
            <w:r w:rsidRPr="00B26ABB">
              <w:rPr>
                <w:rFonts w:eastAsia="MS Mincho"/>
                <w:color w:val="auto"/>
                <w:sz w:val="16"/>
                <w:szCs w:val="16"/>
              </w:rPr>
              <w:t>Hunter &amp; Schmidt method using Field &amp; Gillett’s (2010) “h_s_syntax.sps”</w:t>
            </w:r>
          </w:p>
        </w:tc>
        <w:tc>
          <w:tcPr>
            <w:tcW w:w="4332" w:type="dxa"/>
            <w:tcBorders>
              <w:top w:val="nil"/>
              <w:left w:val="nil"/>
              <w:bottom w:val="single" w:sz="4" w:space="0" w:color="auto"/>
              <w:right w:val="nil"/>
            </w:tcBorders>
            <w:vAlign w:val="center"/>
          </w:tcPr>
          <w:p w14:paraId="7220921E" w14:textId="77777777" w:rsidR="000B19C6" w:rsidRPr="009B4A0E" w:rsidRDefault="00000000" w:rsidP="000B19C6">
            <w:pPr>
              <w:ind w:firstLine="0"/>
              <w:jc w:val="left"/>
              <w:rPr>
                <w:rFonts w:eastAsia="MS Mincho"/>
                <w:color w:val="auto"/>
                <w:sz w:val="16"/>
                <w:szCs w:val="16"/>
              </w:rPr>
            </w:pPr>
            <w:r w:rsidRPr="00B26ABB">
              <w:rPr>
                <w:rFonts w:eastAsia="MS Mincho"/>
                <w:color w:val="auto"/>
                <w:sz w:val="16"/>
                <w:szCs w:val="16"/>
              </w:rPr>
              <w:t>All reliabilities were set to 0. Data were the 56 individual weighted effect sizes rather than 15 weighted average effect sizes.**</w:t>
            </w:r>
          </w:p>
        </w:tc>
        <w:tc>
          <w:tcPr>
            <w:tcW w:w="706" w:type="dxa"/>
            <w:tcBorders>
              <w:top w:val="nil"/>
              <w:left w:val="nil"/>
              <w:bottom w:val="single" w:sz="4" w:space="0" w:color="auto"/>
              <w:right w:val="nil"/>
            </w:tcBorders>
            <w:noWrap/>
            <w:vAlign w:val="center"/>
          </w:tcPr>
          <w:p w14:paraId="6692856D" w14:textId="77777777" w:rsidR="000B19C6" w:rsidRPr="009B4A0E" w:rsidRDefault="00000000" w:rsidP="000B19C6">
            <w:pPr>
              <w:ind w:firstLine="0"/>
              <w:jc w:val="center"/>
              <w:rPr>
                <w:rFonts w:eastAsia="MS Mincho"/>
                <w:color w:val="auto"/>
                <w:sz w:val="16"/>
                <w:szCs w:val="16"/>
              </w:rPr>
            </w:pPr>
            <w:r w:rsidRPr="00B26ABB">
              <w:rPr>
                <w:rFonts w:eastAsia="MS Mincho"/>
                <w:color w:val="auto"/>
                <w:sz w:val="16"/>
                <w:szCs w:val="16"/>
              </w:rPr>
              <w:t>.48</w:t>
            </w:r>
          </w:p>
        </w:tc>
        <w:tc>
          <w:tcPr>
            <w:tcW w:w="706" w:type="dxa"/>
            <w:tcBorders>
              <w:top w:val="nil"/>
              <w:left w:val="nil"/>
              <w:bottom w:val="single" w:sz="4" w:space="0" w:color="auto"/>
              <w:right w:val="nil"/>
            </w:tcBorders>
            <w:shd w:val="clear" w:color="auto" w:fill="D9D9D9"/>
            <w:noWrap/>
            <w:vAlign w:val="center"/>
          </w:tcPr>
          <w:p w14:paraId="1E15A275" w14:textId="77777777" w:rsidR="000B19C6" w:rsidRPr="009B4A0E" w:rsidRDefault="00000000" w:rsidP="000B19C6">
            <w:pPr>
              <w:ind w:firstLine="0"/>
              <w:jc w:val="center"/>
              <w:rPr>
                <w:rFonts w:eastAsia="MS Mincho"/>
                <w:color w:val="auto"/>
                <w:sz w:val="16"/>
                <w:szCs w:val="16"/>
              </w:rPr>
            </w:pPr>
            <w:r w:rsidRPr="00B26ABB">
              <w:rPr>
                <w:rFonts w:eastAsia="MS Mincho"/>
                <w:color w:val="auto"/>
                <w:sz w:val="16"/>
                <w:szCs w:val="16"/>
              </w:rPr>
              <w:t>.20</w:t>
            </w:r>
          </w:p>
        </w:tc>
        <w:tc>
          <w:tcPr>
            <w:tcW w:w="706" w:type="dxa"/>
            <w:tcBorders>
              <w:top w:val="nil"/>
              <w:left w:val="nil"/>
              <w:bottom w:val="single" w:sz="4" w:space="0" w:color="auto"/>
              <w:right w:val="nil"/>
            </w:tcBorders>
            <w:shd w:val="clear" w:color="auto" w:fill="D9D9D9"/>
            <w:noWrap/>
            <w:vAlign w:val="center"/>
          </w:tcPr>
          <w:p w14:paraId="3F061FA5" w14:textId="77777777" w:rsidR="000B19C6" w:rsidRPr="009B4A0E" w:rsidRDefault="00000000" w:rsidP="000B19C6">
            <w:pPr>
              <w:ind w:firstLine="0"/>
              <w:jc w:val="center"/>
              <w:rPr>
                <w:rFonts w:eastAsia="MS Mincho"/>
                <w:color w:val="auto"/>
                <w:sz w:val="16"/>
                <w:szCs w:val="16"/>
              </w:rPr>
            </w:pPr>
            <w:r w:rsidRPr="00B26ABB">
              <w:rPr>
                <w:rFonts w:eastAsia="MS Mincho"/>
                <w:color w:val="auto"/>
                <w:sz w:val="16"/>
                <w:szCs w:val="16"/>
              </w:rPr>
              <w:t>.76</w:t>
            </w:r>
          </w:p>
        </w:tc>
        <w:tc>
          <w:tcPr>
            <w:tcW w:w="706" w:type="dxa"/>
            <w:tcBorders>
              <w:top w:val="nil"/>
              <w:left w:val="nil"/>
              <w:bottom w:val="single" w:sz="4" w:space="0" w:color="auto"/>
              <w:right w:val="nil"/>
            </w:tcBorders>
            <w:noWrap/>
            <w:vAlign w:val="center"/>
          </w:tcPr>
          <w:p w14:paraId="68F8DF2C" w14:textId="77777777" w:rsidR="000B19C6" w:rsidRPr="009B4A0E" w:rsidRDefault="00000000" w:rsidP="000B19C6">
            <w:pPr>
              <w:ind w:firstLine="0"/>
              <w:jc w:val="center"/>
              <w:rPr>
                <w:rFonts w:eastAsia="MS Mincho"/>
                <w:color w:val="auto"/>
                <w:sz w:val="16"/>
                <w:szCs w:val="16"/>
              </w:rPr>
            </w:pPr>
            <w:r w:rsidRPr="00B26ABB">
              <w:rPr>
                <w:rFonts w:eastAsia="MS Mincho"/>
                <w:color w:val="auto"/>
                <w:sz w:val="16"/>
                <w:szCs w:val="16"/>
              </w:rPr>
              <w:t>.39</w:t>
            </w:r>
          </w:p>
        </w:tc>
        <w:tc>
          <w:tcPr>
            <w:tcW w:w="706" w:type="dxa"/>
            <w:tcBorders>
              <w:top w:val="nil"/>
              <w:left w:val="nil"/>
              <w:bottom w:val="single" w:sz="4" w:space="0" w:color="auto"/>
              <w:right w:val="nil"/>
            </w:tcBorders>
            <w:noWrap/>
            <w:vAlign w:val="center"/>
          </w:tcPr>
          <w:p w14:paraId="2E9679D8" w14:textId="77777777" w:rsidR="000B19C6" w:rsidRPr="009B4A0E" w:rsidRDefault="00000000" w:rsidP="000B19C6">
            <w:pPr>
              <w:ind w:firstLine="0"/>
              <w:jc w:val="center"/>
              <w:rPr>
                <w:rFonts w:eastAsia="MS Mincho"/>
                <w:color w:val="auto"/>
                <w:sz w:val="16"/>
                <w:szCs w:val="16"/>
              </w:rPr>
            </w:pPr>
            <w:r w:rsidRPr="00B26ABB">
              <w:rPr>
                <w:rFonts w:eastAsia="MS Mincho"/>
                <w:color w:val="auto"/>
                <w:sz w:val="16"/>
                <w:szCs w:val="16"/>
              </w:rPr>
              <w:t>.57</w:t>
            </w:r>
          </w:p>
        </w:tc>
        <w:tc>
          <w:tcPr>
            <w:tcW w:w="706" w:type="dxa"/>
            <w:tcBorders>
              <w:top w:val="nil"/>
              <w:left w:val="nil"/>
              <w:bottom w:val="single" w:sz="4" w:space="0" w:color="auto"/>
              <w:right w:val="nil"/>
            </w:tcBorders>
            <w:vAlign w:val="center"/>
          </w:tcPr>
          <w:p w14:paraId="5DCD2BA8" w14:textId="77777777" w:rsidR="000B19C6" w:rsidRPr="009B4A0E" w:rsidRDefault="00000000" w:rsidP="000B19C6">
            <w:pPr>
              <w:ind w:firstLine="0"/>
              <w:jc w:val="center"/>
              <w:rPr>
                <w:rFonts w:eastAsia="MS Mincho"/>
                <w:color w:val="auto"/>
                <w:sz w:val="16"/>
                <w:szCs w:val="16"/>
              </w:rPr>
            </w:pPr>
            <w:r w:rsidRPr="00B26ABB">
              <w:rPr>
                <w:rFonts w:eastAsia="MS Mincho"/>
                <w:color w:val="auto"/>
                <w:sz w:val="16"/>
                <w:szCs w:val="16"/>
              </w:rPr>
              <w:t>-</w:t>
            </w:r>
          </w:p>
        </w:tc>
        <w:tc>
          <w:tcPr>
            <w:tcW w:w="706" w:type="dxa"/>
            <w:tcBorders>
              <w:top w:val="nil"/>
              <w:left w:val="nil"/>
              <w:bottom w:val="single" w:sz="4" w:space="0" w:color="auto"/>
              <w:right w:val="nil"/>
            </w:tcBorders>
            <w:vAlign w:val="center"/>
          </w:tcPr>
          <w:p w14:paraId="2310C438" w14:textId="77777777" w:rsidR="000B19C6" w:rsidRPr="009B4A0E" w:rsidRDefault="00000000" w:rsidP="000B19C6">
            <w:pPr>
              <w:ind w:firstLine="0"/>
              <w:jc w:val="center"/>
              <w:rPr>
                <w:rFonts w:eastAsia="MS Mincho"/>
                <w:color w:val="auto"/>
                <w:sz w:val="16"/>
                <w:szCs w:val="16"/>
              </w:rPr>
            </w:pPr>
            <w:r w:rsidRPr="00B26ABB">
              <w:rPr>
                <w:rFonts w:eastAsia="MS Mincho"/>
                <w:color w:val="auto"/>
                <w:sz w:val="16"/>
                <w:szCs w:val="16"/>
              </w:rPr>
              <w:t>-</w:t>
            </w:r>
          </w:p>
        </w:tc>
      </w:tr>
      <w:tr w:rsidR="00AA6907" w14:paraId="73EF218F" w14:textId="77777777" w:rsidTr="002D69CC">
        <w:trPr>
          <w:trHeight w:val="729"/>
          <w:jc w:val="center"/>
        </w:trPr>
        <w:tc>
          <w:tcPr>
            <w:tcW w:w="13774" w:type="dxa"/>
            <w:gridSpan w:val="10"/>
            <w:tcBorders>
              <w:top w:val="single" w:sz="4" w:space="0" w:color="auto"/>
              <w:left w:val="nil"/>
              <w:bottom w:val="nil"/>
              <w:right w:val="nil"/>
            </w:tcBorders>
            <w:vAlign w:val="center"/>
          </w:tcPr>
          <w:p w14:paraId="3A22F1AF" w14:textId="77777777" w:rsidR="009B4A0E" w:rsidRDefault="00000000" w:rsidP="009B4A0E">
            <w:pPr>
              <w:ind w:firstLine="0"/>
              <w:jc w:val="left"/>
              <w:rPr>
                <w:rFonts w:eastAsia="MS Mincho"/>
                <w:sz w:val="16"/>
                <w:szCs w:val="16"/>
              </w:rPr>
            </w:pPr>
            <w:r w:rsidRPr="009B4A0E">
              <w:rPr>
                <w:rFonts w:eastAsia="MS Mincho"/>
                <w:i/>
                <w:iCs/>
                <w:color w:val="auto"/>
                <w:sz w:val="16"/>
                <w:szCs w:val="16"/>
              </w:rPr>
              <w:t>Notes:</w:t>
            </w:r>
            <w:r w:rsidRPr="009B4A0E">
              <w:rPr>
                <w:rFonts w:eastAsia="MS Mincho"/>
                <w:color w:val="auto"/>
                <w:sz w:val="16"/>
                <w:szCs w:val="16"/>
              </w:rPr>
              <w:t xml:space="preserve"> CI = Confidence Interval. CR = Credibility Interval. PI = Prediction Interval. Although PIs were not reported in Vahey et al. (2015), where possible they were calculated in the verification attempts to see if they corresponded with the original CRs on the basis that the CRs could have been mislabelled. Cells shaded in grey match those reported in Vahey et al. (2015) within </w:t>
            </w:r>
            <w:r w:rsidRPr="009B4A0E">
              <w:rPr>
                <w:sz w:val="16"/>
                <w:szCs w:val="16"/>
              </w:rPr>
              <w:t>what can be accounted for by rounding or truncation (</w:t>
            </w:r>
            <w:r w:rsidRPr="009B4A0E">
              <w:rPr>
                <w:rFonts w:eastAsia="MS Mincho"/>
                <w:sz w:val="16"/>
                <w:szCs w:val="16"/>
              </w:rPr>
              <w:t>±.01</w:t>
            </w:r>
            <w:r w:rsidRPr="009B4A0E">
              <w:rPr>
                <w:sz w:val="16"/>
                <w:szCs w:val="16"/>
              </w:rPr>
              <w:t>)</w:t>
            </w:r>
            <w:r w:rsidRPr="009B4A0E">
              <w:rPr>
                <w:rFonts w:eastAsia="MS Mincho"/>
                <w:sz w:val="16"/>
                <w:szCs w:val="16"/>
              </w:rPr>
              <w:t>.</w:t>
            </w:r>
          </w:p>
          <w:p w14:paraId="699E9313" w14:textId="77777777" w:rsidR="00845FB9" w:rsidRDefault="00000000" w:rsidP="00845FB9">
            <w:pPr>
              <w:ind w:firstLine="0"/>
              <w:jc w:val="left"/>
              <w:rPr>
                <w:rFonts w:eastAsia="MS Mincho"/>
                <w:color w:val="auto"/>
                <w:sz w:val="16"/>
                <w:szCs w:val="16"/>
              </w:rPr>
            </w:pPr>
            <w:r w:rsidRPr="007A3F37">
              <w:rPr>
                <w:rFonts w:eastAsia="MS Mincho"/>
                <w:color w:val="auto"/>
                <w:sz w:val="16"/>
                <w:szCs w:val="16"/>
              </w:rPr>
              <w:t>*</w:t>
            </w:r>
            <w:r>
              <w:rPr>
                <w:rFonts w:eastAsia="MS Mincho"/>
                <w:color w:val="auto"/>
                <w:sz w:val="16"/>
                <w:szCs w:val="16"/>
              </w:rPr>
              <w:t xml:space="preserve"> This SPSS script contains multiple </w:t>
            </w:r>
            <w:r w:rsidR="00D44D3B">
              <w:rPr>
                <w:rFonts w:eastAsia="MS Mincho"/>
                <w:color w:val="auto"/>
                <w:sz w:val="16"/>
                <w:szCs w:val="16"/>
              </w:rPr>
              <w:t>issues that prevent it from running</w:t>
            </w:r>
            <w:r>
              <w:rPr>
                <w:rFonts w:eastAsia="MS Mincho"/>
                <w:color w:val="auto"/>
                <w:sz w:val="16"/>
                <w:szCs w:val="16"/>
              </w:rPr>
              <w:t xml:space="preserve">. See main text for discussion.  </w:t>
            </w:r>
          </w:p>
          <w:p w14:paraId="037D2B34" w14:textId="77777777" w:rsidR="00EF3810" w:rsidRPr="007A3F37" w:rsidRDefault="00000000" w:rsidP="00845FB9">
            <w:pPr>
              <w:ind w:firstLine="0"/>
              <w:jc w:val="left"/>
              <w:rPr>
                <w:rFonts w:eastAsia="MS Mincho"/>
                <w:color w:val="auto"/>
                <w:sz w:val="16"/>
                <w:szCs w:val="16"/>
              </w:rPr>
            </w:pPr>
            <w:r>
              <w:rPr>
                <w:rFonts w:eastAsia="MS Mincho"/>
                <w:color w:val="auto"/>
                <w:sz w:val="16"/>
                <w:szCs w:val="16"/>
              </w:rPr>
              <w:t xml:space="preserve">** This verification attempt was performed on the speculative basis that perhaps Vahey et al. (2015) ran their meta-analysis on the 56 individual weighted effect sizes rather than than the 15 weighted average effect sizes. There is some mild alignment between the results of this analysis, but only on the assumption that Vahey et al. (2015) also confused their CIs with their CRs. Alignment is closer but still imperfect, i.e., </w:t>
            </w:r>
            <w:r w:rsidR="00224644">
              <w:rPr>
                <w:rFonts w:eastAsia="MS Mincho"/>
                <w:color w:val="auto"/>
                <w:sz w:val="16"/>
                <w:szCs w:val="16"/>
              </w:rPr>
              <w:t xml:space="preserve">reported </w:t>
            </w:r>
            <m:oMath>
              <m:acc>
                <m:accPr>
                  <m:chr m:val="̅"/>
                  <m:ctrlPr>
                    <w:rPr>
                      <w:rFonts w:ascii="Cambria Math" w:eastAsia="MS Mincho" w:hAnsi="Cambria Math"/>
                      <w:color w:val="auto"/>
                      <w:sz w:val="16"/>
                      <w:szCs w:val="16"/>
                    </w:rPr>
                  </m:ctrlPr>
                </m:accPr>
                <m:e>
                  <m:r>
                    <w:rPr>
                      <w:rFonts w:ascii="Cambria Math" w:eastAsia="MS Mincho" w:hAnsi="Cambria Math"/>
                      <w:color w:val="auto"/>
                      <w:sz w:val="16"/>
                      <w:szCs w:val="16"/>
                    </w:rPr>
                    <m:t>r</m:t>
                  </m:r>
                </m:e>
              </m:acc>
              <m:r>
                <w:rPr>
                  <w:rFonts w:ascii="Cambria Math" w:eastAsia="MS Mincho" w:hAnsi="Cambria Math"/>
                  <w:color w:val="auto"/>
                  <w:sz w:val="16"/>
                  <w:szCs w:val="16"/>
                </w:rPr>
                <m:t xml:space="preserve"> </m:t>
              </m:r>
            </m:oMath>
            <w:r w:rsidR="00224644">
              <w:rPr>
                <w:rFonts w:eastAsia="MS Mincho"/>
                <w:color w:val="auto"/>
                <w:sz w:val="16"/>
                <w:szCs w:val="16"/>
              </w:rPr>
              <w:t xml:space="preserve">= .45, reclaculated </w:t>
            </w:r>
            <m:oMath>
              <m:acc>
                <m:accPr>
                  <m:chr m:val="̅"/>
                  <m:ctrlPr>
                    <w:rPr>
                      <w:rFonts w:ascii="Cambria Math" w:eastAsia="MS Mincho" w:hAnsi="Cambria Math"/>
                      <w:color w:val="auto"/>
                      <w:sz w:val="16"/>
                      <w:szCs w:val="16"/>
                    </w:rPr>
                  </m:ctrlPr>
                </m:accPr>
                <m:e>
                  <m:r>
                    <w:rPr>
                      <w:rFonts w:ascii="Cambria Math" w:eastAsia="MS Mincho" w:hAnsi="Cambria Math"/>
                      <w:color w:val="auto"/>
                      <w:sz w:val="16"/>
                      <w:szCs w:val="16"/>
                    </w:rPr>
                    <m:t>r</m:t>
                  </m:r>
                </m:e>
              </m:acc>
              <m:r>
                <w:rPr>
                  <w:rFonts w:ascii="Cambria Math" w:eastAsia="MS Mincho" w:hAnsi="Cambria Math"/>
                  <w:color w:val="auto"/>
                  <w:sz w:val="16"/>
                  <w:szCs w:val="16"/>
                </w:rPr>
                <m:t xml:space="preserve"> </m:t>
              </m:r>
            </m:oMath>
            <w:r w:rsidR="00224644">
              <w:rPr>
                <w:rFonts w:eastAsia="MS Mincho"/>
                <w:color w:val="auto"/>
                <w:sz w:val="16"/>
                <w:szCs w:val="16"/>
              </w:rPr>
              <w:t xml:space="preserve">= .48; </w:t>
            </w:r>
            <w:r>
              <w:rPr>
                <w:rFonts w:eastAsia="MS Mincho"/>
                <w:color w:val="auto"/>
                <w:sz w:val="16"/>
                <w:szCs w:val="16"/>
              </w:rPr>
              <w:t xml:space="preserve">reported CI = [.40, .54], </w:t>
            </w:r>
            <w:r w:rsidR="00224644">
              <w:rPr>
                <w:rFonts w:eastAsia="MS Mincho"/>
                <w:color w:val="auto"/>
                <w:sz w:val="16"/>
                <w:szCs w:val="16"/>
              </w:rPr>
              <w:t xml:space="preserve">reclaculated </w:t>
            </w:r>
            <w:r>
              <w:rPr>
                <w:rFonts w:eastAsia="MS Mincho"/>
                <w:color w:val="auto"/>
                <w:sz w:val="16"/>
                <w:szCs w:val="16"/>
              </w:rPr>
              <w:t>CR = [.39, .57]; reported CR = [.23, .67[,</w:t>
            </w:r>
            <w:r w:rsidR="00224644">
              <w:rPr>
                <w:rFonts w:eastAsia="MS Mincho"/>
                <w:color w:val="auto"/>
                <w:sz w:val="16"/>
                <w:szCs w:val="16"/>
              </w:rPr>
              <w:t xml:space="preserve">reclaculated </w:t>
            </w:r>
            <w:r>
              <w:rPr>
                <w:rFonts w:eastAsia="MS Mincho"/>
                <w:color w:val="auto"/>
                <w:sz w:val="16"/>
                <w:szCs w:val="16"/>
              </w:rPr>
              <w:t xml:space="preserve">CI = [.20, 74]. </w:t>
            </w:r>
          </w:p>
        </w:tc>
      </w:tr>
    </w:tbl>
    <w:p w14:paraId="37E76994" w14:textId="77777777" w:rsidR="009B4A0E" w:rsidRDefault="009B4A0E" w:rsidP="00056983">
      <w:pPr>
        <w:ind w:firstLine="0"/>
        <w:rPr>
          <w:iCs/>
        </w:rPr>
      </w:pPr>
    </w:p>
    <w:p w14:paraId="43CA2B8E" w14:textId="77777777" w:rsidR="003C6701" w:rsidRDefault="003C6701" w:rsidP="00056983">
      <w:pPr>
        <w:ind w:firstLine="0"/>
        <w:rPr>
          <w:iCs/>
        </w:rPr>
        <w:sectPr w:rsidR="003C6701" w:rsidSect="00601B7B">
          <w:pgSz w:w="16840" w:h="11900" w:orient="landscape"/>
          <w:pgMar w:top="1440" w:right="1440" w:bottom="1440" w:left="1440" w:header="709" w:footer="709" w:gutter="0"/>
          <w:cols w:space="340"/>
          <w:titlePg/>
          <w:docGrid w:linePitch="360"/>
          <w15:footnoteColumns w:val="1"/>
        </w:sectPr>
      </w:pPr>
    </w:p>
    <w:p w14:paraId="4FB2E610" w14:textId="77777777" w:rsidR="00993E5C" w:rsidRPr="00CC1B6A" w:rsidRDefault="00993E5C" w:rsidP="00993E5C">
      <w:pPr>
        <w:pStyle w:val="Heading3"/>
      </w:pPr>
      <w:r w:rsidRPr="00CC1B6A">
        <w:lastRenderedPageBreak/>
        <w:t>Verification attempt 1</w:t>
      </w:r>
    </w:p>
    <w:p w14:paraId="1D30C496" w14:textId="77777777" w:rsidR="00993E5C" w:rsidRPr="00CC1B6A" w:rsidRDefault="00993E5C" w:rsidP="00993E5C">
      <w:r w:rsidRPr="00CC1B6A">
        <w:t>The first verification attempt employed Field’s “</w:t>
      </w:r>
      <w:proofErr w:type="spellStart"/>
      <w:r w:rsidRPr="00CC1B6A">
        <w:t>h_s</w:t>
      </w:r>
      <w:proofErr w:type="spellEnd"/>
      <w:r w:rsidRPr="00CC1B6A">
        <w:t xml:space="preserve"> </w:t>
      </w:r>
      <w:proofErr w:type="spellStart"/>
      <w:r w:rsidRPr="00CC1B6A">
        <w:t>syntax.sps</w:t>
      </w:r>
      <w:proofErr w:type="spellEnd"/>
      <w:r w:rsidRPr="00CC1B6A">
        <w:t xml:space="preserve">” SPSS script. The default 80% Credibility Interval widths were changed to 95% to match what was reported by Vahey et al. (2015). </w:t>
      </w:r>
    </w:p>
    <w:p w14:paraId="010E85CB" w14:textId="7C50484A" w:rsidR="008806BD" w:rsidRPr="00102224" w:rsidRDefault="00993E5C" w:rsidP="00102224">
      <w:pPr>
        <w:rPr>
          <w:iCs/>
        </w:rPr>
      </w:pPr>
      <w:r w:rsidRPr="00CC1B6A">
        <w:t xml:space="preserve">One other key assumption was made in order to allow the script to run. To take a step back, a Hunter &amp; Schmidt style meta-analysis is sometimes referred to as a form of psychometric meta-analysis because it typically involves de-attenuating the effect sizes based on the reliability of the measures that produced them </w:t>
      </w:r>
      <w:r w:rsidRPr="00CC1B6A">
        <w:fldChar w:fldCharType="begin"/>
      </w:r>
      <w:r w:rsidRPr="00CC1B6A">
        <w:instrText xml:space="preserve"> ADDIN ZOTERO_ITEM CSL_CITATION {"citationID":"DLZY0oSP","properties":{"formattedCitation":"(Field &amp; Gillett, 2010; Hunter &amp; Schmidt, 2004)","plainCitation":"(Field &amp; Gillett, 2010; Hunter &amp; Schmidt, 2004)","noteIndex":0},"citationItems":[{"id":400,"uris":["http://zotero.org/users/1687755/items/T4RKSQ58"],"itemData":{"id":400,"type":"article-journal","abstract":"Meta-analysis is a statistical tool for estimating the mean and variance of underlying population effects from a collection of empirical studies addressing ostensibly the same research question. Meta-analysis has become an increasing popular and valuable tool in psychological research, and major review articles typically employ these methods. This article describes the process of conducting meta-analysis: selecting articles, developing inclusion criteria, calculating effect sizes, conducting the actual analysis (including information on how to do the analysis on popular computer packages such as IBM SPSS and R) and estimating the effects of publication bias. Guidance is also given on how to write up a meta-analysis.","container-title":"British Journal of Mathematical and Statistical Psychology","DOI":"10.1348/000711010X502733","ISSN":"2044-8317","issue":"3","language":"en","note":"_eprint: https://onlinelibrary.wiley.com/doi/pdf/10.1348/000711010X502733","page":"665-694","source":"Wiley Online Library","title":"How to do a meta-analysis","volume":"63","author":[{"family":"Field","given":"Andy P."},{"family":"Gillett","given":"Raphael"}],"issued":{"date-parts":[["2010"]]}}},{"id":29142,"uris":["http://zotero.org/users/1687755/items/G2PQG5VA"],"itemData":{"id":29142,"type":"book","publisher":"Sage","title":"Methods of meta-analysis: Correcting error and bias in research findings","author":[{"family":"Hunter","given":"John E"},{"family":"Schmidt","given":"Frank L"}],"issued":{"date-parts":[["2004"]]}}}],"schema":"https://github.com/citation-style-language/schema/raw/master/csl-citation.json"} </w:instrText>
      </w:r>
      <w:r w:rsidRPr="00CC1B6A">
        <w:fldChar w:fldCharType="separate"/>
      </w:r>
      <w:r w:rsidRPr="00CC1B6A">
        <w:rPr>
          <w:noProof/>
        </w:rPr>
        <w:t>(Field &amp; Gillett, 2010; Hunter &amp; Schmidt, 2004)</w:t>
      </w:r>
      <w:r w:rsidRPr="00CC1B6A">
        <w:fldChar w:fldCharType="end"/>
      </w:r>
      <w:r w:rsidRPr="00CC1B6A">
        <w:t>. For Field’s “</w:t>
      </w:r>
      <w:proofErr w:type="spellStart"/>
      <w:r w:rsidRPr="00CC1B6A">
        <w:t>h_s</w:t>
      </w:r>
      <w:proofErr w:type="spellEnd"/>
      <w:r w:rsidRPr="00CC1B6A">
        <w:t xml:space="preserve"> </w:t>
      </w:r>
      <w:proofErr w:type="spellStart"/>
      <w:r w:rsidRPr="00CC1B6A">
        <w:t>syntax.sps</w:t>
      </w:r>
      <w:proofErr w:type="spellEnd"/>
      <w:r w:rsidRPr="00CC1B6A">
        <w:t>” script to run it requires the researcher to provide reliability values for both of the measures that produced each effect size. Partially missing values can be imputed via the mean, but at least some reliability values must be provided. However, Vahey et al. (2015) do not report any extracting or</w:t>
      </w:r>
      <w:r>
        <w:t xml:space="preserve"> </w:t>
      </w:r>
      <w:r w:rsidR="008806BD" w:rsidRPr="00CC1B6A">
        <w:t xml:space="preserve">estimating reliabilities or deattenuating the effect sizes based on them, and no reliability data is available in their manuscript or supplementary materials. In the absence of other information, I set the reliability for all variables to 1.0 in order to allow the script to run. This verification attempt did not reproduce the original results for the point estimate, Confidence Interval, or Credibility Interval (see </w:t>
      </w:r>
      <w:r w:rsidR="00102224">
        <w:t>Table 3)</w:t>
      </w:r>
      <w:r w:rsidR="0002191F">
        <w:t>.</w:t>
      </w:r>
    </w:p>
    <w:p w14:paraId="6734195D" w14:textId="77777777" w:rsidR="00102224" w:rsidRPr="00102224" w:rsidRDefault="00102224" w:rsidP="00102224">
      <w:pPr>
        <w:rPr>
          <w:b/>
          <w:bCs/>
        </w:rPr>
      </w:pPr>
      <w:r w:rsidRPr="00102224">
        <w:rPr>
          <w:b/>
          <w:bCs/>
        </w:rPr>
        <w:t>Verification attempt 2</w:t>
      </w:r>
    </w:p>
    <w:p w14:paraId="368D564A" w14:textId="7B9470C5" w:rsidR="00102224" w:rsidRPr="00845FB9" w:rsidRDefault="00102224" w:rsidP="00102224">
      <w:pPr>
        <w:rPr>
          <w:iCs/>
        </w:rPr>
      </w:pPr>
      <w:r w:rsidRPr="00102224">
        <w:t>The second verification attempt employed Field’s “</w:t>
      </w:r>
      <w:proofErr w:type="spellStart"/>
      <w:r w:rsidRPr="00102224">
        <w:t>Meta_Basic_r.sps</w:t>
      </w:r>
      <w:proofErr w:type="spellEnd"/>
      <w:r w:rsidRPr="00102224">
        <w:t xml:space="preserve">” script, which implements a Hedges’ style “basic” meta-analysis. I was unable to get this script to run in SPSS. </w:t>
      </w:r>
      <w:r w:rsidRPr="00102224">
        <w:rPr>
          <w:iCs/>
        </w:rPr>
        <w:t xml:space="preserve">It makes use of commands such as </w:t>
      </w:r>
      <w:proofErr w:type="spellStart"/>
      <w:r w:rsidRPr="00102224">
        <w:rPr>
          <w:iCs/>
        </w:rPr>
        <w:t>nrow</w:t>
      </w:r>
      <w:proofErr w:type="spellEnd"/>
      <w:r w:rsidRPr="00102224">
        <w:rPr>
          <w:iCs/>
        </w:rPr>
        <w:t xml:space="preserve">(), </w:t>
      </w:r>
      <w:proofErr w:type="spellStart"/>
      <w:r w:rsidRPr="00102224">
        <w:rPr>
          <w:iCs/>
        </w:rPr>
        <w:t>csum</w:t>
      </w:r>
      <w:proofErr w:type="spellEnd"/>
      <w:r w:rsidRPr="00102224">
        <w:rPr>
          <w:iCs/>
        </w:rPr>
        <w:t xml:space="preserve">(), </w:t>
      </w:r>
      <w:proofErr w:type="spellStart"/>
      <w:r w:rsidRPr="00102224">
        <w:rPr>
          <w:iCs/>
        </w:rPr>
        <w:t>sd</w:t>
      </w:r>
      <w:proofErr w:type="spellEnd"/>
      <w:r w:rsidRPr="00102224">
        <w:rPr>
          <w:iCs/>
        </w:rPr>
        <w:t xml:space="preserve">(), and t(), which are apparently not SPSS commands. R does have similarly named functions, but the script employs these commands within lines of SPSS syntax. It does not appear that these commands were simply deprecated between versions of SPSS. It is unclear how these apparent errors in Field’s script have apparently not been publicly detected or corrected given they are still distributed on Field’s website and Field &amp; Gillett (2010) continues to be cited (&gt;1,200 citations at time of writing). </w:t>
      </w:r>
    </w:p>
    <w:p w14:paraId="252F69C8" w14:textId="77777777" w:rsidR="008806BD" w:rsidRPr="00034410" w:rsidRDefault="008806BD" w:rsidP="008806BD">
      <w:pPr>
        <w:pStyle w:val="Heading3"/>
      </w:pPr>
      <w:r w:rsidRPr="00034410">
        <w:t xml:space="preserve">Verification attempt </w:t>
      </w:r>
      <w:r>
        <w:t>3</w:t>
      </w:r>
    </w:p>
    <w:p w14:paraId="26F9D781" w14:textId="77777777" w:rsidR="008806BD" w:rsidRDefault="008806BD" w:rsidP="008806BD">
      <w:pPr>
        <w:rPr>
          <w:iCs/>
        </w:rPr>
      </w:pPr>
      <w:r>
        <w:rPr>
          <w:iCs/>
        </w:rPr>
        <w:t>I then reimplemented the math specified in the “</w:t>
      </w:r>
      <w:proofErr w:type="spellStart"/>
      <w:r w:rsidRPr="00034410">
        <w:t>Meta_Basic_r.sps</w:t>
      </w:r>
      <w:proofErr w:type="spellEnd"/>
      <w:r>
        <w:t xml:space="preserve">” and </w:t>
      </w:r>
      <w:r w:rsidRPr="00034410">
        <w:t>“</w:t>
      </w:r>
      <w:proofErr w:type="spellStart"/>
      <w:r w:rsidRPr="00034410">
        <w:t>h_s</w:t>
      </w:r>
      <w:proofErr w:type="spellEnd"/>
      <w:r w:rsidRPr="00034410">
        <w:t xml:space="preserve"> </w:t>
      </w:r>
      <w:proofErr w:type="spellStart"/>
      <w:r w:rsidRPr="00034410">
        <w:t>syntax.sps</w:t>
      </w:r>
      <w:proofErr w:type="spellEnd"/>
      <w:r w:rsidRPr="00034410">
        <w:t>”</w:t>
      </w:r>
      <w:r>
        <w:t xml:space="preserve"> in R. I obtained identical results for the SPSS and R versions of the latter, providing some confidence that the reimplementation of the former was also accurate. </w:t>
      </w:r>
    </w:p>
    <w:p w14:paraId="59CD3788" w14:textId="77777777" w:rsidR="008806BD" w:rsidRDefault="008806BD" w:rsidP="008806BD">
      <w:pPr>
        <w:rPr>
          <w:iCs/>
        </w:rPr>
      </w:pPr>
      <w:r w:rsidRPr="00034410">
        <w:t xml:space="preserve">One </w:t>
      </w:r>
      <w:r>
        <w:t xml:space="preserve">necessary </w:t>
      </w:r>
      <w:r w:rsidRPr="00034410">
        <w:t xml:space="preserve">alteration was made to the </w:t>
      </w:r>
      <w:r>
        <w:t>code</w:t>
      </w:r>
      <w:r w:rsidRPr="00034410">
        <w:t xml:space="preserve">: if </w:t>
      </w:r>
      <m:oMath>
        <m:sSubSup>
          <m:sSubSupPr>
            <m:ctrlPr>
              <w:rPr>
                <w:rFonts w:ascii="Cambria Math" w:hAnsi="Cambria Math"/>
                <w:i/>
                <w:iCs/>
              </w:rPr>
            </m:ctrlPr>
          </m:sSubSupPr>
          <m:e>
            <m:acc>
              <m:accPr>
                <m:ctrlPr>
                  <w:rPr>
                    <w:rFonts w:ascii="Cambria Math" w:hAnsi="Cambria Math"/>
                    <w:i/>
                    <w:iCs/>
                  </w:rPr>
                </m:ctrlPr>
              </m:accPr>
              <m:e>
                <m:r>
                  <w:rPr>
                    <w:rFonts w:ascii="Cambria Math" w:hAnsi="Cambria Math"/>
                  </w:rPr>
                  <m:t>σ</m:t>
                </m:r>
              </m:e>
            </m:acc>
          </m:e>
          <m:sub>
            <m:r>
              <w:rPr>
                <w:rFonts w:ascii="Cambria Math" w:hAnsi="Cambria Math"/>
              </w:rPr>
              <m:t>p</m:t>
            </m:r>
          </m:sub>
          <m:sup>
            <m:r>
              <w:rPr>
                <w:rFonts w:ascii="Cambria Math" w:hAnsi="Cambria Math"/>
              </w:rPr>
              <m:t>2</m:t>
            </m:r>
          </m:sup>
        </m:sSubSup>
      </m:oMath>
      <w:r w:rsidRPr="00034410">
        <w:rPr>
          <w:iCs/>
        </w:rPr>
        <w:t xml:space="preserve"> was negative it was set to zero</w:t>
      </w:r>
      <w:r>
        <w:rPr>
          <w:iCs/>
        </w:rPr>
        <w:t xml:space="preserve"> to produce a Credibility Interval width of 0. This correction was specified in </w:t>
      </w:r>
      <w:r w:rsidRPr="00034410">
        <w:t>“</w:t>
      </w:r>
      <w:proofErr w:type="spellStart"/>
      <w:r w:rsidRPr="00034410">
        <w:t>h_s</w:t>
      </w:r>
      <w:proofErr w:type="spellEnd"/>
      <w:r w:rsidRPr="00034410">
        <w:t xml:space="preserve"> </w:t>
      </w:r>
      <w:proofErr w:type="spellStart"/>
      <w:r w:rsidRPr="00034410">
        <w:t>syntax.sps</w:t>
      </w:r>
      <w:proofErr w:type="spellEnd"/>
      <w:r w:rsidRPr="00034410">
        <w:t xml:space="preserve">” </w:t>
      </w:r>
      <w:r>
        <w:t xml:space="preserve">but not </w:t>
      </w:r>
      <w:r>
        <w:rPr>
          <w:iCs/>
        </w:rPr>
        <w:t>“</w:t>
      </w:r>
      <w:proofErr w:type="spellStart"/>
      <w:r w:rsidRPr="00034410">
        <w:t>Meta_Basic_r.sps</w:t>
      </w:r>
      <w:proofErr w:type="spellEnd"/>
      <w:r>
        <w:t>” – I merely applied it in both</w:t>
      </w:r>
      <w:r w:rsidRPr="00034410">
        <w:rPr>
          <w:iCs/>
        </w:rPr>
        <w:t xml:space="preserve">. Without this alternation, if </w:t>
      </w:r>
      <w:r w:rsidRPr="00034410">
        <w:t xml:space="preserve"> </w:t>
      </w:r>
      <m:oMath>
        <m:sSubSup>
          <m:sSubSupPr>
            <m:ctrlPr>
              <w:rPr>
                <w:rFonts w:ascii="Cambria Math" w:hAnsi="Cambria Math"/>
                <w:i/>
                <w:iCs/>
              </w:rPr>
            </m:ctrlPr>
          </m:sSubSupPr>
          <m:e>
            <m:acc>
              <m:accPr>
                <m:ctrlPr>
                  <w:rPr>
                    <w:rFonts w:ascii="Cambria Math" w:hAnsi="Cambria Math"/>
                    <w:i/>
                    <w:iCs/>
                  </w:rPr>
                </m:ctrlPr>
              </m:accPr>
              <m:e>
                <m:r>
                  <w:rPr>
                    <w:rFonts w:ascii="Cambria Math" w:hAnsi="Cambria Math"/>
                  </w:rPr>
                  <m:t>σ</m:t>
                </m:r>
              </m:e>
            </m:acc>
          </m:e>
          <m:sub>
            <m:r>
              <w:rPr>
                <w:rFonts w:ascii="Cambria Math" w:hAnsi="Cambria Math"/>
              </w:rPr>
              <m:t>p</m:t>
            </m:r>
          </m:sub>
          <m:sup>
            <m:r>
              <w:rPr>
                <w:rFonts w:ascii="Cambria Math" w:hAnsi="Cambria Math"/>
              </w:rPr>
              <m:t>2</m:t>
            </m:r>
          </m:sup>
        </m:sSubSup>
      </m:oMath>
      <w:r w:rsidRPr="00034410">
        <w:rPr>
          <w:iCs/>
        </w:rPr>
        <w:t xml:space="preserve"> was negative the script would fail to run. </w:t>
      </w:r>
    </w:p>
    <w:p w14:paraId="30D83F6D" w14:textId="77777777" w:rsidR="008806BD" w:rsidRDefault="008806BD" w:rsidP="008806BD">
      <w:pPr>
        <w:rPr>
          <w:iCs/>
        </w:rPr>
      </w:pPr>
      <w:r>
        <w:t>T</w:t>
      </w:r>
      <w:r w:rsidRPr="00034410">
        <w:t xml:space="preserve">his verification attempt </w:t>
      </w:r>
      <w:r>
        <w:t xml:space="preserve">of the R implementation of the Hunter and </w:t>
      </w:r>
      <w:proofErr w:type="spellStart"/>
      <w:r>
        <w:t>Schimdt</w:t>
      </w:r>
      <w:proofErr w:type="spellEnd"/>
      <w:r>
        <w:t xml:space="preserve"> style meta-analysis implemented in </w:t>
      </w:r>
      <w:r>
        <w:rPr>
          <w:iCs/>
        </w:rPr>
        <w:t>“</w:t>
      </w:r>
      <w:proofErr w:type="spellStart"/>
      <w:r w:rsidRPr="00034410">
        <w:t>Meta_Basic_r.sps</w:t>
      </w:r>
      <w:proofErr w:type="spellEnd"/>
      <w:r>
        <w:t xml:space="preserve">” </w:t>
      </w:r>
      <w:r w:rsidRPr="00034410">
        <w:t xml:space="preserve">also did not reproduce the original results. The point estimate was </w:t>
      </w:r>
      <w:r w:rsidRPr="00034410">
        <w:t xml:space="preserve">off by </w:t>
      </w:r>
      <w:r>
        <w:t xml:space="preserve">only </w:t>
      </w:r>
      <w:r w:rsidRPr="00034410">
        <w:t>a small amount (</w:t>
      </w:r>
      <m:oMath>
        <m:acc>
          <m:accPr>
            <m:chr m:val="̅"/>
            <m:ctrlPr>
              <w:rPr>
                <w:rFonts w:ascii="Cambria Math" w:hAnsi="Cambria Math"/>
                <w:i/>
                <w:sz w:val="20"/>
                <w:szCs w:val="20"/>
              </w:rPr>
            </m:ctrlPr>
          </m:accPr>
          <m:e>
            <m:r>
              <w:rPr>
                <w:rFonts w:ascii="Cambria Math" w:hAnsi="Cambria Math"/>
              </w:rPr>
              <m:t>r</m:t>
            </m:r>
          </m:e>
        </m:acc>
      </m:oMath>
      <w:r w:rsidRPr="00034410">
        <w:t xml:space="preserve"> = 0.01)</w:t>
      </w:r>
      <w:r>
        <w:t xml:space="preserve">, although this is </w:t>
      </w:r>
      <w:r w:rsidRPr="00034410">
        <w:t xml:space="preserve">more than </w:t>
      </w:r>
      <w:r>
        <w:t xml:space="preserve">can </w:t>
      </w:r>
      <w:r w:rsidRPr="00034410">
        <w:t xml:space="preserve">be accounted for by </w:t>
      </w:r>
      <w:r>
        <w:t xml:space="preserve">common methods of </w:t>
      </w:r>
      <w:r w:rsidRPr="00034410">
        <w:t>rounding</w:t>
      </w:r>
      <w:r>
        <w:t>, although it could be obtained via (erroneous) truncation</w:t>
      </w:r>
      <w:r w:rsidRPr="00034410">
        <w:t xml:space="preserve">. </w:t>
      </w:r>
      <w:r>
        <w:t>However, the Confidence Intervals were nearly four times wider than the original results. In addition, the Credibility Interval</w:t>
      </w:r>
      <w:r w:rsidRPr="00034410">
        <w:t xml:space="preserve">s again </w:t>
      </w:r>
      <w:r>
        <w:t xml:space="preserve">had zero width </w:t>
      </w:r>
      <w:r w:rsidRPr="00034410">
        <w:t xml:space="preserve">(i.e., because </w:t>
      </w:r>
      <m:oMath>
        <m:sSubSup>
          <m:sSubSupPr>
            <m:ctrlPr>
              <w:rPr>
                <w:rFonts w:ascii="Cambria Math" w:hAnsi="Cambria Math"/>
                <w:i/>
                <w:iCs/>
              </w:rPr>
            </m:ctrlPr>
          </m:sSubSupPr>
          <m:e>
            <m:acc>
              <m:accPr>
                <m:ctrlPr>
                  <w:rPr>
                    <w:rFonts w:ascii="Cambria Math" w:hAnsi="Cambria Math"/>
                    <w:i/>
                    <w:iCs/>
                  </w:rPr>
                </m:ctrlPr>
              </m:accPr>
              <m:e>
                <m:r>
                  <w:rPr>
                    <w:rFonts w:ascii="Cambria Math" w:hAnsi="Cambria Math"/>
                  </w:rPr>
                  <m:t>σ</m:t>
                </m:r>
              </m:e>
            </m:acc>
          </m:e>
          <m:sub>
            <m:r>
              <w:rPr>
                <w:rFonts w:ascii="Cambria Math" w:hAnsi="Cambria Math"/>
              </w:rPr>
              <m:t>p</m:t>
            </m:r>
          </m:sub>
          <m:sup>
            <m:r>
              <w:rPr>
                <w:rFonts w:ascii="Cambria Math" w:hAnsi="Cambria Math"/>
              </w:rPr>
              <m:t>2</m:t>
            </m:r>
          </m:sup>
        </m:sSubSup>
      </m:oMath>
      <w:r w:rsidRPr="00034410">
        <w:rPr>
          <w:iCs/>
        </w:rPr>
        <w:t xml:space="preserve"> was negative and interval width was therefore set to zero)</w:t>
      </w:r>
      <w:r>
        <w:rPr>
          <w:iCs/>
        </w:rPr>
        <w:t xml:space="preserve"> and therefore greatly differed from the original results.</w:t>
      </w:r>
    </w:p>
    <w:p w14:paraId="730600C0" w14:textId="77777777" w:rsidR="008806BD" w:rsidRDefault="008806BD" w:rsidP="008806BD">
      <w:pPr>
        <w:pStyle w:val="Heading3"/>
      </w:pPr>
      <w:r w:rsidRPr="00034410">
        <w:t xml:space="preserve">Verification attempt </w:t>
      </w:r>
      <w:r>
        <w:t>4</w:t>
      </w:r>
    </w:p>
    <w:p w14:paraId="4857C2E1" w14:textId="77777777" w:rsidR="008806BD" w:rsidRDefault="008806BD" w:rsidP="008806BD">
      <w:r>
        <w:t xml:space="preserve">A close reading of Field &amp; Gillet (2010) and </w:t>
      </w:r>
      <w:r>
        <w:rPr>
          <w:iCs/>
        </w:rPr>
        <w:t>“</w:t>
      </w:r>
      <w:proofErr w:type="spellStart"/>
      <w:r w:rsidRPr="00034410">
        <w:t>Meta_Basic_r.sps</w:t>
      </w:r>
      <w:proofErr w:type="spellEnd"/>
      <w:r>
        <w:t xml:space="preserve">” revealed an inconsistency between them: Field &amp; Gillett state that Overton corrections should be applied to the individual correlations in the Hedges and colleagues approach but not the Hunter and Schmidt approach. However, the SPSS script applies Overton corrections in both. I therefore removed this correction from my R implementation for attempt 4. This changed the results very little from attempt 3, and did not reproduce Vahey et al.’s (2015) results. </w:t>
      </w:r>
    </w:p>
    <w:p w14:paraId="69DC189D" w14:textId="77777777" w:rsidR="008806BD" w:rsidRDefault="008806BD" w:rsidP="008806BD">
      <w:pPr>
        <w:pStyle w:val="Heading3"/>
      </w:pPr>
      <w:r>
        <w:t>Verification attempt 5</w:t>
      </w:r>
    </w:p>
    <w:p w14:paraId="3BA927EF" w14:textId="77777777" w:rsidR="008806BD" w:rsidRPr="00034410" w:rsidRDefault="008806BD" w:rsidP="008806BD">
      <w:r>
        <w:t xml:space="preserve">In order to try to obtain the original results, </w:t>
      </w:r>
      <w:r w:rsidRPr="00034410">
        <w:t xml:space="preserve">I </w:t>
      </w:r>
      <w:r>
        <w:t xml:space="preserve">then </w:t>
      </w:r>
      <w:r w:rsidRPr="00034410">
        <w:t>switched from using</w:t>
      </w:r>
      <w:r>
        <w:t xml:space="preserve"> manual implementations of the equations reported in </w:t>
      </w:r>
      <w:r w:rsidRPr="00034410">
        <w:t>Field</w:t>
      </w:r>
      <w:r>
        <w:t xml:space="preserve"> &amp; Gillett (2010) (i.e., their </w:t>
      </w:r>
      <w:r w:rsidRPr="00034410">
        <w:t xml:space="preserve">SPSS </w:t>
      </w:r>
      <w:r>
        <w:t xml:space="preserve">code or my translations into R) </w:t>
      </w:r>
      <w:r w:rsidRPr="00034410">
        <w:t>to</w:t>
      </w:r>
      <w:r>
        <w:t xml:space="preserve"> instead using an established R package for meta-analyses:</w:t>
      </w:r>
      <w:r w:rsidRPr="00034410">
        <w:t xml:space="preserve"> </w:t>
      </w:r>
      <w:proofErr w:type="spellStart"/>
      <w:r w:rsidRPr="00034410">
        <w:t>Vi</w:t>
      </w:r>
      <w:r>
        <w:t>e</w:t>
      </w:r>
      <w:r w:rsidRPr="00034410">
        <w:t>chtbauer’s</w:t>
      </w:r>
      <w:proofErr w:type="spellEnd"/>
      <w:r w:rsidRPr="00034410">
        <w:t xml:space="preserve"> </w:t>
      </w:r>
      <w:r w:rsidRPr="00034410">
        <w:fldChar w:fldCharType="begin"/>
      </w:r>
      <w:r>
        <w:instrText xml:space="preserve"> ADDIN ZOTERO_ITEM CSL_CITATION {"citationID":"MKTdnzPc","properties":{"formattedCitation":"(2022)","plainCitation":"(2022)","noteIndex":0},"citationItems":[{"id":29101,"uris":["http://zotero.org/users/1687755/items/AXENKNNK"],"itemData":{"id":29101,"type":"webpage","title":"Hunter and Schmidt Method","URL":"https://www.metafor-project.org/doku.php/tips:hunter_schmidt_method","author":[{"family":"Viechtbauer","given":"Wolfgang"}],"accessed":{"date-parts":[["2024",7,30]]},"issued":{"date-parts":[["2022"]]}},"label":"page","suppress-author":true}],"schema":"https://github.com/citation-style-language/schema/raw/master/csl-citation.json"} </w:instrText>
      </w:r>
      <w:r w:rsidRPr="00034410">
        <w:fldChar w:fldCharType="separate"/>
      </w:r>
      <w:r>
        <w:t>(2022)</w:t>
      </w:r>
      <w:r w:rsidRPr="00034410">
        <w:fldChar w:fldCharType="end"/>
      </w:r>
      <w:r w:rsidRPr="00034410">
        <w:t xml:space="preserve"> implementation </w:t>
      </w:r>
      <w:r>
        <w:t xml:space="preserve">of a </w:t>
      </w:r>
      <w:r w:rsidRPr="00034410">
        <w:t xml:space="preserve">Hunter &amp; Schmidt </w:t>
      </w:r>
      <w:r>
        <w:t xml:space="preserve">style meta-analysis written using the </w:t>
      </w:r>
      <w:r w:rsidRPr="00034410">
        <w:t xml:space="preserve">metafor package </w:t>
      </w:r>
      <w:r w:rsidRPr="00034410">
        <w:fldChar w:fldCharType="begin"/>
      </w:r>
      <w:r w:rsidRPr="00034410">
        <w:instrText xml:space="preserve"> ADDIN ZOTERO_ITEM CSL_CITATION {"citationID":"XzGoTILX","properties":{"formattedCitation":"(Viechtbauer, 2010, 2024)","plainCitation":"(Viechtbauer, 2010, 2024)","noteIndex":0},"citationItems":[{"id":3775,"uris":["http://zotero.org/users/1687755/items/H4RMVYAU"],"itemData":{"id":3775,"type":"article-journal","abstract":"The metafor package provides functions for conducting meta-analyses in R. The package includes functions for ﬁtting the meta-analytic ﬁxed- and random-eﬀects models and allows for the inclusion of moderators variables (study-level covariates) in these models. Meta-regression analyses with continuous and categorical moderators can be conducted in this way. Functions for the Mantel-Haenszel and Peto’s one-step method for metaanalyses of 2 </w:instrText>
      </w:r>
      <w:r w:rsidRPr="00034410">
        <w:rPr>
          <w:rFonts w:ascii="Cambria" w:hAnsi="Cambria" w:cs="Cambria"/>
        </w:rPr>
        <w:instrText>×</w:instrText>
      </w:r>
      <w:r w:rsidRPr="00034410">
        <w:instrText xml:space="preserve"> 2 table data are also available. Finally, the package provides various plot functions (for example, for forest, funnel, and radial plots) and functions for assessing the model ﬁt, for obtaining case diagnostics, and for tests of publication bias.","container-title":"Journal of Statistical Software","DOI":"10.18637/jss.v036.i03","ISSN":"1548-7660","issue":"3","language":"en","source":"Crossref","title":"Conducting Meta-Analyses in R with the metafor Package","URL":"http://www.jstatsoft.org/v36/i03/","volume":"36","author":[{"family":"Viechtbauer","given":"Wolfgang"}],"accessed":{"date-parts":[["2018",7,17]]},"issued":{"date-parts":[["2010"]]}}},{"id":29100,"uris":["http://zotero.org/users/1687755/items/TUUVMC32"],"itemData":{"id":29100,"type":"software","abstract":"A comprehensive collection of functions for conducting meta-analyses in R. The package includes functions to calculate various effect sizes or outcome measures, fit equal-, fixed-, random-, and mixed-effects models to such data, carry out moderator and meta-regression analyses, and create various types of meta-analytical plots (e.g., forest, funnel, radial, L'Abbe, Baujat, bubble, and GOSH plots). For meta-analyses of binomial and person-time data, the package also provides functions that implement specialized methods, including the Mantel-Haenszel method, Peto's method, and a variety of suitable generalized linear (mixed-effects) models (i.e., mixed-effects logistic and Poisson regression models). Finally, the package provides functionality for fitting meta-analytic multivariate/multilevel models that account for non-independent sampling errors and/or true effects (e.g., due to the inclusion of multiple treatment studies, multiple endpoints, or other forms of clustering). Network meta-analyses and meta-analyses accounting for known correlation structures (e.g., due to phylogenetic relatedness) can also be conducted. An introduction to the package can be found in Viechtbauer (2010) &lt;doi:10.18637/jss.v036.i03&gt;.","license":"GPL-2 | GPL-3 [expanded from: GPL (</w:instrText>
      </w:r>
      <w:r w:rsidRPr="00034410">
        <w:rPr>
          <w:rFonts w:ascii="Cambria Math" w:hAnsi="Cambria Math" w:cs="Cambria Math"/>
        </w:rPr>
        <w:instrText>≥</w:instrText>
      </w:r>
      <w:r w:rsidRPr="00034410">
        <w:instrText xml:space="preserve"> 2)]","source":"R-Packages","title":"metafor: Meta-Analysis Package for R","title-short":"metafor","URL":"https://CRAN.R-project.org/package=metafor","version":"4.6-0","author":[{"family":"Viechtbauer","given":"Wolfgang"}],"accessed":{"date-parts":[["2024",7,30]]},"issued":{"date-parts":[["2024",3,28]]}}}],"schema":"https://github.com/citation-style-language/schema/raw/master/csl-citation.json"} </w:instrText>
      </w:r>
      <w:r w:rsidRPr="00034410">
        <w:fldChar w:fldCharType="separate"/>
      </w:r>
      <w:r w:rsidRPr="00034410">
        <w:rPr>
          <w:noProof/>
        </w:rPr>
        <w:t>(Viechtbauer, 2010, 2024)</w:t>
      </w:r>
      <w:r w:rsidRPr="00034410">
        <w:fldChar w:fldCharType="end"/>
      </w:r>
      <w:r w:rsidRPr="00034410">
        <w:t>. This provided new avenue</w:t>
      </w:r>
      <w:r>
        <w:t>s</w:t>
      </w:r>
      <w:r w:rsidRPr="00034410">
        <w:t xml:space="preserve"> to attempt to reproduce the original results in a programming language </w:t>
      </w:r>
      <w:r>
        <w:t xml:space="preserve">and package </w:t>
      </w:r>
      <w:r w:rsidRPr="00034410">
        <w:t>I was more familiar with</w:t>
      </w:r>
      <w:r>
        <w:t xml:space="preserve">, allowing me to try a variety of variations on a given attempt more efficiently. </w:t>
      </w:r>
      <w:r w:rsidRPr="00034410">
        <w:t xml:space="preserve">Field &amp; Gillett’s (2010) equations </w:t>
      </w:r>
      <w:r>
        <w:t xml:space="preserve">2-5 </w:t>
      </w:r>
      <w:r w:rsidRPr="00034410">
        <w:t xml:space="preserve">were </w:t>
      </w:r>
      <w:r>
        <w:t xml:space="preserve">used to </w:t>
      </w:r>
      <w:r w:rsidRPr="00034410">
        <w:t>implement</w:t>
      </w:r>
      <w:r>
        <w:t xml:space="preserve"> Credibility Intervals</w:t>
      </w:r>
      <w:r w:rsidRPr="00034410">
        <w:t xml:space="preserve">. </w:t>
      </w:r>
      <w:r>
        <w:t>In this attempt,</w:t>
      </w:r>
      <w:r w:rsidRPr="00034410">
        <w:t xml:space="preserve"> the </w:t>
      </w:r>
      <w:r>
        <w:t>Confidence Interval</w:t>
      </w:r>
      <w:r w:rsidRPr="00034410">
        <w:t xml:space="preserve">s reported by Vahey et al. (2015) were reproduced. However, the point estimate and </w:t>
      </w:r>
      <w:r>
        <w:t>Credibility Interval</w:t>
      </w:r>
      <w:r w:rsidRPr="00034410">
        <w:t>s again did not reproduce the</w:t>
      </w:r>
      <w:r>
        <w:t xml:space="preserve"> </w:t>
      </w:r>
      <w:r w:rsidRPr="00034410">
        <w:t xml:space="preserve">original results and matched the results found in verification analyses 1 and </w:t>
      </w:r>
      <w:r>
        <w:t xml:space="preserve">4, as well as being very close to 3. </w:t>
      </w:r>
    </w:p>
    <w:p w14:paraId="636DE10D" w14:textId="77777777" w:rsidR="008806BD" w:rsidRPr="00034410" w:rsidRDefault="008806BD" w:rsidP="008806BD">
      <w:r w:rsidRPr="00034410">
        <w:t>This verification attempt also attempted to reproduce the original forest plot (Vahey et al., 2015, Figure 1), which was more feasible in R</w:t>
      </w:r>
      <w:r>
        <w:t xml:space="preserve"> and metafor</w:t>
      </w:r>
      <w:r w:rsidRPr="00034410">
        <w:t>. It is useful to</w:t>
      </w:r>
      <w:r>
        <w:t xml:space="preserve"> </w:t>
      </w:r>
      <w:r w:rsidRPr="00034410">
        <w:t xml:space="preserve">note that the original forest plot reported asymmetric </w:t>
      </w:r>
      <w:r>
        <w:t>Confidence Interval</w:t>
      </w:r>
      <w:r w:rsidRPr="00034410">
        <w:t xml:space="preserve">s around individual effect sizes. That is, the lower bounds are typically further from the point estimate than the upper bounds. This implies that some form of non-linear transformation was employed, such as a Fisher’s </w:t>
      </w:r>
      <w:r w:rsidRPr="00034410">
        <w:rPr>
          <w:i/>
          <w:iCs/>
        </w:rPr>
        <w:t>r</w:t>
      </w:r>
      <w:r w:rsidRPr="00034410">
        <w:t>-to-</w:t>
      </w:r>
      <w:r w:rsidRPr="00034410">
        <w:rPr>
          <w:i/>
          <w:iCs/>
        </w:rPr>
        <w:t>z</w:t>
      </w:r>
      <w:r w:rsidRPr="00034410">
        <w:t xml:space="preserve"> transformation. However, Vahey et al. (2015) do not report employing any transformations in their meta-analysis or forest plot. The forest </w:t>
      </w:r>
      <w:r w:rsidRPr="00095EF1">
        <w:t xml:space="preserve">plot associated with this verification attempt can be seen in Figure </w:t>
      </w:r>
      <w:r>
        <w:t>3</w:t>
      </w:r>
      <w:r w:rsidRPr="00095EF1">
        <w:t>. Confidence</w:t>
      </w:r>
      <w:r>
        <w:t xml:space="preserve"> Interval</w:t>
      </w:r>
      <w:r w:rsidRPr="00034410">
        <w:t>s around individual effect sizes were symmetric and therefore did not reproduce the original plot.</w:t>
      </w:r>
    </w:p>
    <w:p w14:paraId="2CCB1D53" w14:textId="77777777" w:rsidR="008806BD" w:rsidRPr="00034410" w:rsidRDefault="008806BD" w:rsidP="008806BD">
      <w:pPr>
        <w:pStyle w:val="Heading3"/>
      </w:pPr>
      <w:r w:rsidRPr="00034410">
        <w:t xml:space="preserve">Verification attempt </w:t>
      </w:r>
      <w:r>
        <w:t>6</w:t>
      </w:r>
    </w:p>
    <w:p w14:paraId="0730D6BE" w14:textId="77777777" w:rsidR="008806BD" w:rsidRDefault="008806BD" w:rsidP="008806BD">
      <w:r>
        <w:lastRenderedPageBreak/>
        <w:t xml:space="preserve">Next, </w:t>
      </w:r>
      <w:r w:rsidRPr="00034410">
        <w:t>I appl</w:t>
      </w:r>
      <w:r>
        <w:t>ied</w:t>
      </w:r>
      <w:r w:rsidRPr="00034410">
        <w:t xml:space="preserve"> Fisher’s </w:t>
      </w:r>
      <w:r w:rsidRPr="00034410">
        <w:rPr>
          <w:i/>
          <w:iCs/>
        </w:rPr>
        <w:t>r</w:t>
      </w:r>
      <w:r w:rsidRPr="00034410">
        <w:t>-to-</w:t>
      </w:r>
      <w:r w:rsidRPr="00034410">
        <w:rPr>
          <w:i/>
          <w:iCs/>
        </w:rPr>
        <w:t>z</w:t>
      </w:r>
      <w:r w:rsidRPr="00034410">
        <w:t xml:space="preserve"> transformations to the individual effect sizes prior to meta-analysis and back transformations prior to reporting and plotting. The analysis was otherwise identical to the previous attempt. All estimated values were identical to attempt</w:t>
      </w:r>
      <w:r>
        <w:t xml:space="preserve"> 5</w:t>
      </w:r>
      <w:r w:rsidRPr="00034410">
        <w:t xml:space="preserve">, therefore the original </w:t>
      </w:r>
      <w:r>
        <w:t xml:space="preserve">meta-analysis </w:t>
      </w:r>
      <w:r w:rsidRPr="00034410">
        <w:t xml:space="preserve">results were not reproduced. </w:t>
      </w:r>
    </w:p>
    <w:p w14:paraId="2CA5B3E5" w14:textId="4525D331" w:rsidR="00917C66" w:rsidRPr="00663882" w:rsidRDefault="008806BD" w:rsidP="00E91332">
      <w:r>
        <w:t>However, t</w:t>
      </w:r>
      <w:r w:rsidRPr="00034410">
        <w:t xml:space="preserve">he forest plot associated with this attempt </w:t>
      </w:r>
      <w:r>
        <w:t xml:space="preserve">did </w:t>
      </w:r>
      <w:r w:rsidRPr="00034410">
        <w:t xml:space="preserve">reproduce the </w:t>
      </w:r>
      <w:r>
        <w:t>Confidence Interval</w:t>
      </w:r>
      <w:r w:rsidRPr="00034410">
        <w:t xml:space="preserve">s around </w:t>
      </w:r>
      <w:r w:rsidRPr="00034410">
        <w:t xml:space="preserve">the individual effect sizes </w:t>
      </w:r>
      <w:r>
        <w:t xml:space="preserve">from Vahey et al.’s (2015) </w:t>
      </w:r>
      <w:r w:rsidRPr="00034410">
        <w:t xml:space="preserve">original </w:t>
      </w:r>
      <w:r>
        <w:t xml:space="preserve">forest </w:t>
      </w:r>
      <w:r w:rsidRPr="00095EF1">
        <w:t>plot (see their Figure 1 and this manuscript’s Figure</w:t>
      </w:r>
      <w:r>
        <w:t>s</w:t>
      </w:r>
      <w:r w:rsidRPr="00095EF1">
        <w:t xml:space="preserve"> </w:t>
      </w:r>
      <w:r>
        <w:t>1 and 3</w:t>
      </w:r>
      <w:r w:rsidRPr="00095EF1">
        <w:t>),</w:t>
      </w:r>
      <w:r w:rsidRPr="00034410">
        <w:t xml:space="preserve"> suggesting that Vahey et al. (2015) employed these transformations but did not report them. </w:t>
      </w:r>
      <w:r>
        <w:t xml:space="preserve">This under-reported data transformation also implies a second form of underreporting: Vahey et al. (2015) reported employing a Hunter &amp; Schmidt style meta-analysis, but this </w:t>
      </w:r>
    </w:p>
    <w:p w14:paraId="3DF5C9CB" w14:textId="77777777" w:rsidR="00601B7B" w:rsidRDefault="00601B7B" w:rsidP="00917C66">
      <w:pPr>
        <w:ind w:firstLine="0"/>
        <w:sectPr w:rsidR="00601B7B" w:rsidSect="00056983">
          <w:pgSz w:w="11900" w:h="16840"/>
          <w:pgMar w:top="1440" w:right="1440" w:bottom="1440" w:left="1440" w:header="709" w:footer="709" w:gutter="0"/>
          <w:cols w:num="2" w:space="340"/>
          <w:titlePg/>
          <w:docGrid w:linePitch="360"/>
          <w15:footnoteColumns w:val="1"/>
        </w:sectPr>
      </w:pPr>
    </w:p>
    <w:p w14:paraId="194B371B" w14:textId="77777777" w:rsidR="00057A7F" w:rsidRDefault="00057A7F">
      <w:pPr>
        <w:ind w:firstLine="0"/>
        <w:jc w:val="left"/>
        <w:rPr>
          <w:b/>
          <w:bCs/>
          <w:iCs/>
        </w:rPr>
        <w:sectPr w:rsidR="00057A7F" w:rsidSect="00057A7F">
          <w:type w:val="continuous"/>
          <w:pgSz w:w="11900" w:h="16840"/>
          <w:pgMar w:top="1440" w:right="1440" w:bottom="1440" w:left="1440" w:header="709" w:footer="709" w:gutter="0"/>
          <w:cols w:num="2" w:space="340"/>
          <w:titlePg/>
          <w:docGrid w:linePitch="360"/>
          <w15:footnoteColumns w:val="1"/>
        </w:sectPr>
      </w:pPr>
    </w:p>
    <w:p w14:paraId="758DCFC9" w14:textId="095F98C7" w:rsidR="00D0718D" w:rsidRPr="00DC0FA7" w:rsidRDefault="00000000" w:rsidP="00056983">
      <w:pPr>
        <w:ind w:firstLine="0"/>
        <w:rPr>
          <w:iCs/>
        </w:rPr>
      </w:pPr>
      <w:r w:rsidRPr="00D0718D">
        <w:rPr>
          <w:b/>
          <w:bCs/>
          <w:iCs/>
        </w:rPr>
        <w:t xml:space="preserve">Figure </w:t>
      </w:r>
      <w:r w:rsidR="00B21A2E">
        <w:rPr>
          <w:b/>
          <w:bCs/>
          <w:iCs/>
        </w:rPr>
        <w:t>3</w:t>
      </w:r>
      <w:r w:rsidRPr="00D0718D">
        <w:rPr>
          <w:b/>
          <w:bCs/>
          <w:iCs/>
        </w:rPr>
        <w:t xml:space="preserve">. </w:t>
      </w:r>
      <w:r w:rsidRPr="00DC0FA7">
        <w:rPr>
          <w:iCs/>
        </w:rPr>
        <w:t xml:space="preserve">Forest plot for </w:t>
      </w:r>
      <w:r w:rsidR="001A4627" w:rsidRPr="00DC0FA7">
        <w:rPr>
          <w:iCs/>
        </w:rPr>
        <w:t xml:space="preserve">meta-analysis </w:t>
      </w:r>
      <w:r w:rsidRPr="00DC0FA7">
        <w:rPr>
          <w:iCs/>
        </w:rPr>
        <w:t xml:space="preserve">verification attempt </w:t>
      </w:r>
      <w:r w:rsidR="00C86BC8" w:rsidRPr="00DC0FA7">
        <w:rPr>
          <w:iCs/>
        </w:rPr>
        <w:t>5</w:t>
      </w:r>
      <w:r w:rsidRPr="00DC0FA7">
        <w:rPr>
          <w:iCs/>
        </w:rPr>
        <w:t>.</w:t>
      </w:r>
    </w:p>
    <w:p w14:paraId="5C694F13" w14:textId="77777777" w:rsidR="00D0718D" w:rsidRDefault="00000000" w:rsidP="00FF1884">
      <w:pPr>
        <w:ind w:firstLine="0"/>
        <w:jc w:val="center"/>
        <w:rPr>
          <w:iCs/>
        </w:rPr>
      </w:pPr>
      <w:r>
        <w:rPr>
          <w:iCs/>
          <w:noProof/>
        </w:rPr>
        <w:drawing>
          <wp:inline distT="0" distB="0" distL="0" distR="0" wp14:anchorId="6CAF23F5" wp14:editId="16034D9E">
            <wp:extent cx="4572000" cy="2743200"/>
            <wp:effectExtent l="0" t="0" r="0" b="0"/>
            <wp:docPr id="171551935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5519359" name="Picture 1715519359"/>
                    <pic:cNvPicPr/>
                  </pic:nvPicPr>
                  <pic:blipFill>
                    <a:blip r:embed="rId15"/>
                    <a:stretch>
                      <a:fillRect/>
                    </a:stretch>
                  </pic:blipFill>
                  <pic:spPr>
                    <a:xfrm>
                      <a:off x="0" y="0"/>
                      <a:ext cx="4621825" cy="2773095"/>
                    </a:xfrm>
                    <a:prstGeom prst="rect">
                      <a:avLst/>
                    </a:prstGeom>
                  </pic:spPr>
                </pic:pic>
              </a:graphicData>
            </a:graphic>
          </wp:inline>
        </w:drawing>
      </w:r>
    </w:p>
    <w:p w14:paraId="4F0B6BE3" w14:textId="77777777" w:rsidR="00D736B9" w:rsidRDefault="00D736B9" w:rsidP="00056983">
      <w:pPr>
        <w:ind w:firstLine="0"/>
        <w:rPr>
          <w:iCs/>
        </w:rPr>
      </w:pPr>
    </w:p>
    <w:p w14:paraId="0436B118" w14:textId="77777777" w:rsidR="00D736B9" w:rsidRPr="00DC0FA7" w:rsidRDefault="00000000" w:rsidP="00D736B9">
      <w:pPr>
        <w:ind w:firstLine="0"/>
        <w:rPr>
          <w:iCs/>
        </w:rPr>
      </w:pPr>
      <w:r w:rsidRPr="00D0718D">
        <w:rPr>
          <w:b/>
          <w:bCs/>
          <w:iCs/>
        </w:rPr>
        <w:t xml:space="preserve">Figure </w:t>
      </w:r>
      <w:r w:rsidR="00B21A2E">
        <w:rPr>
          <w:b/>
          <w:bCs/>
          <w:iCs/>
        </w:rPr>
        <w:t>4</w:t>
      </w:r>
      <w:r w:rsidRPr="00D0718D">
        <w:rPr>
          <w:b/>
          <w:bCs/>
          <w:iCs/>
        </w:rPr>
        <w:t xml:space="preserve">. </w:t>
      </w:r>
      <w:r w:rsidRPr="00DC0FA7">
        <w:rPr>
          <w:iCs/>
        </w:rPr>
        <w:t xml:space="preserve">Forest plot for meta-analysis verification attempt </w:t>
      </w:r>
      <w:r w:rsidR="00C86BC8" w:rsidRPr="00DC0FA7">
        <w:rPr>
          <w:iCs/>
        </w:rPr>
        <w:t>6</w:t>
      </w:r>
      <w:r w:rsidRPr="00DC0FA7">
        <w:rPr>
          <w:iCs/>
        </w:rPr>
        <w:t>.</w:t>
      </w:r>
    </w:p>
    <w:p w14:paraId="4134A017" w14:textId="77777777" w:rsidR="00D736B9" w:rsidRPr="00EA0AA1" w:rsidRDefault="00000000" w:rsidP="00EA0AA1">
      <w:pPr>
        <w:ind w:firstLine="0"/>
        <w:jc w:val="center"/>
        <w:rPr>
          <w:b/>
          <w:bCs/>
          <w:iCs/>
        </w:rPr>
      </w:pPr>
      <w:r>
        <w:rPr>
          <w:b/>
          <w:bCs/>
          <w:iCs/>
          <w:noProof/>
        </w:rPr>
        <w:drawing>
          <wp:inline distT="0" distB="0" distL="0" distR="0" wp14:anchorId="17C5512F" wp14:editId="07C8470D">
            <wp:extent cx="4572000" cy="2743200"/>
            <wp:effectExtent l="0" t="0" r="0" b="0"/>
            <wp:docPr id="105417677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4176775" name="Picture 1054176775"/>
                    <pic:cNvPicPr/>
                  </pic:nvPicPr>
                  <pic:blipFill>
                    <a:blip r:embed="rId16"/>
                    <a:stretch>
                      <a:fillRect/>
                    </a:stretch>
                  </pic:blipFill>
                  <pic:spPr>
                    <a:xfrm>
                      <a:off x="0" y="0"/>
                      <a:ext cx="4623325" cy="2773995"/>
                    </a:xfrm>
                    <a:prstGeom prst="rect">
                      <a:avLst/>
                    </a:prstGeom>
                  </pic:spPr>
                </pic:pic>
              </a:graphicData>
            </a:graphic>
          </wp:inline>
        </w:drawing>
      </w:r>
    </w:p>
    <w:p w14:paraId="1AEE58F1" w14:textId="77777777" w:rsidR="00D0718D" w:rsidRDefault="00D0718D" w:rsidP="00056983">
      <w:pPr>
        <w:ind w:firstLine="0"/>
        <w:rPr>
          <w:iCs/>
        </w:rPr>
        <w:sectPr w:rsidR="00D0718D" w:rsidSect="00D0718D">
          <w:type w:val="continuous"/>
          <w:pgSz w:w="11900" w:h="16840"/>
          <w:pgMar w:top="1440" w:right="1440" w:bottom="1440" w:left="1440" w:header="709" w:footer="709" w:gutter="0"/>
          <w:cols w:space="340"/>
          <w:titlePg/>
          <w:docGrid w:linePitch="360"/>
          <w15:footnoteColumns w:val="1"/>
        </w:sectPr>
      </w:pPr>
    </w:p>
    <w:p w14:paraId="44D6CD13" w14:textId="77777777" w:rsidR="00093F1F" w:rsidRDefault="00093F1F" w:rsidP="00EA0AA1">
      <w:pPr>
        <w:ind w:firstLine="0"/>
        <w:sectPr w:rsidR="00093F1F" w:rsidSect="00601B7B">
          <w:type w:val="continuous"/>
          <w:pgSz w:w="11900" w:h="16840"/>
          <w:pgMar w:top="1440" w:right="1440" w:bottom="1440" w:left="1440" w:header="709" w:footer="709" w:gutter="0"/>
          <w:cols w:num="2" w:space="340"/>
          <w:titlePg/>
          <w:docGrid w:linePitch="360"/>
          <w15:footnoteColumns w:val="1"/>
        </w:sectPr>
      </w:pPr>
    </w:p>
    <w:p w14:paraId="7F861C3A" w14:textId="77777777" w:rsidR="00093F1F" w:rsidRDefault="00093F1F" w:rsidP="00EA0AA1">
      <w:pPr>
        <w:ind w:firstLine="0"/>
      </w:pPr>
    </w:p>
    <w:p w14:paraId="56F5E477" w14:textId="77777777" w:rsidR="00093F1F" w:rsidRDefault="00093F1F" w:rsidP="00093F1F">
      <w:pPr>
        <w:ind w:firstLine="0"/>
        <w:sectPr w:rsidR="00093F1F" w:rsidSect="00093F1F">
          <w:type w:val="continuous"/>
          <w:pgSz w:w="11900" w:h="16840"/>
          <w:pgMar w:top="1440" w:right="1440" w:bottom="1440" w:left="1440" w:header="709" w:footer="709" w:gutter="0"/>
          <w:cols w:space="340"/>
          <w:titlePg/>
          <w:docGrid w:linePitch="360"/>
          <w15:footnoteColumns w:val="1"/>
        </w:sectPr>
      </w:pPr>
    </w:p>
    <w:p w14:paraId="5723E527" w14:textId="77777777" w:rsidR="00E91332" w:rsidRDefault="00E91332" w:rsidP="00BE64BB">
      <w:pPr>
        <w:ind w:firstLine="0"/>
      </w:pPr>
      <w:r>
        <w:t xml:space="preserve">implies that they diverged from this strategy by also applying Hedges style data transformations (in addition to not applying Hunter &amp; Schmidt style corrections for reliability). While this reproduction of the original individual effect sizes and their Confidence Intervals gets us one step closer to understanding the original </w:t>
      </w:r>
      <w:r>
        <w:t xml:space="preserve">analytic strategy, it nonetheless does not reproduce the meta-analysis results. </w:t>
      </w:r>
    </w:p>
    <w:p w14:paraId="171AE7A8" w14:textId="77777777" w:rsidR="00E91332" w:rsidRDefault="00E91332" w:rsidP="00E91332">
      <w:pPr>
        <w:pStyle w:val="Heading3"/>
      </w:pPr>
      <w:r>
        <w:t>Verification attempt 7</w:t>
      </w:r>
    </w:p>
    <w:p w14:paraId="6E391573" w14:textId="15EB7361" w:rsidR="00917C66" w:rsidRDefault="00E91332" w:rsidP="00E91332">
      <w:r>
        <w:t xml:space="preserve">Lastly, I made an attempt that purposefully made statistical errors and went against Vahey et al.’s (2015) descriptions of their analytic strategy to see if it could allow me to reproduce the original results. Although </w:t>
      </w:r>
      <w:r>
        <w:lastRenderedPageBreak/>
        <w:t>Vahey et al. (2015) are explicit that they meta-</w:t>
      </w:r>
      <w:proofErr w:type="spellStart"/>
      <w:r>
        <w:t>analyzed</w:t>
      </w:r>
      <w:proofErr w:type="spellEnd"/>
      <w:r>
        <w:t xml:space="preserve"> the 15 weighted average effect sizes, in this attempt I instead used the 56 individual weighted effect sizes, weighted by the sample sizes reported in the original forest plot (their Figure 1). </w:t>
      </w:r>
      <w:r w:rsidR="006B7744">
        <w:t xml:space="preserve">This analysis therefore </w:t>
      </w:r>
      <w:r w:rsidR="00917C66">
        <w:t xml:space="preserve">purposefully ignored the dependencies among the effect sizes, which Vahey et al. (2015) acknowledged is problematic (see their Footnote 2). For this, I returned to using the original </w:t>
      </w:r>
      <w:r w:rsidR="00917C66" w:rsidRPr="00034410">
        <w:t>“</w:t>
      </w:r>
      <w:proofErr w:type="spellStart"/>
      <w:r w:rsidR="00917C66" w:rsidRPr="00034410">
        <w:t>h_s</w:t>
      </w:r>
      <w:proofErr w:type="spellEnd"/>
      <w:r w:rsidR="00917C66" w:rsidRPr="00034410">
        <w:t xml:space="preserve"> </w:t>
      </w:r>
      <w:proofErr w:type="spellStart"/>
      <w:r w:rsidR="00917C66" w:rsidRPr="00034410">
        <w:t>syntax.sps</w:t>
      </w:r>
      <w:proofErr w:type="spellEnd"/>
      <w:r w:rsidR="00917C66" w:rsidRPr="00034410">
        <w:t>”</w:t>
      </w:r>
      <w:r w:rsidR="00917C66">
        <w:t xml:space="preserve"> SPSS script, with all reliabilities still set to 0.0. </w:t>
      </w:r>
    </w:p>
    <w:p w14:paraId="1EF8CFA5" w14:textId="77777777" w:rsidR="00917C66" w:rsidRPr="00663882" w:rsidRDefault="00917C66" w:rsidP="00917C66">
      <w:r>
        <w:t xml:space="preserve">The results of this verification attempt again did not reproduce the original results (nor did multiple small variations on it, e.g., weighting by degrees of freedom rather than </w:t>
      </w:r>
      <w:r w:rsidRPr="005E3ABB">
        <w:rPr>
          <w:i/>
          <w:iCs/>
        </w:rPr>
        <w:t>N</w:t>
      </w:r>
      <w:r>
        <w:t xml:space="preserve">, or using no weights). However, one thing was perhaps notable: making one additional purposeful mistake provides the closest reproduction of the original results that I managed to obtain. Specifically, if one mislabels the Credibility Intervals as Confidence Intervals and vice versa, results show some alignment with the originally reported results: </w:t>
      </w:r>
      <w:r w:rsidRPr="005E3ABB">
        <w:t xml:space="preserve">reported </w:t>
      </w:r>
      <m:oMath>
        <m:acc>
          <m:accPr>
            <m:chr m:val="̅"/>
            <m:ctrlPr>
              <w:rPr>
                <w:rFonts w:ascii="Cambria Math" w:hAnsi="Cambria Math"/>
              </w:rPr>
            </m:ctrlPr>
          </m:accPr>
          <m:e>
            <m:r>
              <w:rPr>
                <w:rFonts w:ascii="Cambria Math" w:hAnsi="Cambria Math"/>
              </w:rPr>
              <m:t>r</m:t>
            </m:r>
          </m:e>
        </m:acc>
        <m:r>
          <w:rPr>
            <w:rFonts w:ascii="Cambria Math" w:hAnsi="Cambria Math"/>
          </w:rPr>
          <m:t xml:space="preserve"> </m:t>
        </m:r>
      </m:oMath>
      <w:r w:rsidRPr="005E3ABB">
        <w:t xml:space="preserve">= .45, recalculated </w:t>
      </w:r>
      <m:oMath>
        <m:acc>
          <m:accPr>
            <m:chr m:val="̅"/>
            <m:ctrlPr>
              <w:rPr>
                <w:rFonts w:ascii="Cambria Math" w:hAnsi="Cambria Math"/>
              </w:rPr>
            </m:ctrlPr>
          </m:accPr>
          <m:e>
            <m:r>
              <w:rPr>
                <w:rFonts w:ascii="Cambria Math" w:hAnsi="Cambria Math"/>
              </w:rPr>
              <m:t>r</m:t>
            </m:r>
          </m:e>
        </m:acc>
        <m:r>
          <w:rPr>
            <w:rFonts w:ascii="Cambria Math" w:hAnsi="Cambria Math"/>
          </w:rPr>
          <m:t xml:space="preserve"> </m:t>
        </m:r>
      </m:oMath>
      <w:r w:rsidRPr="005E3ABB">
        <w:t>= .48; reported CI = [.40, .54], recalculated CR = [.39, .57]; reported CR = [.23, .67[,</w:t>
      </w:r>
      <w:r>
        <w:t xml:space="preserve"> </w:t>
      </w:r>
      <w:r w:rsidRPr="005E3ABB">
        <w:t xml:space="preserve">recalculated CI = [.20, 74]. </w:t>
      </w:r>
    </w:p>
    <w:p w14:paraId="1841ECDA" w14:textId="77777777" w:rsidR="000C5BDB" w:rsidRDefault="00000000" w:rsidP="00034410">
      <w:pPr>
        <w:pStyle w:val="Heading3"/>
      </w:pPr>
      <w:r w:rsidRPr="00034410">
        <w:t>Summar</w:t>
      </w:r>
      <w:r w:rsidR="00987DC7" w:rsidRPr="00034410">
        <w:t xml:space="preserve">y </w:t>
      </w:r>
      <w:r w:rsidR="009B1C88">
        <w:t>of attempts</w:t>
      </w:r>
    </w:p>
    <w:p w14:paraId="342813A1" w14:textId="77777777" w:rsidR="009B1C88" w:rsidRPr="009B1C88" w:rsidRDefault="00000000" w:rsidP="009B1C88">
      <w:r>
        <w:t>A large</w:t>
      </w:r>
      <w:r w:rsidR="007F7517">
        <w:t>r</w:t>
      </w:r>
      <w:r>
        <w:t xml:space="preserve"> number of small variations on the attempts that are reported here were also tried. For example, alternative values for reliability estimates, and not back-transforming the </w:t>
      </w:r>
      <w:r w:rsidRPr="002D10F0">
        <w:rPr>
          <w:i/>
          <w:iCs/>
        </w:rPr>
        <w:t>z</w:t>
      </w:r>
      <w:r>
        <w:t xml:space="preserve"> values </w:t>
      </w:r>
      <w:r w:rsidR="000D4325">
        <w:t xml:space="preserve">back to </w:t>
      </w:r>
      <w:r w:rsidR="000D4325" w:rsidRPr="000D4325">
        <w:rPr>
          <w:i/>
          <w:iCs/>
        </w:rPr>
        <w:t>r</w:t>
      </w:r>
      <w:r w:rsidR="000D4325">
        <w:t xml:space="preserve"> values</w:t>
      </w:r>
      <w:r>
        <w:t xml:space="preserve">. I also tried </w:t>
      </w:r>
      <w:r w:rsidR="00903996">
        <w:t>several</w:t>
      </w:r>
      <w:r>
        <w:t xml:space="preserve"> </w:t>
      </w:r>
      <w:r w:rsidR="00E63B38">
        <w:t xml:space="preserve">other </w:t>
      </w:r>
      <w:r>
        <w:t>purposeful mistakes, such as miscalculating Credibility Intervals based on plausible mathematical and coding errors. No attempt successfully reproduced the originally reported results.</w:t>
      </w:r>
    </w:p>
    <w:p w14:paraId="0085D651" w14:textId="77777777" w:rsidR="004735A6" w:rsidRDefault="00000000" w:rsidP="00034410">
      <w:r>
        <w:t>Confidence Interval</w:t>
      </w:r>
      <w:r w:rsidR="002353CA" w:rsidRPr="00034410">
        <w:t xml:space="preserve">s around individual effect sizes in the </w:t>
      </w:r>
      <w:r w:rsidR="00E0308B">
        <w:t xml:space="preserve">original </w:t>
      </w:r>
      <w:r w:rsidR="002353CA" w:rsidRPr="00034410">
        <w:t xml:space="preserve">forest plot were only reproduced when Fisher’s </w:t>
      </w:r>
      <w:r w:rsidR="002353CA" w:rsidRPr="00034410">
        <w:rPr>
          <w:i/>
          <w:iCs/>
        </w:rPr>
        <w:t>r</w:t>
      </w:r>
      <w:r w:rsidR="002353CA" w:rsidRPr="00034410">
        <w:t>-to-</w:t>
      </w:r>
      <w:r w:rsidR="002353CA" w:rsidRPr="00034410">
        <w:rPr>
          <w:i/>
          <w:iCs/>
        </w:rPr>
        <w:t>z</w:t>
      </w:r>
      <w:r w:rsidR="002353CA" w:rsidRPr="00034410">
        <w:t xml:space="preserve"> transformations were applied (verification attempt </w:t>
      </w:r>
      <w:r w:rsidR="00C86BC8">
        <w:t>6</w:t>
      </w:r>
      <w:r w:rsidR="002353CA" w:rsidRPr="00034410">
        <w:t xml:space="preserve">) and not when they weren't (verification attempts </w:t>
      </w:r>
      <w:r w:rsidR="00C82E8B">
        <w:t>1-3</w:t>
      </w:r>
      <w:r w:rsidR="002353CA" w:rsidRPr="00034410">
        <w:t xml:space="preserve">). </w:t>
      </w:r>
    </w:p>
    <w:p w14:paraId="297B9833" w14:textId="77777777" w:rsidR="00EA7CE9" w:rsidRDefault="00000000" w:rsidP="00034410">
      <w:r>
        <w:t xml:space="preserve">Meta-analysis </w:t>
      </w:r>
      <w:r w:rsidR="00710E09">
        <w:t>C</w:t>
      </w:r>
      <w:r>
        <w:t xml:space="preserve">onfidence </w:t>
      </w:r>
      <w:r w:rsidR="00710E09">
        <w:t>I</w:t>
      </w:r>
      <w:r>
        <w:t xml:space="preserve">ntervals were only reproduced when putting Field’s SPSS scripts aside and reconstructing the analyses in R using the metafor package. This is difficult to account for. </w:t>
      </w:r>
    </w:p>
    <w:p w14:paraId="058AADE8" w14:textId="77777777" w:rsidR="00710E09" w:rsidRDefault="00000000" w:rsidP="00034410">
      <w:r>
        <w:t>Credibility Intervals could not be reproduced in any attempt. Indeed, all verification attempts in both SPSS and R, whether using Field’s mathematical solutions or metafor’s, returned CRs with widths of 0. The only exceptions to this were situations where I made purposeful errors.</w:t>
      </w:r>
      <w:r w:rsidR="00C77A87">
        <w:t xml:space="preserve"> It remains totally unclear how Vahey et al. (2015) produced their reported values. The closest I came to reproducing them was attempt 7, which had to make two serious mistakes on purpose: using the 56 individual effect sizes rather than the 15 weighted averages, and mislabelling Confidence Intervals as Credibility Intervals and vice versa. </w:t>
      </w:r>
    </w:p>
    <w:p w14:paraId="343E3FF0" w14:textId="77777777" w:rsidR="000521C2" w:rsidRDefault="00000000" w:rsidP="000521C2">
      <w:r>
        <w:t xml:space="preserve">Lastly, with regard to the point estimate of the meta-analytic effect size, I noted previously in </w:t>
      </w:r>
      <w:r w:rsidRPr="000521C2">
        <w:t xml:space="preserve">the “Issues with the meta-analysis </w:t>
      </w:r>
      <w:r>
        <w:t>results”</w:t>
      </w:r>
      <w:r w:rsidRPr="000521C2">
        <w:t xml:space="preserve"> section </w:t>
      </w:r>
      <w:r>
        <w:t xml:space="preserve">that the original </w:t>
      </w:r>
      <w:r w:rsidR="002C28D0">
        <w:t xml:space="preserve">meta-analysis point estimate is incompatible with the reported Confidence Intervals. Interestingly, if we assume that (a) the originally reported point </w:t>
      </w:r>
      <w:r w:rsidR="002C28D0">
        <w:t>estimate is incorrectly reported but the Confidence Intervals are correctly reported, and (b) that the Confidence Intervals are symmetrical, this would imply that a correct point estimate of .47 (i.e., at the halfway point between the intervals). A point estimate of .47 combined with Confidence Intervals of [.40, .54] was reproduced in verification attempts</w:t>
      </w:r>
      <w:r w:rsidR="00F45E46">
        <w:t xml:space="preserve"> 5 and 6 using metafor</w:t>
      </w:r>
      <w:r w:rsidR="002C28D0">
        <w:t xml:space="preserve">. </w:t>
      </w:r>
      <w:r w:rsidR="00EC09FF">
        <w:t xml:space="preserve">However, this does not imply that the original results are merely the result of a typo in the point estimate, as (a) the Credibility Intervals in verification attempts 3 and 4 are very different from the original results, and (b) more confusingly, these results were produced only by </w:t>
      </w:r>
      <w:r w:rsidR="00EC09FF" w:rsidRPr="00EC09FF">
        <w:t xml:space="preserve">Viechtbauer’s </w:t>
      </w:r>
      <w:r w:rsidR="00EC09FF">
        <w:t>(2022) implementation of the analysis in R and metafor, but not using the scripts that Vahey et al. (2015) report having used.</w:t>
      </w:r>
      <w:r w:rsidR="0086020D">
        <w:t xml:space="preserve"> Therefore, it remains unclear how Vahey et al. (2015) analyzed their data or obtained all their results</w:t>
      </w:r>
      <w:r w:rsidR="00877E70">
        <w:t>, or even which mistakes if any during the meta-analysis may have given rise to their reported results.</w:t>
      </w:r>
    </w:p>
    <w:p w14:paraId="5327A12E" w14:textId="170687CD" w:rsidR="00697E83" w:rsidRPr="00034410" w:rsidRDefault="00136B0D" w:rsidP="00034410">
      <w:pPr>
        <w:pStyle w:val="Heading2"/>
      </w:pPr>
      <w:r>
        <w:br w:type="column"/>
      </w:r>
      <w:r>
        <w:lastRenderedPageBreak/>
        <w:t>Weighted a</w:t>
      </w:r>
      <w:r w:rsidR="00B95E95" w:rsidRPr="00034410">
        <w:t>verage effect sizes</w:t>
      </w:r>
      <w:r w:rsidR="007E5FD2" w:rsidRPr="00034410">
        <w:t xml:space="preserve"> </w:t>
      </w:r>
    </w:p>
    <w:p w14:paraId="325F52BE" w14:textId="77777777" w:rsidR="00F73DA2" w:rsidRDefault="00000000" w:rsidP="0046629A">
      <w:r>
        <w:t xml:space="preserve">In order to </w:t>
      </w:r>
      <w:r w:rsidR="008C347B">
        <w:t xml:space="preserve">attempt to retrace the steps involved in the original </w:t>
      </w:r>
      <w:r>
        <w:t xml:space="preserve">analysis, I then noted that </w:t>
      </w:r>
      <w:r w:rsidR="00697E83" w:rsidRPr="00034410">
        <w:t xml:space="preserve">Vahey </w:t>
      </w:r>
      <w:r>
        <w:t xml:space="preserve">et al. (2015) </w:t>
      </w:r>
      <w:r w:rsidR="00697E83" w:rsidRPr="00034410">
        <w:t xml:space="preserve">reported that the </w:t>
      </w:r>
      <w:r w:rsidR="007A6740" w:rsidRPr="00034410">
        <w:t xml:space="preserve">15 </w:t>
      </w:r>
      <w:r w:rsidR="00697E83" w:rsidRPr="00034410">
        <w:t xml:space="preserve">weighted average effect sizes they used in their meta-analysis were calculated from </w:t>
      </w:r>
      <w:r w:rsidR="007A6740" w:rsidRPr="00034410">
        <w:t xml:space="preserve">46 </w:t>
      </w:r>
      <w:r w:rsidR="00697E83" w:rsidRPr="00034410">
        <w:t xml:space="preserve">individual effect sizes and </w:t>
      </w:r>
      <w:r w:rsidR="00FA3C97" w:rsidRPr="00034410">
        <w:t>degrees of freedom</w:t>
      </w:r>
      <w:r w:rsidR="00697E83" w:rsidRPr="00034410">
        <w:t xml:space="preserve"> </w:t>
      </w:r>
      <w:r>
        <w:t>taken from 15 studies. Vahey et al. (2015) report</w:t>
      </w:r>
      <w:r w:rsidR="00C315F6">
        <w:t>ed</w:t>
      </w:r>
      <w:r>
        <w:t xml:space="preserve"> the individual effect sizes and degrees of freedom in</w:t>
      </w:r>
      <w:r w:rsidR="00697E83" w:rsidRPr="00034410">
        <w:t xml:space="preserve"> their supplementary materials. I </w:t>
      </w:r>
      <w:r w:rsidR="00C315F6">
        <w:t xml:space="preserve">therefore </w:t>
      </w:r>
      <w:r w:rsidR="00697E83" w:rsidRPr="00034410">
        <w:t xml:space="preserve">attempted to verify </w:t>
      </w:r>
      <w:r w:rsidR="00C315F6">
        <w:t xml:space="preserve">the weighted averages </w:t>
      </w:r>
      <w:r w:rsidR="00697E83" w:rsidRPr="00034410">
        <w:t xml:space="preserve">by recalculating </w:t>
      </w:r>
      <w:r w:rsidR="00C315F6">
        <w:t xml:space="preserve">them using </w:t>
      </w:r>
      <w:r w:rsidR="005354BD">
        <w:t>Vahey et al</w:t>
      </w:r>
      <w:r w:rsidR="00FA3C97" w:rsidRPr="00034410">
        <w:t>'s (2015) strategy of weighting by degrees of freedom</w:t>
      </w:r>
      <w:r w:rsidR="00697E83" w:rsidRPr="00034410">
        <w:t xml:space="preserve">. </w:t>
      </w:r>
      <w:r w:rsidR="00B95E95" w:rsidRPr="00034410">
        <w:t xml:space="preserve">Results were not </w:t>
      </w:r>
      <w:r w:rsidR="00002C55">
        <w:t xml:space="preserve">fully </w:t>
      </w:r>
      <w:r w:rsidR="00B95E95" w:rsidRPr="00034410">
        <w:t>computationally reproducible</w:t>
      </w:r>
      <w:r w:rsidR="0033061C" w:rsidRPr="00034410">
        <w:t xml:space="preserve">: </w:t>
      </w:r>
      <w:r w:rsidR="00B95E95" w:rsidRPr="00034410">
        <w:t xml:space="preserve">2 of 15 (13%) </w:t>
      </w:r>
      <w:r w:rsidR="0033061C" w:rsidRPr="00034410">
        <w:t xml:space="preserve">recomputed weighted averages differed from those reported in </w:t>
      </w:r>
      <w:r w:rsidR="005354BD">
        <w:t>Vahey et al.’s</w:t>
      </w:r>
      <w:r w:rsidR="0033061C" w:rsidRPr="00034410">
        <w:t xml:space="preserve"> forest plot</w:t>
      </w:r>
      <w:r w:rsidR="00B95E95" w:rsidRPr="00034410">
        <w:t xml:space="preserve">. </w:t>
      </w:r>
      <w:r w:rsidR="008B53FE" w:rsidRPr="00034410">
        <w:t>On the one hand, t</w:t>
      </w:r>
      <w:r w:rsidR="00B95E95" w:rsidRPr="00034410">
        <w:t>he magnitudes of the differences were small (</w:t>
      </w:r>
      <m:oMath>
        <m:r>
          <m:rPr>
            <m:sty m:val="p"/>
          </m:rPr>
          <w:rPr>
            <w:rFonts w:ascii="Cambria Math" w:hAnsi="Cambria Math"/>
          </w:rPr>
          <m:t>Δ</m:t>
        </m:r>
        <m:acc>
          <m:accPr>
            <m:chr m:val="̅"/>
            <m:ctrlPr>
              <w:rPr>
                <w:rFonts w:ascii="Cambria Math" w:hAnsi="Cambria Math"/>
                <w:i/>
                <w:sz w:val="20"/>
                <w:szCs w:val="20"/>
              </w:rPr>
            </m:ctrlPr>
          </m:accPr>
          <m:e>
            <m:r>
              <w:rPr>
                <w:rFonts w:ascii="Cambria Math" w:hAnsi="Cambria Math"/>
              </w:rPr>
              <m:t>r</m:t>
            </m:r>
          </m:e>
        </m:acc>
      </m:oMath>
      <w:r w:rsidR="00C73A84" w:rsidRPr="00034410">
        <w:t xml:space="preserve"> </w:t>
      </w:r>
      <w:r w:rsidR="00B95E95" w:rsidRPr="00034410">
        <w:t xml:space="preserve"> = -.02 and .05).</w:t>
      </w:r>
      <w:r w:rsidR="007C71A5" w:rsidRPr="00034410">
        <w:t xml:space="preserve"> </w:t>
      </w:r>
      <w:r w:rsidR="008B53FE" w:rsidRPr="00034410">
        <w:t xml:space="preserve">On the other hand, given the simplicity of these calculations, </w:t>
      </w:r>
      <w:r w:rsidR="001B7C79">
        <w:t>the discrepancy is difficult to understand</w:t>
      </w:r>
      <w:r w:rsidR="008B53FE" w:rsidRPr="00034410">
        <w:t>.</w:t>
      </w:r>
      <w:r w:rsidR="00103A1D">
        <w:t xml:space="preserve"> Both instances with discrepancies came from articles whose first authors were co-authors of Vahey et al. (2015)</w:t>
      </w:r>
      <w:r w:rsidR="00466231">
        <w:t>, suggesting that they were not unfamiliar with the original studies.</w:t>
      </w:r>
    </w:p>
    <w:p w14:paraId="0DF609E9" w14:textId="77777777" w:rsidR="00B879CC" w:rsidRDefault="00000000" w:rsidP="00034410">
      <w:pPr>
        <w:pStyle w:val="Heading2"/>
      </w:pPr>
      <w:r w:rsidRPr="00034410">
        <w:t>I</w:t>
      </w:r>
      <w:r w:rsidR="00B95E95" w:rsidRPr="00034410">
        <w:t xml:space="preserve">ndividual effect sizes </w:t>
      </w:r>
    </w:p>
    <w:p w14:paraId="32E6DCAD" w14:textId="77777777" w:rsidR="002B663E" w:rsidRPr="002B663E" w:rsidRDefault="00000000" w:rsidP="002B663E">
      <w:pPr>
        <w:ind w:firstLine="0"/>
      </w:pPr>
      <w:r>
        <w:t xml:space="preserve">Next, I attempted to retrace the next step involved in the original analysis: the extraction of effect sizes from original articles. This involves (a) the </w:t>
      </w:r>
      <w:r w:rsidR="00835CAA">
        <w:t xml:space="preserve">correct </w:t>
      </w:r>
      <w:r>
        <w:t>application of inclusion criteria</w:t>
      </w:r>
      <w:r w:rsidR="0002030D">
        <w:t xml:space="preserve"> in terms of correct inclusions and the absence of incorrect omissions</w:t>
      </w:r>
      <w:r>
        <w:t>, and (</w:t>
      </w:r>
      <w:r w:rsidR="00835CAA">
        <w:t>b</w:t>
      </w:r>
      <w:r>
        <w:t>) the extraction and conversion of effect sizes.</w:t>
      </w:r>
    </w:p>
    <w:p w14:paraId="5DACB90E" w14:textId="77777777" w:rsidR="00A64263" w:rsidRPr="00034410" w:rsidRDefault="00000000" w:rsidP="00034410">
      <w:pPr>
        <w:pStyle w:val="Heading3"/>
      </w:pPr>
      <w:r w:rsidRPr="00034410">
        <w:t>Assessment of incorrect inclusion</w:t>
      </w:r>
      <w:r w:rsidR="007E6922" w:rsidRPr="00034410">
        <w:t>s</w:t>
      </w:r>
    </w:p>
    <w:p w14:paraId="4644309E" w14:textId="77777777" w:rsidR="00A42C2C" w:rsidRDefault="00000000" w:rsidP="00034410">
      <w:r w:rsidRPr="00034410">
        <w:t xml:space="preserve">Lakens et al. (2016) </w:t>
      </w:r>
      <w:r w:rsidR="00526746">
        <w:t>argued that</w:t>
      </w:r>
      <w:r w:rsidRPr="00034410">
        <w:t xml:space="preserve"> </w:t>
      </w:r>
      <w:r w:rsidR="00526746">
        <w:t>“</w:t>
      </w:r>
      <w:r w:rsidRPr="00034410">
        <w:t>incorrect inclusion</w:t>
      </w:r>
      <w:r w:rsidR="00526746">
        <w:t>”</w:t>
      </w:r>
      <w:r w:rsidRPr="00034410">
        <w:t xml:space="preserve"> </w:t>
      </w:r>
      <w:r w:rsidR="00526746">
        <w:t xml:space="preserve">is </w:t>
      </w:r>
      <w:r w:rsidRPr="00034410">
        <w:t>a common type</w:t>
      </w:r>
      <w:r w:rsidR="005C7269" w:rsidRPr="00034410">
        <w:t xml:space="preserve"> </w:t>
      </w:r>
      <w:r w:rsidRPr="00034410">
        <w:t>of error in meta-analy</w:t>
      </w:r>
      <w:r w:rsidR="004B19F2">
        <w:t>sis</w:t>
      </w:r>
      <w:r w:rsidR="002E34D5">
        <w:t xml:space="preserve">. That is, the </w:t>
      </w:r>
      <w:r w:rsidR="00605CE0" w:rsidRPr="00034410">
        <w:t xml:space="preserve">inclusion of effect sizes </w:t>
      </w:r>
      <w:r w:rsidR="005E6648" w:rsidRPr="00034410">
        <w:t xml:space="preserve">that do not meet the inclusion criteria. Vahey et al. (2015) stated that the purpose of their meta-analysis was to </w:t>
      </w:r>
      <w:r w:rsidR="005E6648" w:rsidRPr="008372BF">
        <w:rPr>
          <w:i/>
          <w:iCs/>
        </w:rPr>
        <w:t>“quantify how much IRAP effects from clinically relevant responding co-vary with corresponding clinically relevant criterion variables"</w:t>
      </w:r>
      <w:r w:rsidR="005E6648" w:rsidRPr="00034410">
        <w:t xml:space="preserve"> (p.60). Their inclusion criterion was that </w:t>
      </w:r>
      <w:r w:rsidR="005E6648" w:rsidRPr="008372BF">
        <w:rPr>
          <w:i/>
          <w:iCs/>
        </w:rPr>
        <w:t xml:space="preserve">“the IRAP and criterion variables must have been deemed to target some aspect of a condition included in a major psychiatric diagnostic scheme such as the Diagnostic and Statistical Manual of Mental Disorders (DSM-5, 2013) … The authors decided whether the responses measured by a given IRAP trial-type should co-vary with a specific criterion variable by consulting the relevant empirical literature.” </w:t>
      </w:r>
      <w:r w:rsidR="005E6648" w:rsidRPr="00034410">
        <w:t>(p.60).</w:t>
      </w:r>
      <w:r w:rsidR="0035720E" w:rsidRPr="00034410">
        <w:t xml:space="preserve"> </w:t>
      </w:r>
      <w:r w:rsidR="00971ED4">
        <w:t xml:space="preserve">Unfortunately, neither </w:t>
      </w:r>
      <w:r w:rsidR="00971ED4" w:rsidRPr="00034410">
        <w:t xml:space="preserve">the original article </w:t>
      </w:r>
      <w:r w:rsidR="00971ED4">
        <w:t xml:space="preserve">nor its </w:t>
      </w:r>
      <w:r w:rsidR="00971ED4" w:rsidRPr="00034410">
        <w:t xml:space="preserve">supplementary materials </w:t>
      </w:r>
      <w:r w:rsidR="00971ED4">
        <w:t xml:space="preserve">provided data for each extracted effect size regarding which specific </w:t>
      </w:r>
      <w:r w:rsidR="00A22D26" w:rsidRPr="00034410">
        <w:t>clinical condition was targeted by the IRAP and the criterion variable</w:t>
      </w:r>
      <w:r w:rsidR="00971ED4">
        <w:t xml:space="preserve">, or </w:t>
      </w:r>
      <w:r w:rsidR="00A22D26" w:rsidRPr="00034410">
        <w:t xml:space="preserve">the </w:t>
      </w:r>
      <w:r w:rsidR="00271DC8">
        <w:t>“</w:t>
      </w:r>
      <w:r w:rsidR="00A22D26" w:rsidRPr="00034410">
        <w:t>specific empirical literature</w:t>
      </w:r>
      <w:r w:rsidR="00271DC8">
        <w:t>”</w:t>
      </w:r>
      <w:r w:rsidR="00A22D26" w:rsidRPr="00034410">
        <w:t xml:space="preserve"> that Vahey et al. (2015) used to justify the inclusion of each criterion. </w:t>
      </w:r>
    </w:p>
    <w:p w14:paraId="629BC290" w14:textId="4205F55B" w:rsidR="00454184" w:rsidRDefault="00000000" w:rsidP="00454184">
      <w:r w:rsidRPr="00034410">
        <w:t xml:space="preserve">Nonetheless, </w:t>
      </w:r>
      <w:r w:rsidR="0035720E" w:rsidRPr="00034410">
        <w:t>Vahey</w:t>
      </w:r>
      <w:r w:rsidR="00F07A47">
        <w:t xml:space="preserve"> et al.</w:t>
      </w:r>
      <w:r w:rsidR="0035720E" w:rsidRPr="00034410">
        <w:t xml:space="preserve">’s </w:t>
      </w:r>
      <w:r w:rsidR="00F07A47">
        <w:t xml:space="preserve">(2015) </w:t>
      </w:r>
      <w:r w:rsidR="0035720E" w:rsidRPr="00034410">
        <w:t>own inclusion criterion required that effects referred to covariation between an IRAP and an external clinically relevant criterion variable</w:t>
      </w:r>
      <w:r w:rsidR="003A7B3D" w:rsidRPr="00034410">
        <w:t xml:space="preserve">, consistent with the </w:t>
      </w:r>
      <w:r w:rsidR="0035720E" w:rsidRPr="00034410">
        <w:t xml:space="preserve">APA Dictionary of Psychology </w:t>
      </w:r>
      <w:r w:rsidR="003A7B3D" w:rsidRPr="00034410">
        <w:t xml:space="preserve">definition of </w:t>
      </w:r>
      <w:r w:rsidR="0035720E" w:rsidRPr="00034410">
        <w:t xml:space="preserve">criterion validity </w:t>
      </w:r>
      <w:r w:rsidR="00B45502" w:rsidRPr="00034410">
        <w:fldChar w:fldCharType="begin"/>
      </w:r>
      <w:r w:rsidR="00B45502" w:rsidRPr="00034410">
        <w:instrText xml:space="preserve"> ADDIN ZOTERO_ITEM CSL_CITATION {"citationID":"E7WmNBFx","properties":{"formattedCitation":"(American Psychological Association, 2024)","plainCitation":"(American Psychological Association, 2024)","noteIndex":0},"citationItems":[{"id":29103,"uris":["http://zotero.org/users/1687755/items/ZUCAU6T6"],"itemData":{"id":29103,"type":"webpage","abstract":"A trusted reference in the field of psychology, offering more than 25,000 clear and authoritative entries.","language":"en","title":"APA Dictionary of Psychology","URL":"https://dictionary.apa.org/criterion-validity","author":[{"literal":"American Psychological Association"}],"accessed":{"date-parts":[["2024",7,30]]},"issued":{"date-parts":[["2024"]]}}}],"schema":"https://github.com/citation-style-language/schema/raw/master/csl-citation.json"} </w:instrText>
      </w:r>
      <w:r w:rsidR="00B45502" w:rsidRPr="00034410">
        <w:fldChar w:fldCharType="separate"/>
      </w:r>
      <w:r w:rsidR="00B45502" w:rsidRPr="00034410">
        <w:rPr>
          <w:noProof/>
        </w:rPr>
        <w:t>(American Psychological Association, 2024)</w:t>
      </w:r>
      <w:r w:rsidR="00B45502" w:rsidRPr="00034410">
        <w:fldChar w:fldCharType="end"/>
      </w:r>
      <w:r w:rsidR="0035720E" w:rsidRPr="00034410">
        <w:t>.</w:t>
      </w:r>
      <w:r w:rsidR="00A42C2C">
        <w:t xml:space="preserve"> </w:t>
      </w:r>
      <w:r w:rsidRPr="00034410">
        <w:t xml:space="preserve">Using the descriptions in </w:t>
      </w:r>
      <w:r w:rsidR="00A42C2C">
        <w:t>Vahey et al.’s (2015)</w:t>
      </w:r>
      <w:r w:rsidRPr="00034410">
        <w:t xml:space="preserve"> supplementary materials</w:t>
      </w:r>
      <w:r w:rsidR="002506A8" w:rsidRPr="00034410">
        <w:t>,</w:t>
      </w:r>
      <w:r w:rsidRPr="00034410">
        <w:t xml:space="preserve"> and </w:t>
      </w:r>
      <w:r w:rsidRPr="00034410">
        <w:t xml:space="preserve">with reference to the original papers, the individual effect sizes were </w:t>
      </w:r>
      <w:r w:rsidR="0073469D" w:rsidRPr="00034410">
        <w:t>re-evaluated</w:t>
      </w:r>
      <w:r w:rsidRPr="00034410">
        <w:t xml:space="preserve"> against </w:t>
      </w:r>
      <w:r w:rsidR="005354BD">
        <w:t>Vahey et al.’s</w:t>
      </w:r>
      <w:r w:rsidRPr="00034410">
        <w:t xml:space="preserve"> inclusion criterion of </w:t>
      </w:r>
      <w:r w:rsidR="00C41C74" w:rsidRPr="00034410">
        <w:t xml:space="preserve">covariance between an </w:t>
      </w:r>
      <w:r w:rsidRPr="00034410">
        <w:t xml:space="preserve">IRAP and a second external variable. </w:t>
      </w:r>
      <w:r w:rsidR="005E599F">
        <w:t xml:space="preserve">While the clinical relevance of specific effects might be more subjective, the involvement of a criterion variable other than the IRAP can be assessed objectively. Worryingly, </w:t>
      </w:r>
      <w:r w:rsidR="004666D2" w:rsidRPr="00034410">
        <w:t>23 of the 56 effect sizes (41%)</w:t>
      </w:r>
      <w:r w:rsidR="005E599F">
        <w:t xml:space="preserve"> employed by Vahey et al. (2015)</w:t>
      </w:r>
      <w:r w:rsidR="004666D2" w:rsidRPr="00034410">
        <w:t xml:space="preserve"> were found to involve no external variable (i.e., they </w:t>
      </w:r>
      <w:r w:rsidR="005E599F">
        <w:t xml:space="preserve">refer only to </w:t>
      </w:r>
      <w:r w:rsidR="004666D2" w:rsidRPr="00034410">
        <w:t>a reaction time differential between the IRAP block types</w:t>
      </w:r>
      <w:r w:rsidR="005E599F">
        <w:t xml:space="preserve">, i.e. from a one-sample </w:t>
      </w:r>
      <w:r w:rsidR="005E599F" w:rsidRPr="005E599F">
        <w:rPr>
          <w:i/>
          <w:iCs/>
        </w:rPr>
        <w:t>t</w:t>
      </w:r>
      <w:r w:rsidR="005E599F">
        <w:t>-test</w:t>
      </w:r>
      <w:r w:rsidR="004666D2" w:rsidRPr="00034410">
        <w:t>)</w:t>
      </w:r>
      <w:r w:rsidR="00C41C74" w:rsidRPr="00034410">
        <w:t xml:space="preserve">, and were therefore not suitable to be included in a meta-analysis of the IRAP’s criterion validity. </w:t>
      </w:r>
      <w:r w:rsidR="003E7022">
        <w:t>A large degree of incorrect inclusion error was therefore detected in Vahey et al.’s (2015) effect sizes.</w:t>
      </w:r>
    </w:p>
    <w:p w14:paraId="35693575" w14:textId="2935D38C" w:rsidR="00D154BD" w:rsidRDefault="00D154BD" w:rsidP="00454184">
      <w:r>
        <w:t xml:space="preserve">An exploratory, non-preregistered Welches independent </w:t>
      </w:r>
      <w:r w:rsidRPr="00A30024">
        <w:rPr>
          <w:i/>
          <w:iCs/>
        </w:rPr>
        <w:t>t</w:t>
      </w:r>
      <w:r>
        <w:t xml:space="preserve">-test was used to test for differences in means between the individual effect sizes (on the </w:t>
      </w:r>
      <w:r w:rsidRPr="00A25F55">
        <w:rPr>
          <w:i/>
          <w:iCs/>
        </w:rPr>
        <w:t>r</w:t>
      </w:r>
      <w:r>
        <w:t xml:space="preserve"> scale) reported in the Vahey et al.’s (2015) supplementary materials. Erroneously included effect sizes that did not actually involve a criterion variable were found to be larger (mean </w:t>
      </w:r>
      <w:r w:rsidRPr="006B085F">
        <w:rPr>
          <w:i/>
          <w:iCs/>
        </w:rPr>
        <w:t>r</w:t>
      </w:r>
      <w:r>
        <w:t xml:space="preserve"> = .59) than those that did (mean </w:t>
      </w:r>
      <w:r w:rsidRPr="006B085F">
        <w:rPr>
          <w:i/>
          <w:iCs/>
        </w:rPr>
        <w:t>r</w:t>
      </w:r>
      <w:r>
        <w:t xml:space="preserve"> = .41), </w:t>
      </w:r>
      <w:r w:rsidRPr="00C30F51">
        <w:rPr>
          <w:i/>
          <w:iCs/>
        </w:rPr>
        <w:t>t</w:t>
      </w:r>
      <w:r>
        <w:t>(</w:t>
      </w:r>
      <w:r w:rsidRPr="00A30024">
        <w:t>41.14</w:t>
      </w:r>
      <w:r>
        <w:t xml:space="preserve">) = 4.70, </w:t>
      </w:r>
      <w:r w:rsidRPr="00A30024">
        <w:rPr>
          <w:i/>
          <w:iCs/>
        </w:rPr>
        <w:t>p</w:t>
      </w:r>
      <w:r>
        <w:t xml:space="preserve"> = </w:t>
      </w:r>
      <w:r w:rsidRPr="00A30024">
        <w:t>.00003</w:t>
      </w:r>
      <w:r>
        <w:t>.</w:t>
      </w:r>
      <w:r w:rsidR="003B4E92">
        <w:t xml:space="preserve"> As such, the inappropriate inclusion of these non-criterion effect sizes served to include larger effect sizes.</w:t>
      </w:r>
    </w:p>
    <w:p w14:paraId="7948BFF3" w14:textId="77777777" w:rsidR="00E95A1C" w:rsidRDefault="00404F5B" w:rsidP="00096798">
      <w:pPr>
        <w:rPr>
          <w:lang w:val="en-IE"/>
        </w:rPr>
      </w:pPr>
      <w:r>
        <w:t xml:space="preserve">It is worth noting that this is not the only form of inclusion criterion violation that was possible. While I did not attempt to examine it systematically given the potential for subjectivity, it is also worth noting that the “clinical focus” of criterion variables was unclear for several included effects. Vahey et al. (2015) state on page 60: </w:t>
      </w:r>
      <w:r w:rsidRPr="00404F5B">
        <w:rPr>
          <w:i/>
          <w:iCs/>
        </w:rPr>
        <w:t xml:space="preserve">“To be included within the current meta-analysis a given statistical effect must have described the co-variation of an IRAP effect with a corresponding clinically-focused criterion variable. To qualify as clinically-focused, the IRAP and criterion variables must have been deemed to target some aspect of a condition included in a major psychiatric diagnostic scheme such as the Diagnostic and Statistical Manual of Mental Disorders (DSM-5, 2013).” </w:t>
      </w:r>
      <w:r>
        <w:t>Following, this definition, it is unclear how effect</w:t>
      </w:r>
      <w:r w:rsidR="008853DB">
        <w:t>s</w:t>
      </w:r>
      <w:r>
        <w:t xml:space="preserve"> such as </w:t>
      </w:r>
      <w:r w:rsidR="008853DB">
        <w:t xml:space="preserve">Vahey et al.’s </w:t>
      </w:r>
      <w:r w:rsidR="008853DB">
        <w:fldChar w:fldCharType="begin"/>
      </w:r>
      <w:r w:rsidR="008853DB">
        <w:instrText xml:space="preserve"> ADDIN ZOTERO_ITEM CSL_CITATION {"citationID":"KoS9YVJq","properties":{"formattedCitation":"(2009)","plainCitation":"(2009)","noteIndex":0},"citationItems":[{"id":219,"uris":["http://zotero.org/users/1687755/items/FKKC7AG6"],"itemData":{"id":219,"type":"article-journal","container-title":"The Psychological Record","issue":"3","page":"371–388","source":"Google Scholar","title":"A first test of the Implicit Relational Assessment Procedure (IRAP) as a measure of self-esteem: Irish prisoner groups and university students.","title-short":"A first test of the Implicit Relational Assessment Procedure (IRAP) as a measure of self-esteem","volume":"59","author":[{"family":"Vahey","given":"Nigel A."},{"family":"Barnes-Holmes","given":"Dermot"},{"family":"Barnes-Holmes","given":"Yvonne"},{"family":"Stewart","given":"Ian"}],"issued":{"date-parts":[["2009"]]}},"label":"page","suppress-author":true}],"schema":"https://github.com/citation-style-language/schema/raw/master/csl-citation.json"} </w:instrText>
      </w:r>
      <w:r w:rsidR="008853DB">
        <w:fldChar w:fldCharType="separate"/>
      </w:r>
      <w:r w:rsidR="008853DB">
        <w:rPr>
          <w:noProof/>
        </w:rPr>
        <w:t>(2009)</w:t>
      </w:r>
      <w:r w:rsidR="008853DB">
        <w:fldChar w:fldCharType="end"/>
      </w:r>
      <w:r w:rsidR="008853DB">
        <w:t xml:space="preserve"> </w:t>
      </w:r>
      <w:r>
        <w:t>differences on a self-esteem IRAP between “</w:t>
      </w:r>
      <w:r w:rsidRPr="00404F5B">
        <w:rPr>
          <w:lang w:val="en-IE"/>
        </w:rPr>
        <w:t>mainstream prisoners versus undergraduates and open area prisoners</w:t>
      </w:r>
      <w:r>
        <w:rPr>
          <w:lang w:val="en-IE"/>
        </w:rPr>
        <w:t xml:space="preserve">” (from their Supplementary Materials) were clearly linked to a psychiatric condition. First, being a prisoner is not a psychiatric condition. Second, </w:t>
      </w:r>
      <w:r w:rsidR="00096798">
        <w:rPr>
          <w:lang w:val="en-IE"/>
        </w:rPr>
        <w:t xml:space="preserve">to clarify Vahey et al.’s (2015) own description: </w:t>
      </w:r>
      <w:r>
        <w:rPr>
          <w:lang w:val="en-IE"/>
        </w:rPr>
        <w:t xml:space="preserve">the extracted effect does not refer to differences between students and prisoners, but a three way ANOVA main effect driven by (a) </w:t>
      </w:r>
      <w:r w:rsidRPr="00404F5B">
        <w:rPr>
          <w:lang w:val="en-IE"/>
        </w:rPr>
        <w:t>mainstream prisoners</w:t>
      </w:r>
      <w:r>
        <w:rPr>
          <w:lang w:val="en-IE"/>
        </w:rPr>
        <w:t xml:space="preserve"> vs. (b) </w:t>
      </w:r>
      <w:r w:rsidRPr="00404F5B">
        <w:rPr>
          <w:lang w:val="en-IE"/>
        </w:rPr>
        <w:t>undergraduates and open area prisoners</w:t>
      </w:r>
      <w:r w:rsidR="00096798">
        <w:rPr>
          <w:lang w:val="en-IE"/>
        </w:rPr>
        <w:t xml:space="preserve">. Vahey et al. (2009) provided an explanation for these effects in terms of the differential amenities provided to the different prisoner groups, i.e., their explanation for this effect is not rooted in any psychiatric condition. </w:t>
      </w:r>
    </w:p>
    <w:p w14:paraId="358CDA46" w14:textId="77777777" w:rsidR="00B923AB" w:rsidRPr="00034410" w:rsidRDefault="00000000" w:rsidP="00034410">
      <w:pPr>
        <w:pStyle w:val="Heading3"/>
      </w:pPr>
      <w:r w:rsidRPr="00034410">
        <w:t>Assessment of incorrect exclusions</w:t>
      </w:r>
    </w:p>
    <w:p w14:paraId="779E82BF" w14:textId="77777777" w:rsidR="00FC6F4E" w:rsidRPr="00034410" w:rsidRDefault="00000000" w:rsidP="00034410">
      <w:r w:rsidRPr="00034410">
        <w:t xml:space="preserve">In addition to incorrect inclusions, it is equally plausible that effect sizes that </w:t>
      </w:r>
      <w:r w:rsidR="00D52134">
        <w:t xml:space="preserve">would have </w:t>
      </w:r>
      <w:r w:rsidRPr="00034410">
        <w:t xml:space="preserve">met inclusion criteria were erroneously not included. </w:t>
      </w:r>
      <w:r w:rsidR="001B6334">
        <w:t>I therefore re-</w:t>
      </w:r>
      <w:r w:rsidR="00F17E87">
        <w:lastRenderedPageBreak/>
        <w:t>e</w:t>
      </w:r>
      <w:r w:rsidR="001B6334">
        <w:t xml:space="preserve">xamined </w:t>
      </w:r>
      <w:r w:rsidRPr="00034410">
        <w:t>the same 15 articles as Vahey et al. (2015)</w:t>
      </w:r>
      <w:r w:rsidR="001B6334">
        <w:t xml:space="preserve"> drew their effect sizes and searched for other effect sizes that met their inclusion criteria</w:t>
      </w:r>
      <w:r w:rsidRPr="00034410">
        <w:t>. Following Vahey et al.’s (2015) method, extractions were not limited to effect sizes reported in the articles, but also considered ones implied by the reported analyses</w:t>
      </w:r>
      <w:r w:rsidR="009D1C09">
        <w:t xml:space="preserve"> (e.g., correlations where only the statistically significant estimates were reported)</w:t>
      </w:r>
      <w:r w:rsidRPr="00034410">
        <w:t xml:space="preserve">. Where necessary, </w:t>
      </w:r>
      <w:r w:rsidR="00DC50FB">
        <w:t xml:space="preserve">I contacted the authors of the individual articles </w:t>
      </w:r>
      <w:r w:rsidRPr="00034410">
        <w:t xml:space="preserve">to obtain additional </w:t>
      </w:r>
      <w:r w:rsidR="00DC50FB">
        <w:t>estimates or data</w:t>
      </w:r>
      <w:r w:rsidRPr="00034410">
        <w:t xml:space="preserve">. For example, if non-significant correlations were reported as merely “other </w:t>
      </w:r>
      <w:r w:rsidRPr="00D37FA9">
        <w:t xml:space="preserve">correlations were non-significant”, these effect sizes were obtained where possible. </w:t>
      </w:r>
      <w:r w:rsidRPr="00034410">
        <w:t xml:space="preserve">Two independent raters rated each effect for clinical relevance </w:t>
      </w:r>
      <w:r w:rsidRPr="003457D0">
        <w:t>using Vahey</w:t>
      </w:r>
      <w:r w:rsidR="00D0309F">
        <w:t xml:space="preserve"> et al.</w:t>
      </w:r>
      <w:r w:rsidR="00312C6B">
        <w:t>’</w:t>
      </w:r>
      <w:r w:rsidR="00D0309F">
        <w:t>s (2015)</w:t>
      </w:r>
      <w:r w:rsidRPr="003457D0">
        <w:t xml:space="preserve"> </w:t>
      </w:r>
      <w:r w:rsidR="00C82775">
        <w:t>criteria</w:t>
      </w:r>
      <w:r w:rsidRPr="003457D0">
        <w:t>. Agreement was found in 90% of cases (Cohen’s Kappa = 0.8</w:t>
      </w:r>
      <w:r w:rsidR="002D29C7" w:rsidRPr="003457D0">
        <w:t>7</w:t>
      </w:r>
      <w:r w:rsidRPr="003457D0">
        <w:t xml:space="preserve">, </w:t>
      </w:r>
      <w:r w:rsidRPr="003457D0">
        <w:rPr>
          <w:i/>
        </w:rPr>
        <w:t>p</w:t>
      </w:r>
      <w:r w:rsidRPr="003457D0">
        <w:t xml:space="preserve"> &lt; .001). As in Vahey</w:t>
      </w:r>
      <w:r w:rsidRPr="00034410">
        <w:t xml:space="preserve"> et al. (2015), if either rater originally rated the effect as clinically relevant then it was included. </w:t>
      </w:r>
    </w:p>
    <w:p w14:paraId="170AD8FE" w14:textId="77777777" w:rsidR="00C96BF9" w:rsidRDefault="00000000" w:rsidP="00C96BF9">
      <w:r w:rsidRPr="00034410">
        <w:t xml:space="preserve">308 effect sizes were originally extracted. 53 were excluded as non-criterion effect sizes. 99 more were excluded as non-clinically relevant. This left 156 effect sizes for meta-analysis, compared to </w:t>
      </w:r>
      <w:r w:rsidR="00786A29">
        <w:t xml:space="preserve">the 33 included by </w:t>
      </w:r>
      <w:r w:rsidRPr="00034410">
        <w:t>Vahey et al. (2015)</w:t>
      </w:r>
      <w:r w:rsidR="00786A29">
        <w:t xml:space="preserve">, </w:t>
      </w:r>
      <w:r w:rsidR="007A42D1">
        <w:t xml:space="preserve">after </w:t>
      </w:r>
      <w:r w:rsidR="00786A29">
        <w:t xml:space="preserve">I </w:t>
      </w:r>
      <w:r w:rsidR="007A42D1">
        <w:t>exclud</w:t>
      </w:r>
      <w:r w:rsidR="00786A29">
        <w:t xml:space="preserve">ed the </w:t>
      </w:r>
      <w:r w:rsidR="007A42D1">
        <w:t>23 non-criterion effects</w:t>
      </w:r>
      <w:r w:rsidR="00786A29">
        <w:t xml:space="preserve"> (</w:t>
      </w:r>
      <w:r w:rsidR="007A42D1">
        <w:t>as discussed previously)</w:t>
      </w:r>
      <w:r w:rsidRPr="00034410">
        <w:t xml:space="preserve">. </w:t>
      </w:r>
      <w:r w:rsidR="00786A29">
        <w:t xml:space="preserve">This suggests that Vahey may have failed to include 85.3% of the effect sizes that met their inclusion criteria, representing a </w:t>
      </w:r>
      <w:r w:rsidR="00646821">
        <w:t xml:space="preserve">potentially </w:t>
      </w:r>
      <w:r w:rsidR="00786A29">
        <w:t xml:space="preserve">serious source of incorrect non-inclusion error. </w:t>
      </w:r>
    </w:p>
    <w:p w14:paraId="163348A4" w14:textId="77777777" w:rsidR="00D324FD" w:rsidRDefault="00000000" w:rsidP="00C96BF9">
      <w:r w:rsidRPr="00034410">
        <w:t xml:space="preserve">Note that these </w:t>
      </w:r>
      <w:r w:rsidR="00AA2718" w:rsidRPr="00034410">
        <w:t>extractions</w:t>
      </w:r>
      <w:r w:rsidRPr="00034410">
        <w:t xml:space="preserve"> are not exhaustive: some authors of original studies who </w:t>
      </w:r>
      <w:r w:rsidR="00A84EE3">
        <w:t xml:space="preserve">were reported as having </w:t>
      </w:r>
      <w:r w:rsidRPr="00034410">
        <w:t xml:space="preserve">replied to Vahey </w:t>
      </w:r>
      <w:r w:rsidR="00A84EE3">
        <w:t>et al.’s (2015)</w:t>
      </w:r>
      <w:r w:rsidRPr="00034410">
        <w:t xml:space="preserve"> requests for additional information did not reply to </w:t>
      </w:r>
      <w:r w:rsidR="007D03FD">
        <w:t>my requests, perhaps due to the passage of time the ‘half-life’ of data</w:t>
      </w:r>
      <w:r w:rsidRPr="00034410">
        <w:t xml:space="preserve">. </w:t>
      </w:r>
    </w:p>
    <w:p w14:paraId="345F74DC" w14:textId="2E3D8F75" w:rsidR="008F1F8F" w:rsidRDefault="00000000" w:rsidP="00176601">
      <w:r w:rsidRPr="00034410">
        <w:t xml:space="preserve">These effect sizes were converted to Pearson’s </w:t>
      </w:r>
      <w:r w:rsidRPr="00034410">
        <w:rPr>
          <w:i/>
          <w:iCs/>
        </w:rPr>
        <w:t>r</w:t>
      </w:r>
      <w:r w:rsidRPr="00034410">
        <w:t xml:space="preserve"> for </w:t>
      </w:r>
      <w:r w:rsidR="00793532">
        <w:t xml:space="preserve">use in a new </w:t>
      </w:r>
      <w:r w:rsidRPr="00034410">
        <w:t>meta-</w:t>
      </w:r>
      <w:r w:rsidRPr="003B6603">
        <w:t>analysis</w:t>
      </w:r>
      <w:r w:rsidR="00C944BA" w:rsidRPr="003B6603">
        <w:t xml:space="preserve"> that I discuss later</w:t>
      </w:r>
      <w:r w:rsidRPr="003B6603">
        <w:t xml:space="preserve">. The specific methods of conversion are </w:t>
      </w:r>
      <w:r w:rsidR="005D27AC">
        <w:t>documented</w:t>
      </w:r>
      <w:r w:rsidRPr="003B6603">
        <w:t xml:space="preserve"> in the supplementary materials.</w:t>
      </w:r>
      <w:r w:rsidRPr="00034410">
        <w:t xml:space="preserve"> </w:t>
      </w:r>
    </w:p>
    <w:p w14:paraId="194A14D2" w14:textId="075345FF" w:rsidR="00D85790" w:rsidRDefault="00D85790" w:rsidP="00D85790">
      <w:pPr>
        <w:pStyle w:val="Heading3"/>
      </w:pPr>
      <w:r>
        <w:t>Cherry picking</w:t>
      </w:r>
    </w:p>
    <w:p w14:paraId="0F55FA89" w14:textId="72375479" w:rsidR="009C30F9" w:rsidRDefault="00D85790" w:rsidP="003B4E92">
      <w:r>
        <w:t xml:space="preserve">The high rate of inappropriate inclusions and inappropriate non-inclusions raises questions about whether these choices were random or suffered from cherry picking, i.e., differential inclusion of larger effect sizes. </w:t>
      </w:r>
      <w:r w:rsidR="00D154BD">
        <w:t>While not examined systematically</w:t>
      </w:r>
      <w:r w:rsidR="003B4E92">
        <w:t xml:space="preserve"> due to time constraints, </w:t>
      </w:r>
      <w:r w:rsidR="00D154BD">
        <w:t xml:space="preserve">examples of apparent </w:t>
      </w:r>
      <w:r w:rsidR="00DE1933">
        <w:t>cherry</w:t>
      </w:r>
      <w:r w:rsidR="003B4E92">
        <w:t xml:space="preserve"> picking </w:t>
      </w:r>
      <w:r w:rsidR="00EB59A6">
        <w:t>can be found</w:t>
      </w:r>
      <w:r w:rsidR="003B4E92">
        <w:t xml:space="preserve">. </w:t>
      </w:r>
      <w:r w:rsidR="000463AA">
        <w:t xml:space="preserve">For example, </w:t>
      </w:r>
      <w:r w:rsidR="003B4E92">
        <w:t xml:space="preserve">Vahey et al. (2015) included six correlations extracted from Carpenter et al.’s </w:t>
      </w:r>
      <w:r w:rsidR="003B4E92">
        <w:fldChar w:fldCharType="begin"/>
      </w:r>
      <w:r w:rsidR="003B4E92">
        <w:instrText xml:space="preserve"> ADDIN ZOTERO_ITEM CSL_CITATION {"citationID":"2jBjmChj","properties":{"formattedCitation":"(2012)","plainCitation":"(2012)","noteIndex":0},"citationItems":[{"id":1709,"uris":["http://zotero.org/users/1687755/items/UIAR4PQN"],"itemData":{"id":1709,"type":"article-journal","container-title":"The American Journal of Drug and Alcohol Abuse","DOI":"10.3109/00952990.2011.643986","ISSN":"0095-2990, 1097-9891","issue":"2","language":"en","page":"146-154","source":"CrossRef","title":"Measures of Attentional Bias and Relational Responding Are Associated with Behavioral Treatment Outcome for Cocaine Dependence","volume":"38","author":[{"family":"Carpenter","given":"Kenneth M."},{"family":"Martinez","given":"Diana"},{"family":"Vadhan","given":"Nehal P."},{"family":"Barnes-Holmes","given":"Dermot"},{"family":"Nunes","given":"Edward V."}],"issued":{"date-parts":[["2012",3]]}},"label":"page","suppress-author":true}],"schema":"https://github.com/citation-style-language/schema/raw/master/csl-citation.json"} </w:instrText>
      </w:r>
      <w:r w:rsidR="003B4E92">
        <w:fldChar w:fldCharType="separate"/>
      </w:r>
      <w:r w:rsidR="003B4E92">
        <w:rPr>
          <w:noProof/>
        </w:rPr>
        <w:t>(2012)</w:t>
      </w:r>
      <w:r w:rsidR="003B4E92">
        <w:fldChar w:fldCharType="end"/>
      </w:r>
      <w:r w:rsidR="003B4E92">
        <w:t xml:space="preserve"> Table 2 that refer to correlations between three treatment variables (v</w:t>
      </w:r>
      <w:r w:rsidR="003B4E92" w:rsidRPr="003B4E92">
        <w:t>oucher earnings</w:t>
      </w:r>
      <w:r w:rsidR="003B4E92">
        <w:t xml:space="preserve"> in therapy,</w:t>
      </w:r>
      <w:r w:rsidR="003B4E92" w:rsidRPr="003B4E92">
        <w:t xml:space="preserve"> </w:t>
      </w:r>
      <w:r w:rsidR="003B4E92">
        <w:t>percent of v</w:t>
      </w:r>
      <w:r w:rsidR="003B4E92" w:rsidRPr="003B4E92">
        <w:t>isits attended</w:t>
      </w:r>
      <w:r w:rsidR="003B4E92">
        <w:t xml:space="preserve">, and percent of </w:t>
      </w:r>
      <w:r w:rsidR="003B4E92" w:rsidRPr="003B4E92">
        <w:t>cocaine</w:t>
      </w:r>
      <w:r w:rsidR="003B4E92">
        <w:t>-</w:t>
      </w:r>
      <w:r w:rsidR="003B4E92" w:rsidRPr="003B4E92">
        <w:t>negative</w:t>
      </w:r>
      <w:r w:rsidR="003B4E92">
        <w:t xml:space="preserve"> urine tests) and three of the IRAP’s trial types (i.e., with cocaine-positive, with cocaine-negative, and no-cocaine negative). These correlations have an average of </w:t>
      </w:r>
      <w:r w:rsidR="003B4E92" w:rsidRPr="003B4E92">
        <w:rPr>
          <w:i/>
          <w:iCs/>
        </w:rPr>
        <w:t>r</w:t>
      </w:r>
      <w:r w:rsidR="003B4E92">
        <w:t xml:space="preserve"> = .45.</w:t>
      </w:r>
      <w:r w:rsidR="00F65C49">
        <w:t xml:space="preserve"> However, they elected not to include correlations between the criterion variables and the IRAP’s fourth trial type (no cocaine-positive), despite these also being presented in the table. These three non-included correlations were much smaller (</w:t>
      </w:r>
      <w:proofErr w:type="spellStart"/>
      <w:r w:rsidR="00F65C49" w:rsidRPr="00F65C49">
        <w:rPr>
          <w:i/>
          <w:iCs/>
        </w:rPr>
        <w:t>r</w:t>
      </w:r>
      <w:r w:rsidR="002B034D" w:rsidRPr="002B034D">
        <w:t>s</w:t>
      </w:r>
      <w:proofErr w:type="spellEnd"/>
      <w:r w:rsidR="00F65C49">
        <w:t xml:space="preserve"> = .03, .19, and .19</w:t>
      </w:r>
      <w:r w:rsidR="008D15F2">
        <w:t>;</w:t>
      </w:r>
      <w:r w:rsidR="00F65C49">
        <w:t xml:space="preserve"> mean </w:t>
      </w:r>
      <w:r w:rsidR="000463AA" w:rsidRPr="000463AA">
        <w:rPr>
          <w:i/>
          <w:iCs/>
        </w:rPr>
        <w:t>r</w:t>
      </w:r>
      <w:r w:rsidR="000463AA">
        <w:t xml:space="preserve"> </w:t>
      </w:r>
      <w:r w:rsidR="00F65C49">
        <w:t xml:space="preserve">= .13), but appear to also meet Vahey </w:t>
      </w:r>
      <w:r w:rsidR="00F65C49">
        <w:t>et al.’s (2015) inclusion criteria (i.e., both the IRAP and the criterion task were clinically relevant).</w:t>
      </w:r>
      <w:r w:rsidR="009C30F9">
        <w:t xml:space="preserve"> </w:t>
      </w:r>
    </w:p>
    <w:p w14:paraId="23D666D5" w14:textId="7FDF9246" w:rsidR="00D154BD" w:rsidRDefault="009C30F9" w:rsidP="007B041D">
      <w:r>
        <w:t xml:space="preserve">Similarly, putting aside the issue of a lack of a criterion variable for a moment, Vahey et al. (2015) elected to include four effect sizes from Dawson et al. </w:t>
      </w:r>
      <w:r>
        <w:fldChar w:fldCharType="begin"/>
      </w:r>
      <w:r w:rsidR="00E77251">
        <w:instrText xml:space="preserve"> ADDIN ZOTERO_ITEM CSL_CITATION {"citationID":"4bbSql1W","properties":{"formattedCitation":"(2009)","plainCitation":"(2009)","noteIndex":0},"citationItems":[{"id":2001,"uris":["http://zotero.org/users/1687755/items/BU8NABVS"],"itemData":{"id":2001,"type":"article-journal","container-title":"Sexual Abuse: A Journal of Research and Treatment","DOI":"10.1177/1079063208326928","ISSN":"1079-0632","issue":"1","language":"en","page":"57-75","source":"CrossRef","title":"Assessing the implicit beliefs of sexual offenders using the Implicit Relational Assessment Procedure: A first study","title-short":"Assessing the Implicit Beliefs of Sexual Offenders Using the Implicit Relational Assessment Procedure","volume":"21","author":[{"family":"Dawson","given":"D. L."},{"family":"Barnes-Holmes","given":"D."},{"family":"Gresswell","given":"D. M."},{"family":"Hart","given":"A. J."},{"family":"Gore","given":"N. J."}],"issued":{"date-parts":[["2009",3,1]]}},"label":"page","suppress-author":true}],"schema":"https://github.com/citation-style-language/schema/raw/master/csl-citation.json"} </w:instrText>
      </w:r>
      <w:r>
        <w:fldChar w:fldCharType="separate"/>
      </w:r>
      <w:r>
        <w:rPr>
          <w:noProof/>
        </w:rPr>
        <w:t>(2009)</w:t>
      </w:r>
      <w:r>
        <w:fldChar w:fldCharType="end"/>
      </w:r>
      <w:r>
        <w:t xml:space="preserve"> that were derived from the magnitude of the effect on each of the four IRAP trial-types in the non-sex offenders group. However, they did not also include the </w:t>
      </w:r>
      <w:r w:rsidR="00123ACA">
        <w:t xml:space="preserve">four </w:t>
      </w:r>
      <w:r>
        <w:t xml:space="preserve">effects associated with the sex offenders group, despite </w:t>
      </w:r>
      <w:r w:rsidR="00D13673">
        <w:t>that group</w:t>
      </w:r>
      <w:r>
        <w:t xml:space="preserve"> arguably being of greater clinical relevance. Inspection of Dawson et al.’s (2009) Figure 2 demonstrates that the four non-included effect sizes are all much smaller than the included ones.</w:t>
      </w:r>
      <w:r w:rsidR="007B041D">
        <w:t xml:space="preserve"> Extraction of the means from the plot using </w:t>
      </w:r>
      <w:proofErr w:type="spellStart"/>
      <w:r w:rsidR="007B041D">
        <w:t>WebPlotDigitizer</w:t>
      </w:r>
      <w:proofErr w:type="spellEnd"/>
      <w:r w:rsidR="007B041D">
        <w:t xml:space="preserve"> </w:t>
      </w:r>
      <w:r w:rsidR="007B041D">
        <w:fldChar w:fldCharType="begin"/>
      </w:r>
      <w:r w:rsidR="007B041D">
        <w:instrText xml:space="preserve"> ADDIN ZOTERO_ITEM CSL_CITATION {"citationID":"M3TlZYcX","properties":{"formattedCitation":"(Marin et al., 2017)","plainCitation":"(Marin et al., 2017)","noteIndex":0},"citationItems":[{"id":29148,"uris":["http://zotero.org/users/1687755/items/FHKWFL29"],"itemData":{"id":29148,"type":"article","abstract":"In this contribution, we present WebPlotDigitizer, a polyvalent and free software developed to facilitate easy and accurate data extraction from a variety of plot types. We describe the numerous features of this numerical tool and present its relevance when applied to astrophysical archival research. We exploit WebPlotDigitizer to extract ultraviolet spectropolarimetric spectra from old publications that used the Hubble Space Telescope, Lick Observatory 3m Shane telescope and Astro-2 mission to observe the Seyfert-2 AGN NGC 1068. By doing so, we compile all the existing ultraviolet polarimetric data on NGC 1068 to prepare the ground for further investigations with the future high-resolution spectropolarimeter POLLUX on-board of the proposed Large UV/Optical/Infrared Surveyor (LUVOIR) NASA mission.","note":"arXiv:1708.02025 [astro-ph]","number":"arXiv:1708.02025","publisher":"arXiv","source":"arXiv.org","title":"WebPlotDigitizer, a polyvalent and free software to extract spectra from old astronomical publications: application to ultraviolet spectropolarimetry","title-short":"WebPlotDigitizer, a polyvalent and free software to extract spectra from old astronomical publications","URL":"http://arxiv.org/abs/1708.02025","author":[{"family":"Marin","given":"F."},{"family":"Rohatgi","given":"A."},{"family":"Charlot","given":"S."}],"accessed":{"date-parts":[["2024",8,1]]},"issued":{"date-parts":[["2017",8,7]]}}}],"schema":"https://github.com/citation-style-language/schema/raw/master/csl-citation.json"} </w:instrText>
      </w:r>
      <w:r w:rsidR="007B041D">
        <w:fldChar w:fldCharType="separate"/>
      </w:r>
      <w:r w:rsidR="007B041D">
        <w:rPr>
          <w:noProof/>
        </w:rPr>
        <w:t>(Marin et al., 2017)</w:t>
      </w:r>
      <w:r w:rsidR="007B041D">
        <w:fldChar w:fldCharType="end"/>
      </w:r>
      <w:r w:rsidR="007B041D">
        <w:t xml:space="preserve"> demonstrated that the means for the effects included in the meta-analysis (.62, .63, .56, .58; average = .59) were descriptively twice as large as the ones that were not (.54, .00, .31, .29; average = .28).</w:t>
      </w:r>
    </w:p>
    <w:p w14:paraId="7064A7BF" w14:textId="61AB8DC2" w:rsidR="0024266C" w:rsidRDefault="0024266C" w:rsidP="0024266C">
      <w:r>
        <w:t xml:space="preserve">Another example can be found in Vahey et al.’s (2015) inclusion of two effect sizes from Vahey et al. </w:t>
      </w:r>
      <w:r>
        <w:fldChar w:fldCharType="begin"/>
      </w:r>
      <w:r>
        <w:instrText xml:space="preserve"> ADDIN ZOTERO_ITEM CSL_CITATION {"citationID":"RyTkiZU0","properties":{"formattedCitation":"(2010)","plainCitation":"(2010)","noteIndex":0},"citationItems":[{"id":2054,"uris":["http://zotero.org/users/1687755/items/2WJNEUQX"],"itemData":{"id":2054,"type":"article-journal","container-title":"International Journal of Psychology and Psychological Therapy","issue":"3","page":"453–474","source":"Google Scholar","title":"Measuring adolescents’ smoking-related social identity preferences with the Implicit Relational Assessment Procedure (IRAP) for the first time: A starting point that explains later IRAP evolutions","title-short":"Measuring adolescents’ smoking-related social identity preferences with the Implicit Relational Assessment Procedure (IRAP) for the first time","volume":"10","author":[{"family":"Vahey","given":"Nigel A."},{"family":"Boles","given":"Shawn"},{"family":"Barnes-Holmes","given":"Dermot"}],"issued":{"date-parts":[["2010"]]}},"label":"page","suppress-author":true}],"schema":"https://github.com/citation-style-language/schema/raw/master/csl-citation.json"} </w:instrText>
      </w:r>
      <w:r>
        <w:fldChar w:fldCharType="separate"/>
      </w:r>
      <w:r>
        <w:rPr>
          <w:noProof/>
        </w:rPr>
        <w:t>(2010)</w:t>
      </w:r>
      <w:r>
        <w:fldChar w:fldCharType="end"/>
      </w:r>
      <w:r>
        <w:t xml:space="preserve"> that were derived from the magnitude of the IRAP effect in the smokers group (</w:t>
      </w:r>
      <w:r w:rsidRPr="000209D5">
        <w:rPr>
          <w:i/>
          <w:iCs/>
        </w:rPr>
        <w:t>r</w:t>
      </w:r>
      <w:r>
        <w:t xml:space="preserve"> = .89 and .55, noting </w:t>
      </w:r>
      <w:r w:rsidR="007144E9">
        <w:t xml:space="preserve">also </w:t>
      </w:r>
      <w:r>
        <w:t xml:space="preserve">that the correlation of .89 is implausibly large). However, inspection of Vahey et al.’s (2010) Table 3 demonstrates that six other effects were not extracted, all of which are much smaller than the included ones. </w:t>
      </w:r>
      <w:r w:rsidR="0069675F">
        <w:t xml:space="preserve">Vahey et al.’s (2010) </w:t>
      </w:r>
      <w:r>
        <w:t>Table 3 reports only means and not SDs so it is not possible to recalculate correlations without additional information, but the means used in the included effects were 0.21 and 0.34, whereas the six non-included means ranged from 0.00 to 0.07.</w:t>
      </w:r>
    </w:p>
    <w:p w14:paraId="533911BF" w14:textId="59C1C922" w:rsidR="001B7D5B" w:rsidRDefault="000067D6" w:rsidP="000067D6">
      <w:r>
        <w:t>These examples, which are intended to be illustrative rather than comprehensive, suggest that Vahey et al.’s (2015) included effect sizes suffer from apparent cherry picking.</w:t>
      </w:r>
    </w:p>
    <w:p w14:paraId="02BA5BD2" w14:textId="1EFFB7C0" w:rsidR="004112F6" w:rsidRPr="00034410" w:rsidRDefault="00000000" w:rsidP="004112F6">
      <w:pPr>
        <w:pStyle w:val="Heading3"/>
      </w:pPr>
      <w:r w:rsidRPr="00034410">
        <w:t>Assessment of erroneous calculation</w:t>
      </w:r>
    </w:p>
    <w:p w14:paraId="4261493A" w14:textId="77777777" w:rsidR="004112F6" w:rsidRPr="00034410" w:rsidRDefault="00000000" w:rsidP="004112F6">
      <w:r w:rsidRPr="00034410">
        <w:t xml:space="preserve">Erroneous calculation refers to errors made in the transposition, conversion, or reporting of effect sizes. This can involve using the incorrect formula to convert effect sizes, treating Standard Errors if they are Standard Deviations, and other errors. Previous work has shown that such errors are unfortunately common in published meta-analyses </w:t>
      </w:r>
      <w:r w:rsidRPr="00034410">
        <w:fldChar w:fldCharType="begin"/>
      </w:r>
      <w:r w:rsidRPr="00034410">
        <w:instrText xml:space="preserve"> ADDIN ZOTERO_ITEM CSL_CITATION {"citationID":"cI4PTkpK","properties":{"formattedCitation":"(e.g., G\\uc0\\u248{}tzsche et al., 2007; Maassen et al., 2020)","plainCitation":"(e.g., Gøtzsche et al., 2007; Maassen et al., 2020)","noteIndex":0},"citationItems":[{"id":4753,"uris":["http://zotero.org/users/1687755/items/QR5MWFKZ"],"itemData":{"id":4753,"type":"article-journal","abstract":"ContextMeta-analysis of trials that have used different continuous or rating scales to record outcomes of a similar nature requires sophisticated data handling and data transformation to a uniform scale, the standardized mean difference (SMD). It is not known how reliable such meta-analyses are.ObjectiveTo study whether SMDs in meta-analyses are accurate.Data SourcesSystematic review of meta-analyses published in 2004 that reported a result as an SMD, with no language restrictions. Two trials were randomly selected from each meta-analysis. We attempted to replicate the results in each meta-analysis by independently calculating SMD using Hedges adjusted g.Data ExtractionOur primary outcome was the proportion of meta-analyses for which our result differed from that of the authors by 0.1 or more, either for the point estimate or for its confidence interval, for at least 1 of the 2 selected trials. We chose 0.1 as cut point because many commonly used treatments have an effect of 0.1 to 0.5, compared with placebo.ResultsOf the 27 meta-analyses included in this study, we could not replicate the result for at least 1 of the 2 trials within 0.1 in 10 of the meta-analyses (37%), and in 4 cases, the discrepancy was 0.6 or more for the point estimate. Common problems were erroneous number of patients, means, standard deviations, and sign for the effect estimate. In total, 17 meta-analyses (63%) had errors for at least 1 of the 2 trials examined. For the 10 meta-analyses with errors of at least 0.1, we checked the data from all the trials and conducted our own meta-analysis, using the authors' methods. Seven of these 10 meta-analyses were erroneous (70%); 1 was subsequently retracted, and in 2 a significant difference disappeared or appeared.ConclusionsThe high proportion of meta-analyses based on SMDs that show errors indicates that although the statistical process is ostensibly simple, data extraction is particularly liable to errors that can negate or even reverse the findings of the study. This has implications for researchers and implies that all readers, including journal reviewers and policy makers, should approach such meta-analyses with caution.","container-title":"JAMA","DOI":"10.1001/jama.298.4.430","ISSN":"0098-7484","issue":"4","journalAbbreviation":"JAMA","page":"430-437","source":"Silverchair","title":"Data Extraction Errors in Meta-analyses That Use Standardized Mean Differences","volume":"298","author":[{"family":"Gøtzsche","given":"Peter C."},{"family":"Hróbjartsson","given":"Asbjørn"},{"family":"Marić","given":"Katja"},{"family":"Tendal","given":"Britta"}],"issued":{"date-parts":[["2007",7,25]]}},"label":"page","prefix":"e.g., "},{"id":4654,"uris":["http://zotero.org/users/1687755/items/WUWAGAGT"],"itemData":{"id":4654,"type":"article-journal","abstract":"To determine the reproducibility of psychological meta-analyses, we investigated whether we could reproduce 500 primary study effect sizes drawn from 33 published meta-analyses based on the information given in the meta-analyses, and whether recomputations of primary study effect sizes altered the overall results of the meta-analysis. Results showed that almost half (k = 224) of all sampled primary effect sizes could not be reproduced based on the reported information in the meta-analysis, mostly because of incomplete or missing information on how effect sizes from primary studies were selected and computed. Overall, this led to small discrepancies in the computation of mean effect sizes, confidence intervals and heterogeneity estimates in 13 out of 33 meta-analyses. We provide recommendations to improve transparency in the reporting of the entire meta-analytic process, including the use of preregistration, data and workflow sharing, and explicit coding practices.","container-title":"PLOS ONE","DOI":"10.1371/journal.pone.0233107","ISSN":"1932-6203","issue":"5","journalAbbreviation":"PLOS ONE","language":"en","note":"publisher: Public Library of Science","page":"e0233107","source":"PLoS Journals","title":"Reproducibility of individual effect sizes in meta-analyses in psychology","volume":"15","author":[{"family":"Maassen","given":"Esther"},{"family":"Assen","given":"Marcel A. L. M.","dropping-particle":"van"},{"family":"Nuijten","given":"Michèle B."},{"family":"Olsson-Collentine","given":"Anton"},{"family":"Wicherts","given":"Jelte M."}],"issued":{"date-parts":[["2020",5,27]]}}}],"schema":"https://github.com/citation-style-language/schema/raw/master/csl-citation.json"} </w:instrText>
      </w:r>
      <w:r w:rsidRPr="00034410">
        <w:fldChar w:fldCharType="separate"/>
      </w:r>
      <w:r w:rsidRPr="00034410">
        <w:rPr>
          <w:sz w:val="20"/>
        </w:rPr>
        <w:t>(e.g., Gøtzsche et al., 2007; Maassen et al., 2020)</w:t>
      </w:r>
      <w:r w:rsidRPr="00034410">
        <w:fldChar w:fldCharType="end"/>
      </w:r>
      <w:r w:rsidRPr="00034410">
        <w:t xml:space="preserve">. In their supplementary materials, Vahey et al. (2015) provided explanations and references for how individual effect sizes were converted to Pearson's </w:t>
      </w:r>
      <w:r w:rsidRPr="00034410">
        <w:rPr>
          <w:i/>
          <w:iCs/>
        </w:rPr>
        <w:t>r</w:t>
      </w:r>
      <w:r w:rsidRPr="00034410">
        <w:t xml:space="preserve">. </w:t>
      </w:r>
      <w:r>
        <w:t>However, i</w:t>
      </w:r>
      <w:r w:rsidRPr="00034410">
        <w:t xml:space="preserve">nspection of </w:t>
      </w:r>
      <w:r>
        <w:t>those</w:t>
      </w:r>
      <w:r w:rsidRPr="00034410">
        <w:t xml:space="preserve"> explanations revealed at least one error: 2 of the effect sizes were </w:t>
      </w:r>
      <m:oMath>
        <m:sSubSup>
          <m:sSubSupPr>
            <m:ctrlPr>
              <w:rPr>
                <w:rFonts w:ascii="Cambria Math" w:hAnsi="Cambria Math"/>
                <w:i/>
              </w:rPr>
            </m:ctrlPr>
          </m:sSubSupPr>
          <m:e>
            <m:r>
              <w:rPr>
                <w:rFonts w:ascii="Cambria Math" w:hAnsi="Cambria Math"/>
              </w:rPr>
              <m:t>η</m:t>
            </m:r>
          </m:e>
          <m:sub>
            <m:r>
              <w:rPr>
                <w:rFonts w:ascii="Cambria Math" w:hAnsi="Cambria Math"/>
              </w:rPr>
              <m:t>p</m:t>
            </m:r>
          </m:sub>
          <m:sup>
            <m:r>
              <w:rPr>
                <w:rFonts w:ascii="Cambria Math" w:hAnsi="Cambria Math"/>
              </w:rPr>
              <m:t>2</m:t>
            </m:r>
          </m:sup>
        </m:sSubSup>
      </m:oMath>
      <w:r w:rsidRPr="00034410">
        <w:t xml:space="preserve"> effect sizes taken from ANOVAs, which Vahey et al. (2015) stated that they “equated the relevant statistic [</w:t>
      </w:r>
      <m:oMath>
        <m:sSubSup>
          <m:sSubSupPr>
            <m:ctrlPr>
              <w:rPr>
                <w:rFonts w:ascii="Cambria Math" w:hAnsi="Cambria Math"/>
                <w:i/>
              </w:rPr>
            </m:ctrlPr>
          </m:sSubSupPr>
          <m:e>
            <m:r>
              <w:rPr>
                <w:rFonts w:ascii="Cambria Math" w:hAnsi="Cambria Math"/>
              </w:rPr>
              <m:t>η</m:t>
            </m:r>
          </m:e>
          <m:sub>
            <m:r>
              <w:rPr>
                <w:rFonts w:ascii="Cambria Math" w:hAnsi="Cambria Math"/>
              </w:rPr>
              <m:t>p</m:t>
            </m:r>
          </m:sub>
          <m:sup>
            <m:r>
              <w:rPr>
                <w:rFonts w:ascii="Cambria Math" w:hAnsi="Cambria Math"/>
              </w:rPr>
              <m:t>2</m:t>
            </m:r>
          </m:sup>
        </m:sSubSup>
      </m:oMath>
      <w:r w:rsidRPr="00034410">
        <w:t xml:space="preserve">] with </w:t>
      </w:r>
      <w:r w:rsidRPr="00034410">
        <w:rPr>
          <w:i/>
          <w:iCs/>
        </w:rPr>
        <w:t>r</w:t>
      </w:r>
      <w:r w:rsidRPr="00034410">
        <w:rPr>
          <w:vertAlign w:val="superscript"/>
        </w:rPr>
        <w:t>2</w:t>
      </w:r>
      <w:r w:rsidRPr="00034410">
        <w:t xml:space="preserve"> therefore obtaining </w:t>
      </w:r>
      <w:r w:rsidRPr="00034410">
        <w:rPr>
          <w:i/>
          <w:iCs/>
        </w:rPr>
        <w:t>r</w:t>
      </w:r>
      <w:r w:rsidRPr="00034410">
        <w:t xml:space="preserve"> using the square root function</w:t>
      </w:r>
      <w:r>
        <w:t>”</w:t>
      </w:r>
      <w:r w:rsidRPr="00034410">
        <w:t xml:space="preserve">. However, this conflates </w:t>
      </w:r>
      <m:oMath>
        <m:sSubSup>
          <m:sSubSupPr>
            <m:ctrlPr>
              <w:rPr>
                <w:rFonts w:ascii="Cambria Math" w:hAnsi="Cambria Math"/>
                <w:i/>
              </w:rPr>
            </m:ctrlPr>
          </m:sSubSupPr>
          <m:e>
            <m:r>
              <w:rPr>
                <w:rFonts w:ascii="Cambria Math" w:hAnsi="Cambria Math"/>
              </w:rPr>
              <m:t>η</m:t>
            </m:r>
          </m:e>
          <m:sub>
            <m:r>
              <w:rPr>
                <w:rFonts w:ascii="Cambria Math" w:hAnsi="Cambria Math"/>
              </w:rPr>
              <m:t>p</m:t>
            </m:r>
          </m:sub>
          <m:sup>
            <m:r>
              <w:rPr>
                <w:rFonts w:ascii="Cambria Math" w:hAnsi="Cambria Math"/>
              </w:rPr>
              <m:t>2</m:t>
            </m:r>
          </m:sup>
        </m:sSubSup>
      </m:oMath>
      <w:r w:rsidRPr="00034410">
        <w:t xml:space="preserve"> with </w:t>
      </w:r>
      <m:oMath>
        <m:sSup>
          <m:sSupPr>
            <m:ctrlPr>
              <w:rPr>
                <w:rFonts w:ascii="Cambria Math" w:hAnsi="Cambria Math"/>
                <w:i/>
              </w:rPr>
            </m:ctrlPr>
          </m:sSupPr>
          <m:e>
            <m:r>
              <w:rPr>
                <w:rFonts w:ascii="Cambria Math" w:hAnsi="Cambria Math"/>
              </w:rPr>
              <m:t>η</m:t>
            </m:r>
          </m:e>
          <m:sup>
            <m:r>
              <w:rPr>
                <w:rFonts w:ascii="Cambria Math" w:hAnsi="Cambria Math"/>
              </w:rPr>
              <m:t>2</m:t>
            </m:r>
          </m:sup>
        </m:sSup>
      </m:oMath>
      <w:r>
        <w:t xml:space="preserve">: as </w:t>
      </w:r>
      <w:r w:rsidRPr="00034410">
        <w:t xml:space="preserve">a partialized effect size, </w:t>
      </w:r>
      <m:oMath>
        <m:sSubSup>
          <m:sSubSupPr>
            <m:ctrlPr>
              <w:rPr>
                <w:rFonts w:ascii="Cambria Math" w:hAnsi="Cambria Math"/>
                <w:i/>
              </w:rPr>
            </m:ctrlPr>
          </m:sSubSupPr>
          <m:e>
            <m:r>
              <w:rPr>
                <w:rFonts w:ascii="Cambria Math" w:hAnsi="Cambria Math"/>
              </w:rPr>
              <m:t>η</m:t>
            </m:r>
          </m:e>
          <m:sub>
            <m:r>
              <w:rPr>
                <w:rFonts w:ascii="Cambria Math" w:hAnsi="Cambria Math"/>
              </w:rPr>
              <m:t>p</m:t>
            </m:r>
          </m:sub>
          <m:sup>
            <m:r>
              <w:rPr>
                <w:rFonts w:ascii="Cambria Math" w:hAnsi="Cambria Math"/>
              </w:rPr>
              <m:t>2</m:t>
            </m:r>
          </m:sup>
        </m:sSubSup>
      </m:oMath>
      <w:r w:rsidRPr="00034410">
        <w:t xml:space="preserve"> cannot be converted to </w:t>
      </w:r>
      <w:r w:rsidRPr="00034410">
        <w:rPr>
          <w:i/>
          <w:iCs/>
        </w:rPr>
        <w:t>r</w:t>
      </w:r>
      <w:r w:rsidRPr="00034410">
        <w:t>, and therefore these conversions are erroneous.</w:t>
      </w:r>
    </w:p>
    <w:p w14:paraId="294309EB" w14:textId="5CD41E02" w:rsidR="004112F6" w:rsidRDefault="00000000" w:rsidP="004112F6">
      <w:r w:rsidRPr="00034410">
        <w:t xml:space="preserve">A comprehensive assessment of the reproducibility of the conversions of the individual effect sizes to </w:t>
      </w:r>
      <w:r w:rsidRPr="00034410">
        <w:lastRenderedPageBreak/>
        <w:t>Pearson</w:t>
      </w:r>
      <w:r w:rsidR="00E03E24">
        <w:t>’</w:t>
      </w:r>
      <w:r w:rsidRPr="00034410">
        <w:t xml:space="preserve">s </w:t>
      </w:r>
      <w:r w:rsidRPr="00034410">
        <w:rPr>
          <w:i/>
          <w:iCs/>
        </w:rPr>
        <w:t>r</w:t>
      </w:r>
      <w:r w:rsidRPr="00034410">
        <w:t xml:space="preserve"> was not performed on the basis that the above assessments had already determined these effect sizes to contain </w:t>
      </w:r>
      <w:r>
        <w:t>several</w:t>
      </w:r>
      <w:r w:rsidRPr="00034410">
        <w:t xml:space="preserve"> errors</w:t>
      </w:r>
      <w:r>
        <w:t xml:space="preserve"> (e.g. related to incorrect inclusion).</w:t>
      </w:r>
    </w:p>
    <w:p w14:paraId="0BE050AB" w14:textId="77777777" w:rsidR="009F3291" w:rsidRPr="00CC11E4" w:rsidRDefault="00000000" w:rsidP="009F3291">
      <w:pPr>
        <w:pStyle w:val="Heading2"/>
      </w:pPr>
      <w:r w:rsidRPr="00CC11E4">
        <w:t>Issues in the publication bias analyses</w:t>
      </w:r>
    </w:p>
    <w:p w14:paraId="378370DC" w14:textId="77777777" w:rsidR="00453EBE" w:rsidRDefault="00000000" w:rsidP="00805AFD">
      <w:r w:rsidRPr="00CC11E4">
        <w:t>Vahey et al. (2015) reported employing tests of funnel plot asymmetry</w:t>
      </w:r>
      <w:r w:rsidR="006E596E" w:rsidRPr="00CC11E4">
        <w:t>,</w:t>
      </w:r>
      <w:r w:rsidRPr="00CC11E4">
        <w:t xml:space="preserve"> a sensitivity analysis based on selection models</w:t>
      </w:r>
      <w:r w:rsidR="00A20645" w:rsidRPr="00CC11E4">
        <w:t xml:space="preserve"> </w:t>
      </w:r>
      <w:r w:rsidR="00750F28" w:rsidRPr="00CC11E4">
        <w:fldChar w:fldCharType="begin"/>
      </w:r>
      <w:r w:rsidR="00750F28" w:rsidRPr="00CC11E4">
        <w:instrText xml:space="preserve"> ADDIN ZOTERO_ITEM CSL_CITATION {"citationID":"VIVEQ6nW","properties":{"formattedCitation":"(Vevea &amp; Woods, 2005)","plainCitation":"(Vevea &amp; Woods, 2005)","noteIndex":0},"citationItems":[{"id":143,"uris":["http://zotero.org/users/1687755/items/DDQNW8RT"],"itemData":{"id":143,"type":"article-journal","abstract":"Publication bias, sometimes known as the \"file-drawer problem\" or \"funnel-plot asymmetry,\" is common in empirical research. The authors review the implications of publication bias for quantitative research synthesis (meta-analysis) and describe existing techniques for detecting and correcting it. A new approach is proposed that is suitable for application to meta-analytic data sets that are too small for the application of existing methods. The model estimates parameters relevant to fixed-effects, mixed-effects or random-effects meta-analysis contingent on a hypothetical pattern of bias that is fixed independently of the data. The authors illustrate this approach for sensitivity analysis using 3 data sets adapted from a commonly cited reference work on research synthesis (H. M. Cooper &amp; L. V. Hedges, 1994).","container-title":"Psychological Methods","DOI":"10.1037/1082-989X.10.4.428","ISSN":"1082-989X","issue":"4","journalAbbreviation":"Psychol Methods","language":"eng","note":"PMID: 16392998","page":"428-443","source":"PubMed","title":"Publication bias in research synthesis: sensitivity analysis using a priori weight functions","title-short":"Publication bias in research synthesis","volume":"10","author":[{"family":"Vevea","given":"Jack L."},{"family":"Woods","given":"Carol M."}],"issued":{"date-parts":[["2005",12]]}}}],"schema":"https://github.com/citation-style-language/schema/raw/master/csl-citation.json"} </w:instrText>
      </w:r>
      <w:r w:rsidR="00750F28" w:rsidRPr="00CC11E4">
        <w:fldChar w:fldCharType="separate"/>
      </w:r>
      <w:r w:rsidR="00750F28" w:rsidRPr="00CC11E4">
        <w:rPr>
          <w:noProof/>
        </w:rPr>
        <w:t>(Vevea &amp; Woods, 2005)</w:t>
      </w:r>
      <w:r w:rsidR="00750F28" w:rsidRPr="00CC11E4">
        <w:fldChar w:fldCharType="end"/>
      </w:r>
      <w:r w:rsidR="009F4032" w:rsidRPr="00CC11E4">
        <w:t xml:space="preserve">, and Kendall’s </w:t>
      </w:r>
      <m:oMath>
        <m:r>
          <w:rPr>
            <w:rFonts w:ascii="Cambria Math" w:hAnsi="Cambria Math"/>
          </w:rPr>
          <m:t>τ</m:t>
        </m:r>
      </m:oMath>
      <w:r w:rsidR="009F4032" w:rsidRPr="00CC11E4">
        <w:t xml:space="preserve"> Rank Correlation Test </w:t>
      </w:r>
      <w:r w:rsidR="009F4032" w:rsidRPr="00CC11E4">
        <w:fldChar w:fldCharType="begin"/>
      </w:r>
      <w:r w:rsidR="009F4032" w:rsidRPr="00CC11E4">
        <w:instrText xml:space="preserve"> ADDIN ZOTERO_ITEM CSL_CITATION {"citationID":"Eq4WG4pp","properties":{"formattedCitation":"(e.g., Egger et al., 1997)","plainCitation":"(e.g., Egger et al., 1997)","noteIndex":0},"citationItems":[{"id":29152,"uris":["http://zotero.org/users/1687755/items/IGYQNWEV"],"itemData":{"id":29152,"type":"article-journal","abstract":"Objective: Funnel plots (plots of effect estimates against sample size) may be useful to detect bias in meta-analyses that were later contradicted by large trials. We examined whether a simple test of asymmetry of funnel plots predicts discordance of results when meta-analyses are compared to large trials, and we assessed the prevalence of bias in published meta-analyses.\n\nDesign: Medline search to identify pairs consisting of a meta-analysis and a single large trial (concordance of results was assumed if effects were in the same direction and the meta-analytic estimate was within 30% of the trial); analysis of funnel plots from 37 meta-analyses identified from a hand search of four leading general medicine journals 1993-6 and 38 meta-analyses from the second 1996 issue of the Cochrane Database of Systematic Reviews .\n\nMain outcome measure: Degree of funnel plot asymmetry as measured by the intercept from regression of standard normal deviates against precision.\n\nResults: In the eight pairs of meta-analysis and large trial that were identified (five from cardiovascular medicine, one from diabetic medicine, one from geriatric medicine, one from perinatal medicine) there were four concordant and four discordant pairs. In all cases discordance was due to meta-analyses showing larger effects. Funnel plot asymmetry was present in three out of four discordant pairs but in none of concordant pairs. In 14 (38%) journal meta-analyses and 5 (13%) Cochrane reviews, funnel plot asymmetry indicated that there was bias.\n\nConclusions: A simple analysis of funnel plots provides a useful test for the likely presence of bias in meta-analyses, but as the capacity to detect bias will be limited when meta-analyses are based on a limited number of small trials the results from such analyses should be treated with considerable caution.\n\n#### Key messages","DOI":"10.1136/bmj.315.7109.629","language":"en","license":"© 1997 BMJ Publishing Group Ltd.","note":"publisher: British Medical Journal Publishing Group\nsection: Paper","source":"www.bmj.com","title":"Bias in meta-analysis detected by a simple, graphical test","URL":"https://www.bmj.com/content/315/7109/629","author":[{"family":"Egger","given":"Matthias"},{"family":"Smith","given":"George Davey"},{"family":"Schneider","given":"Martin"},{"family":"Minder","given":"Christoph"}],"accessed":{"date-parts":[["2024",8,1]]},"issued":{"date-parts":[["1997",9,13]]}},"label":"page","prefix":"e.g., "}],"schema":"https://github.com/citation-style-language/schema/raw/master/csl-citation.json"} </w:instrText>
      </w:r>
      <w:r w:rsidR="009F4032" w:rsidRPr="00CC11E4">
        <w:fldChar w:fldCharType="separate"/>
      </w:r>
      <w:r w:rsidR="009F4032" w:rsidRPr="00CC11E4">
        <w:rPr>
          <w:noProof/>
        </w:rPr>
        <w:t>(e.g., Egger et al., 1997)</w:t>
      </w:r>
      <w:r w:rsidR="009F4032" w:rsidRPr="00CC11E4">
        <w:fldChar w:fldCharType="end"/>
      </w:r>
      <w:r w:rsidR="009F4032" w:rsidRPr="00CC11E4">
        <w:t>.</w:t>
      </w:r>
      <w:r w:rsidR="00461B7E" w:rsidRPr="00CC11E4">
        <w:t xml:space="preserve"> </w:t>
      </w:r>
      <w:r w:rsidR="008147ED" w:rsidRPr="00CC11E4">
        <w:t xml:space="preserve">While I did not attempt to systematically verify the results of all of these, two points are worth highlighting here. </w:t>
      </w:r>
    </w:p>
    <w:p w14:paraId="488D7F5D" w14:textId="0AD01788" w:rsidR="009F3291" w:rsidRPr="00CC11E4" w:rsidRDefault="00000000" w:rsidP="00805AFD">
      <w:r w:rsidRPr="00CC11E4">
        <w:t xml:space="preserve">First, Vahey et al. (2015) conclude that the results of these tests suggest “that the current meta-analysis was not subject to publication bias” (p. 62). </w:t>
      </w:r>
      <w:r w:rsidR="00035BB1" w:rsidRPr="00CC11E4">
        <w:t xml:space="preserve">However, this falls into a statistical fallacy that is common in original research: non-significant </w:t>
      </w:r>
      <w:r w:rsidR="00035BB1" w:rsidRPr="00CC11E4">
        <w:rPr>
          <w:i/>
          <w:iCs/>
        </w:rPr>
        <w:t>p</w:t>
      </w:r>
      <w:r w:rsidR="00035BB1" w:rsidRPr="00CC11E4">
        <w:t xml:space="preserve"> values should not be interpreted as evidence for the null hypothesis, only failure to reject the alternative hypothesis</w:t>
      </w:r>
      <w:r w:rsidR="00455DB6" w:rsidRPr="00CC11E4">
        <w:t xml:space="preserve"> </w:t>
      </w:r>
      <w:r w:rsidR="00455DB6" w:rsidRPr="00CC11E4">
        <w:fldChar w:fldCharType="begin"/>
      </w:r>
      <w:r w:rsidR="00807283" w:rsidRPr="00CC11E4">
        <w:instrText xml:space="preserve"> ADDIN ZOTERO_ITEM CSL_CITATION {"citationID":"dTZiIWGX","properties":{"formattedCitation":"(Aczel et al., 2018; Greenland et al., 2016)","plainCitation":"(Aczel et al., 2018; Greenland et al., 2016)","noteIndex":0},"citationItems":[{"id":4247,"uris":["http://zotero.org/users/1687755/items/U47BB932"],"itemData":{"id":4247,"type":"article-journal","abstract":"In the traditional statistical framework, nonsignificant results leave researchers in a state of suspended disbelief. In this study, we examined, empirically, the treatment and evidential impact of nonsignificant results. Our specific goals were twofold: to explore how psychologists interpret and communicate nonsignificant results and to assess how much these results constitute evidence in favor of the null hypothesis. First, we examined all nonsignificant findings mentioned in the abstracts of the 2015 volumes of Psychonomic Bulletin &amp; Review, Journal of Experimental Psychology: General, and Psychological Science (N = 137). In 72% of these cases, nonsignificant results were misinterpreted, in that the authors inferred that the effect was absent. Second, a Bayes factor reanalysis revealed that fewer than 5% of the nonsignificant findings provided strong evidence (i.e., BF01 &gt; 10) in favor of the null hypothesis over the alternative hypothesis. We recommend that researchers expand their statistical tool kit in order to correctly interpret nonsignificant results and to be able to evaluate the evidence for and against the null hypothesis.","container-title":"Advances in Methods and Practices in Psychological Science","DOI":"10.1177/2515245918773742","ISSN":"2515-2459","issue":"3","journalAbbreviation":"Advances in Methods and Practices in Psychological Science","language":"en","page":"357-366","source":"SAGE Journals","title":"Quantifying Support for the Null Hypothesis in Psychology: An Empirical Investigation","title-short":"Quantifying Support for the Null Hypothesis in Psychology","volume":"1","author":[{"family":"Aczel","given":"Balazs"},{"family":"Palfi","given":"Bence"},{"family":"Szollosi","given":"Aba"},{"family":"Kovacs","given":"Marton"},{"family":"Szaszi","given":"Barnabas"},{"family":"Szecsi","given":"Peter"},{"family":"Zrubka","given":"Mark"},{"family":"Gronau","given":"Quentin F."},{"family":"Bergh","given":"Don","non-dropping-particle":"van den"},{"family":"Wagenmakers","given":"Eric-Jan"}],"issued":{"date-parts":[["2018",9,1]]}}},{"id":2851,"uris":["http://zotero.org/users/1687755/items/TT6Z26C4"],"itemData":{"id":2851,"type":"article-journal","container-title":"European Journal of Epidemiology","DOI":"10.1007/s10654-016-0149-3","ISSN":"0393-2990, 1573-7284","issue":"4","language":"en","page":"337-350","source":"CrossRef","title":"Statistical tests, P values, confidence intervals, and power: a guide to misinterpretations","title-short":"Statistical tests, P values, confidence intervals, and power","volume":"31","author":[{"family":"Greenland","given":"Sander"},{"family":"Senn","given":"Stephen J."},{"family":"Rothman","given":"Kenneth J."},{"family":"Carlin","given":"John B."},{"family":"Poole","given":"Charles"},{"family":"Goodman","given":"Steven N."},{"family":"Altman","given":"Douglas G."}],"issued":{"date-parts":[["2016",4]]}}}],"schema":"https://github.com/citation-style-language/schema/raw/master/csl-citation.json"} </w:instrText>
      </w:r>
      <w:r w:rsidR="00455DB6" w:rsidRPr="00CC11E4">
        <w:fldChar w:fldCharType="separate"/>
      </w:r>
      <w:r w:rsidR="00807283" w:rsidRPr="00CC11E4">
        <w:rPr>
          <w:noProof/>
        </w:rPr>
        <w:t>(Aczel et al., 2018; Greenland et al., 2016)</w:t>
      </w:r>
      <w:r w:rsidR="00455DB6" w:rsidRPr="00CC11E4">
        <w:fldChar w:fldCharType="end"/>
      </w:r>
      <w:r w:rsidR="00035BB1" w:rsidRPr="00CC11E4">
        <w:t>.</w:t>
      </w:r>
      <w:r w:rsidR="00455DB6" w:rsidRPr="00CC11E4">
        <w:t xml:space="preserve"> </w:t>
      </w:r>
      <w:r w:rsidR="00035BB1" w:rsidRPr="00CC11E4">
        <w:t xml:space="preserve">Put differently, the absence of evidence is not the same as evidence of absence. </w:t>
      </w:r>
      <w:r w:rsidR="00122EDC" w:rsidRPr="00CC11E4">
        <w:t>This is especially important in the context of meta-analysis bias tests which frequently have very low power</w:t>
      </w:r>
      <w:r w:rsidR="008E7711" w:rsidRPr="00CC11E4">
        <w:t xml:space="preserve"> </w:t>
      </w:r>
      <w:r w:rsidR="008E7711" w:rsidRPr="00CC11E4">
        <w:fldChar w:fldCharType="begin"/>
      </w:r>
      <w:r w:rsidR="008E7711" w:rsidRPr="00CC11E4">
        <w:instrText xml:space="preserve"> ADDIN ZOTERO_ITEM CSL_CITATION {"citationID":"A89fpj4s","properties":{"formattedCitation":"(R\\uc0\\u252{}cker et al., 2011; Sterne et al., 2000)","plainCitation":"(Rücker et al., 2011; Sterne et al., 2000)","noteIndex":0},"citationItems":[{"id":29159,"uris":["http://zotero.org/users/1687755/items/8S6398CX"],"itemData":{"id":29159,"type":"article-journal","abstract":"Publication bias and related types of small-study effects threaten the validity of systematic reviews. The existence of small-study effects has been demonstrated in empirical studies. Small-study effects are graphically diagnosed by inspection of the funnel plot. Though observed funnel plot asymmetry cannot be easily linked to a specific reason, tests based on funnel plot asymmetry have been proposed. Beyond a vast range of funnel plot tests, there exist several methods for adjusting treatment effect estimates for these biases. In this article, we consider the trim-and-fill method, the Copas selection model, and more recent regression-based approaches. The methods are exemplified using a meta-analysis from the literature and compared in a simulation study, based on binary response data. They are also applied to a large set of meta-analyses. Some fundamental differences between the approaches are discussed. An assumption common to the trim-and-fill method and the Copas selection model is that the small-study effect is caused by selection. The trim-and-fill method corresponds to an unknown implicit model generated by the symmetry assumption, whereas the Copas selection model is a parametric statistical model. However, it requires a sensitivity analysis. Regression-based approaches are easier to implement and not based on a specific selection model. Both simulations and applications suggest that in the presence of strong selection both the trim-and-fill method and the Copas selection model may not fully eliminate bias, while regression-based approaches seem to be a promising alternative.","container-title":"Biometrical Journal","DOI":"10.1002/bimj.201000151","ISSN":"1521-4036","issue":"2","language":"en","license":"Copyright © 2011 WILEY-VCH Verlag GmbH &amp; Co. KGaA, Weinheim","note":"_eprint: https://onlinelibrary.wiley.com/doi/pdf/10.1002/bimj.201000151","page":"351-368","source":"Wiley Online Library","title":"Detecting and adjusting for small-study effects in meta-analysis","volume":"53","author":[{"family":"Rücker","given":"Gerta"},{"family":"Carpenter","given":"James R."},{"family":"Schwarzer","given":"Guido"}],"issued":{"date-parts":[["2011"]]}}},{"id":29161,"uris":["http://zotero.org/users/1687755/items/CCG4VQKT"],"itemData":{"id":29161,"type":"article-journal","abstract":"Publication and selection biases in meta-analysis are more likely to affect small studies, which also tend to be of lower methodological quality. This may lead to “small-study effects,” where the smaller studies in a meta-analysis show larger treatment effects. Small-study effects may also arise because of between-trial heterogeneity. Statistical tests for small-study effects have been proposed, but their validity has been questioned. A set of typical meta-analyses containing 5, 10, 20, and 30 trials was defined based on the characteristics of 78 published meta-analyses identified in a hand search of eight journals from 1993 to 1997. Simulations were performed to assess the power of a weighted regression method and a rank correlation test in the presence of no bias, moderate bias or severe bias. We based evidence of small-study effects on P &lt; 0.1. The power to detect bias increased with increasing numbers of trials. The rank correlation test was less powerful than the regression method. For example, assuming a control group event rate of 20% and no treatment effect, moderate bias was detected with the regression test in 13.7%, 23.5%, 40.1% and 51.6% of meta-analyses with 5, 10, 20 and 30 trials. The corresponding figures for the correlation test were 8.5%, 14.7%, 20.4% and 26.0%, respectively. Severe bias was detected with the regression method in 23.5%, 56.1%, 88.3% and 95.9% of meta-anlyses with 5, 10, 20 and 30 trials, as compared to 11.9%, 31.1%, 45.3% and 65.4% with the correlation test. Similar results were obtained in simulations incorporating moderate treatment effects. However the regression method gave false-positive rates which were too high in some situations (large treatment effects, or few events per trial, or all trials of similar sizes). Using the regression method, evidence of small-study effects was present in 21 (26.9%) of the 78 published meta-analyses. Tests for small-study effects should routinely be performed in meta-analysis. Their power is however limited, particularly for moderate amounts of bias or meta-analyses based on a small number of small studies. When evidence of small-study effects is found, careful consideration should be given to possible explanations for these in the reporting of the meta-analysis.","container-title":"Journal of Clinical Epidemiology","DOI":"10.1016/S0895-4356(00)00242-0","ISSN":"0895-4356","issue":"11","journalAbbreviation":"Journal of Clinical Epidemiology","page":"1119-1129","source":"ScienceDirect","title":"Publication and related bias in meta-analysis: Power of statistical tests and prevalence in the literature","title-short":"Publication and related bias in meta-analysis","volume":"53","author":[{"family":"Sterne","given":"Jonathan A. C"},{"family":"Gavaghan","given":"David"},{"family":"Egger","given":"Matthias"}],"issued":{"date-parts":[["2000",11,1]]}}}],"schema":"https://github.com/citation-style-language/schema/raw/master/csl-citation.json"} </w:instrText>
      </w:r>
      <w:r w:rsidR="008E7711" w:rsidRPr="00CC11E4">
        <w:fldChar w:fldCharType="separate"/>
      </w:r>
      <w:r w:rsidR="008E7711" w:rsidRPr="00CC11E4">
        <w:t>(Rücker et al., 2011; Sterne et al., 2000)</w:t>
      </w:r>
      <w:r w:rsidR="008E7711" w:rsidRPr="00CC11E4">
        <w:fldChar w:fldCharType="end"/>
      </w:r>
      <w:r w:rsidR="00122EDC" w:rsidRPr="00CC11E4">
        <w:t>, as is the case her</w:t>
      </w:r>
      <w:r w:rsidR="00725437" w:rsidRPr="00CC11E4">
        <w:t>e</w:t>
      </w:r>
      <w:r w:rsidR="00122EDC" w:rsidRPr="00CC11E4">
        <w:t xml:space="preserve">. </w:t>
      </w:r>
      <w:r w:rsidR="00035BB1" w:rsidRPr="00CC11E4">
        <w:t xml:space="preserve">The correct interpretation of </w:t>
      </w:r>
      <w:r w:rsidR="00122EDC" w:rsidRPr="00CC11E4">
        <w:t xml:space="preserve">such non-significant results is no evidence of bias was obtained rather than evidence of no bias. This </w:t>
      </w:r>
      <w:r w:rsidR="00455DB6" w:rsidRPr="00CC11E4">
        <w:t xml:space="preserve">difference in wording may seem subtle at </w:t>
      </w:r>
      <w:r w:rsidR="00FA3255" w:rsidRPr="00CC11E4">
        <w:t>first but</w:t>
      </w:r>
      <w:r w:rsidR="00455DB6" w:rsidRPr="00CC11E4">
        <w:t xml:space="preserve"> represents a fundamentally different </w:t>
      </w:r>
      <w:r w:rsidR="00794292">
        <w:t xml:space="preserve">and stronger </w:t>
      </w:r>
      <w:r w:rsidR="00455DB6" w:rsidRPr="00CC11E4">
        <w:t>claim.</w:t>
      </w:r>
      <w:r w:rsidR="00794292">
        <w:t xml:space="preserve"> There are few areas of research where publication bias and </w:t>
      </w:r>
      <w:r w:rsidR="00794292" w:rsidRPr="00794292">
        <w:rPr>
          <w:i/>
          <w:iCs/>
        </w:rPr>
        <w:t>p</w:t>
      </w:r>
      <w:r w:rsidR="00794292">
        <w:t>-hacking</w:t>
      </w:r>
      <w:r w:rsidR="00ED2533">
        <w:t xml:space="preserve"> </w:t>
      </w:r>
      <w:r w:rsidR="00794292">
        <w:t xml:space="preserve">could reasonably be assumed to be completely absent. As such, direct evidence for this null effect would need to be strong to dismiss the presence of bias as a plausible default assumption. </w:t>
      </w:r>
    </w:p>
    <w:p w14:paraId="775BEBA6" w14:textId="77777777" w:rsidR="00455DB6" w:rsidRPr="009F3291" w:rsidRDefault="00000000" w:rsidP="009633D4">
      <w:r w:rsidRPr="00453EBE">
        <w:t xml:space="preserve">Second, </w:t>
      </w:r>
      <w:r w:rsidR="00B50FEB">
        <w:t xml:space="preserve">bias tests can allude to rigor or objectivity that might obscure other sources of information about whether bias is truly present. It is worth noting that 8 of the 11 (73%) articles used in the meta-analysis were co-authored by at least one author of Vahey et al. (2015). </w:t>
      </w:r>
      <w:r w:rsidR="00220BB9">
        <w:t>The authors of Vahey et al. (2015) therefore had direct knowledge of whether there was a file drawer of unpublished studies</w:t>
      </w:r>
      <w:r w:rsidR="00273E29">
        <w:t xml:space="preserve"> (or indeed any other source of bias)</w:t>
      </w:r>
      <w:r w:rsidR="00220BB9">
        <w:t xml:space="preserve">, but they do not </w:t>
      </w:r>
      <w:r w:rsidR="005D591A">
        <w:t xml:space="preserve">consider </w:t>
      </w:r>
      <w:r w:rsidR="00220BB9">
        <w:t>this</w:t>
      </w:r>
      <w:r w:rsidR="005D591A">
        <w:t xml:space="preserve"> in their estimation of bias</w:t>
      </w:r>
      <w:r w:rsidR="00220BB9">
        <w:t xml:space="preserve">. </w:t>
      </w:r>
      <w:r w:rsidR="002B7E60">
        <w:t>My own compilation of unpublished IRAP studies suggests that there are at least 6 unpublished PhD theses with clinically relevant IRAP studies, most of which came from Barnes-Holmes's research group</w:t>
      </w:r>
      <w:r w:rsidR="007831AF">
        <w:t xml:space="preserve"> </w:t>
      </w:r>
      <w:r w:rsidR="007831AF">
        <w:fldChar w:fldCharType="begin"/>
      </w:r>
      <w:r w:rsidR="007831AF">
        <w:instrText xml:space="preserve"> ADDIN ZOTERO_ITEM CSL_CITATION {"citationID":"2Aqioz4X","properties":{"formattedCitation":"(Hussey &amp; Drake, 2022)","plainCitation":"(Hussey &amp; Drake, 2022)","noteIndex":0},"citationItems":[{"id":29166,"uris":["http://zotero.org/users/1687755/items/RN233WHD"],"itemData":{"id":29166,"type":"article-journal","abstract":"Hosted on the Open Science Framework","language":"en","note":"publisher: OSF","source":"osf.io","title":"The IRAP File-Drawer: A repository of unpublished studies using the Implicit Relational Assessment Procedure","title-short":"The IRAP File-Drawer","URL":"https://osf.io/g4qsu/","author":[{"family":"Hussey","given":"Ian"},{"family":"Drake","given":"Chad E."}],"accessed":{"date-parts":[["2024",8,1]]},"issued":{"date-parts":[["2022"]]}}}],"schema":"https://github.com/citation-style-language/schema/raw/master/csl-citation.json"} </w:instrText>
      </w:r>
      <w:r w:rsidR="007831AF">
        <w:fldChar w:fldCharType="separate"/>
      </w:r>
      <w:r w:rsidR="007831AF">
        <w:rPr>
          <w:noProof/>
        </w:rPr>
        <w:t>(Hussey &amp; Drake, 2022)</w:t>
      </w:r>
      <w:r w:rsidR="007831AF">
        <w:fldChar w:fldCharType="end"/>
      </w:r>
      <w:r w:rsidR="002B7E60">
        <w:t xml:space="preserve">. </w:t>
      </w:r>
      <w:r w:rsidR="003D01B6">
        <w:t xml:space="preserve">Reporting quantitative tests of publication bias without also reporting </w:t>
      </w:r>
      <w:r w:rsidR="003D01B6" w:rsidRPr="0082796D">
        <w:rPr>
          <w:i/>
          <w:iCs/>
        </w:rPr>
        <w:t>prima facie</w:t>
      </w:r>
      <w:r w:rsidR="003D01B6">
        <w:t xml:space="preserve"> evidence of publication bias from one's own research group ignores important evidence</w:t>
      </w:r>
      <w:r w:rsidR="005B2B9F">
        <w:t xml:space="preserve">, and does so in a way that is biased towards enhancing the </w:t>
      </w:r>
      <w:r w:rsidR="00856724">
        <w:t xml:space="preserve">apparent </w:t>
      </w:r>
      <w:r w:rsidR="005B2B9F">
        <w:t>criterion validity of the measure</w:t>
      </w:r>
      <w:r w:rsidR="00986FBB">
        <w:t xml:space="preserve"> – a measure which was also created by the last author of Vahey et al. (2015). </w:t>
      </w:r>
    </w:p>
    <w:p w14:paraId="73055695" w14:textId="77777777" w:rsidR="00596029" w:rsidRDefault="00596029">
      <w:pPr>
        <w:ind w:firstLine="0"/>
        <w:jc w:val="left"/>
        <w:rPr>
          <w:b/>
          <w:bCs/>
        </w:rPr>
      </w:pPr>
      <w:r>
        <w:br w:type="page"/>
      </w:r>
    </w:p>
    <w:p w14:paraId="1C6C297B" w14:textId="4B28B06E" w:rsidR="004112F6" w:rsidRPr="00034410" w:rsidRDefault="00000000" w:rsidP="004112F6">
      <w:pPr>
        <w:pStyle w:val="Heading2"/>
      </w:pPr>
      <w:r w:rsidRPr="00034410">
        <w:lastRenderedPageBreak/>
        <w:t>Corrected meta-analysis and power analyses</w:t>
      </w:r>
    </w:p>
    <w:p w14:paraId="7C8015FE" w14:textId="77777777" w:rsidR="004E47BB" w:rsidRPr="00871704" w:rsidRDefault="00000000" w:rsidP="004E47BB">
      <w:r w:rsidRPr="00034410">
        <w:t xml:space="preserve">In order to </w:t>
      </w:r>
      <w:r>
        <w:t>understand the compound impact of the various errors on the conclusion</w:t>
      </w:r>
      <w:r w:rsidRPr="00034410">
        <w:t xml:space="preserve">s of </w:t>
      </w:r>
      <w:r>
        <w:t xml:space="preserve">the meta-analysis, I fitted </w:t>
      </w:r>
      <w:r w:rsidRPr="00034410">
        <w:t xml:space="preserve">a new meta-analysis </w:t>
      </w:r>
      <w:r>
        <w:t xml:space="preserve">to the 156 effect sizes re-extracted from the original articles. I then used the meta-analysis effect results to calculate </w:t>
      </w:r>
      <w:r w:rsidRPr="00034410">
        <w:t xml:space="preserve">new power </w:t>
      </w:r>
      <w:r w:rsidRPr="00871704">
        <w:t xml:space="preserve">analyses. Whereas Vahey et al.’s (2015) method of dealing with the non-independence of multiple effect sizes taken from the same study was to average them, research suggests that it is more appropriate to model these dependencies using three-level meta-analyses (i.e., multi-level meta-analyses: Van den Noortgate et al. 2013). </w:t>
      </w:r>
    </w:p>
    <w:p w14:paraId="58D8A7F5" w14:textId="77777777" w:rsidR="004E47BB" w:rsidRPr="00871704" w:rsidRDefault="00000000" w:rsidP="004E47BB">
      <w:r w:rsidRPr="00871704">
        <w:t xml:space="preserve">A multi-level random effect meta-analysis with random intercepts for study was therefore employed. I employed the metafor packages’ default settings of a Restricted Maximum Likelihood estimator function and weighting by inverse variance (i.e., rather than </w:t>
      </w:r>
      <w:r w:rsidRPr="00871704">
        <w:rPr>
          <w:i/>
          <w:iCs/>
        </w:rPr>
        <w:t>N</w:t>
      </w:r>
      <w:r w:rsidRPr="00871704">
        <w:t xml:space="preserve">, given that inverse variance is a better estimate of precision and represents the contemporary standard). </w:t>
      </w:r>
    </w:p>
    <w:p w14:paraId="0AB0576C" w14:textId="77777777" w:rsidR="004E47BB" w:rsidRPr="00871704" w:rsidRDefault="00000000" w:rsidP="004E47BB">
      <w:r w:rsidRPr="00871704">
        <w:t xml:space="preserve">Results demonstrated a meta effect size </w:t>
      </w:r>
      <m:oMath>
        <m:acc>
          <m:accPr>
            <m:chr m:val="̅"/>
            <m:ctrlPr>
              <w:rPr>
                <w:rFonts w:ascii="Cambria Math" w:hAnsi="Cambria Math"/>
                <w:i/>
              </w:rPr>
            </m:ctrlPr>
          </m:accPr>
          <m:e>
            <m:r>
              <w:rPr>
                <w:rFonts w:ascii="Cambria Math" w:hAnsi="Cambria Math"/>
              </w:rPr>
              <m:t>r</m:t>
            </m:r>
          </m:e>
        </m:acc>
      </m:oMath>
      <w:r w:rsidRPr="00871704">
        <w:t xml:space="preserve"> = .22, 95% CI [.15, .29], 95% CR [.22, .22], 95% PI [-.01, .42] (see Figure 4 for forest plot). Based on the non-overlap of their Confidence Intervals, this estimate is significantly smaller than the effect size reported by Vahey et al. (2015), i.e., </w:t>
      </w:r>
      <m:oMath>
        <m:acc>
          <m:accPr>
            <m:chr m:val="̅"/>
            <m:ctrlPr>
              <w:rPr>
                <w:rFonts w:ascii="Cambria Math" w:hAnsi="Cambria Math"/>
                <w:i/>
              </w:rPr>
            </m:ctrlPr>
          </m:accPr>
          <m:e>
            <m:r>
              <w:rPr>
                <w:rFonts w:ascii="Cambria Math" w:hAnsi="Cambria Math"/>
              </w:rPr>
              <m:t>r</m:t>
            </m:r>
          </m:e>
        </m:acc>
      </m:oMath>
      <w:r w:rsidRPr="00871704">
        <w:t xml:space="preserve"> = .45, 95% CI [.40, .54], 95% CR [.23, .67]). </w:t>
      </w:r>
    </w:p>
    <w:p w14:paraId="2A166F8D" w14:textId="77777777" w:rsidR="004E47BB" w:rsidRPr="00871704" w:rsidRDefault="00000000" w:rsidP="004E47BB">
      <w:r w:rsidRPr="00871704">
        <w:t>Table 1 contains the new power analyses based on this meta-effect size. As can be seen from the table, sample sizes are substantially larger than those recommended by Vahey et al. (2015). For example, whereas the original abstract includes the recommendation that IRAP studies should employ “</w:t>
      </w:r>
      <w:r w:rsidRPr="00871704">
        <w:rPr>
          <w:i/>
          <w:iCs/>
        </w:rPr>
        <w:t>N</w:t>
      </w:r>
      <w:r w:rsidRPr="00871704">
        <w:t xml:space="preserve"> </w:t>
      </w:r>
    </w:p>
    <w:p w14:paraId="39C2393B" w14:textId="77777777" w:rsidR="004E47BB" w:rsidRPr="00871704" w:rsidRDefault="00000000" w:rsidP="004E47BB">
      <w:pPr>
        <w:ind w:firstLine="0"/>
      </w:pPr>
      <w:r w:rsidRPr="00871704">
        <w:t xml:space="preserve">of [at least] 29 to 37”, the update numbers for the same tests are </w:t>
      </w:r>
      <w:r w:rsidRPr="00871704">
        <w:rPr>
          <w:i/>
          <w:iCs/>
        </w:rPr>
        <w:t>N</w:t>
      </w:r>
      <w:r w:rsidRPr="00871704">
        <w:t xml:space="preserve">s of at least 126 to 273. Power analyses for the more common and less liberal two-sided test for Pearson’s </w:t>
      </w:r>
      <w:r w:rsidRPr="00871704">
        <w:rPr>
          <w:i/>
          <w:iCs/>
        </w:rPr>
        <w:t>r</w:t>
      </w:r>
      <w:r w:rsidRPr="00871704">
        <w:t xml:space="preserve"> correlations would require </w:t>
      </w:r>
      <w:r w:rsidRPr="00871704">
        <w:rPr>
          <w:i/>
          <w:iCs/>
        </w:rPr>
        <w:t>N</w:t>
      </w:r>
      <w:r w:rsidRPr="00871704">
        <w:t xml:space="preserve">s of at least 160 to 346. </w:t>
      </w:r>
    </w:p>
    <w:p w14:paraId="6B1A716F" w14:textId="77777777" w:rsidR="00032ADB" w:rsidRDefault="00032ADB" w:rsidP="00692B30"/>
    <w:p w14:paraId="707EA9D4" w14:textId="77777777" w:rsidR="00032ADB" w:rsidRDefault="00000000" w:rsidP="00032ADB">
      <w:pPr>
        <w:ind w:firstLine="0"/>
        <w:jc w:val="left"/>
        <w:rPr>
          <w:b/>
          <w:bCs/>
          <w:iCs/>
        </w:rPr>
      </w:pPr>
      <w:r>
        <w:br w:type="column"/>
      </w:r>
      <w:r w:rsidRPr="00D0718D">
        <w:rPr>
          <w:b/>
          <w:bCs/>
          <w:iCs/>
        </w:rPr>
        <w:t xml:space="preserve">Figure </w:t>
      </w:r>
      <w:r>
        <w:rPr>
          <w:b/>
          <w:bCs/>
          <w:iCs/>
        </w:rPr>
        <w:t>5</w:t>
      </w:r>
      <w:r w:rsidRPr="00D0718D">
        <w:rPr>
          <w:b/>
          <w:bCs/>
          <w:iCs/>
        </w:rPr>
        <w:t xml:space="preserve">. </w:t>
      </w:r>
      <w:r w:rsidRPr="00DE7D92">
        <w:rPr>
          <w:iCs/>
        </w:rPr>
        <w:t>Forest plot for the new meta-analysis.</w:t>
      </w:r>
    </w:p>
    <w:p w14:paraId="4646299E" w14:textId="77777777" w:rsidR="00032ADB" w:rsidRDefault="00000000" w:rsidP="00032ADB">
      <w:pPr>
        <w:ind w:firstLine="0"/>
        <w:jc w:val="center"/>
        <w:rPr>
          <w:b/>
          <w:bCs/>
          <w:iCs/>
        </w:rPr>
      </w:pPr>
      <w:r>
        <w:rPr>
          <w:b/>
          <w:bCs/>
          <w:iCs/>
          <w:noProof/>
        </w:rPr>
        <w:drawing>
          <wp:inline distT="0" distB="0" distL="0" distR="0" wp14:anchorId="295A826F" wp14:editId="104AA575">
            <wp:extent cx="1738912" cy="8475980"/>
            <wp:effectExtent l="0" t="0" r="1270" b="0"/>
            <wp:docPr id="153848036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8480369" name="Picture 1538480369"/>
                    <pic:cNvPicPr/>
                  </pic:nvPicPr>
                  <pic:blipFill>
                    <a:blip r:embed="rId17"/>
                    <a:stretch>
                      <a:fillRect/>
                    </a:stretch>
                  </pic:blipFill>
                  <pic:spPr>
                    <a:xfrm>
                      <a:off x="0" y="0"/>
                      <a:ext cx="1754671" cy="8552792"/>
                    </a:xfrm>
                    <a:prstGeom prst="rect">
                      <a:avLst/>
                    </a:prstGeom>
                  </pic:spPr>
                </pic:pic>
              </a:graphicData>
            </a:graphic>
          </wp:inline>
        </w:drawing>
      </w:r>
    </w:p>
    <w:p w14:paraId="0CB77921" w14:textId="77777777" w:rsidR="00D5488E" w:rsidRDefault="00D5488E" w:rsidP="00D5488E"/>
    <w:p w14:paraId="75AE9B96" w14:textId="77777777" w:rsidR="00B95E95" w:rsidRPr="00871704" w:rsidRDefault="00000000" w:rsidP="00034410">
      <w:pPr>
        <w:pStyle w:val="Heading1"/>
      </w:pPr>
      <w:r w:rsidRPr="00871704">
        <w:lastRenderedPageBreak/>
        <w:t>Discussion</w:t>
      </w:r>
    </w:p>
    <w:p w14:paraId="4693B6F6" w14:textId="77777777" w:rsidR="00F31469" w:rsidRPr="00871704" w:rsidRDefault="00000000" w:rsidP="00034410">
      <w:r w:rsidRPr="00871704">
        <w:t xml:space="preserve">The results </w:t>
      </w:r>
      <w:r w:rsidR="00ED4354" w:rsidRPr="00871704">
        <w:t xml:space="preserve">of Vahey et al. (2015) </w:t>
      </w:r>
      <w:r w:rsidRPr="00871704">
        <w:t xml:space="preserve">could not be verified at </w:t>
      </w:r>
      <w:r w:rsidR="009D1517">
        <w:t>several</w:t>
      </w:r>
      <w:r w:rsidRPr="00871704">
        <w:t xml:space="preserve"> different stages </w:t>
      </w:r>
      <w:r w:rsidR="009D1517">
        <w:t xml:space="preserve">of the data extraction and </w:t>
      </w:r>
      <w:r w:rsidRPr="00871704">
        <w:t>analysis</w:t>
      </w:r>
      <w:r w:rsidR="00802D88" w:rsidRPr="00871704">
        <w:t xml:space="preserve">, </w:t>
      </w:r>
      <w:r w:rsidR="00751E40" w:rsidRPr="00871704">
        <w:t>and</w:t>
      </w:r>
      <w:r w:rsidR="00802D88" w:rsidRPr="00871704">
        <w:t xml:space="preserve"> multiple errors </w:t>
      </w:r>
      <w:r w:rsidR="00751E40" w:rsidRPr="00871704">
        <w:t>and</w:t>
      </w:r>
      <w:r w:rsidR="00802D88" w:rsidRPr="00871704">
        <w:t xml:space="preserve"> </w:t>
      </w:r>
      <w:r w:rsidR="005C6FA5">
        <w:t xml:space="preserve">internal </w:t>
      </w:r>
      <w:r w:rsidR="00802D88" w:rsidRPr="00871704">
        <w:t xml:space="preserve">discrepancies </w:t>
      </w:r>
      <w:r w:rsidR="00751E40" w:rsidRPr="00871704">
        <w:t xml:space="preserve">were </w:t>
      </w:r>
      <w:r w:rsidR="00802D88" w:rsidRPr="00871704">
        <w:t>detected</w:t>
      </w:r>
      <w:r w:rsidRPr="00871704">
        <w:t xml:space="preserve">. </w:t>
      </w:r>
      <w:r w:rsidR="00AB2048" w:rsidRPr="00871704">
        <w:t xml:space="preserve">The </w:t>
      </w:r>
      <w:r w:rsidR="00EA7DFA" w:rsidRPr="00871704">
        <w:t xml:space="preserve">original article’s </w:t>
      </w:r>
      <w:r w:rsidR="00AB2048" w:rsidRPr="00871704">
        <w:t xml:space="preserve">inclusion and exclusion criteria were not </w:t>
      </w:r>
      <w:r w:rsidR="000A1DC4" w:rsidRPr="00871704">
        <w:t xml:space="preserve">consistently </w:t>
      </w:r>
      <w:r w:rsidR="00AB2048" w:rsidRPr="00871704">
        <w:t>applied</w:t>
      </w:r>
      <w:r w:rsidR="00E93CCC" w:rsidRPr="00871704">
        <w:t>: m</w:t>
      </w:r>
      <w:r w:rsidR="00AB2048" w:rsidRPr="00871704">
        <w:t xml:space="preserve">any effects that met Vahey et al.’s (2015) inclusion criteria were not </w:t>
      </w:r>
      <w:r w:rsidR="00BD1219">
        <w:t>included. C</w:t>
      </w:r>
      <w:r w:rsidR="00AB2048" w:rsidRPr="00871704">
        <w:t xml:space="preserve">onversely, many effects that were included did not meet inclusion criteria, e.g., </w:t>
      </w:r>
      <w:r w:rsidR="004259E7" w:rsidRPr="00871704">
        <w:t>41.1</w:t>
      </w:r>
      <w:r w:rsidR="00AB2048" w:rsidRPr="00871704">
        <w:t>% were not criterion effects as they did not involve a</w:t>
      </w:r>
      <w:r w:rsidR="00E93CCC" w:rsidRPr="00871704">
        <w:t xml:space="preserve">n </w:t>
      </w:r>
      <w:r w:rsidR="00AB2048" w:rsidRPr="00871704">
        <w:t xml:space="preserve">external variable. </w:t>
      </w:r>
      <w:r w:rsidR="003C3CC1" w:rsidRPr="00871704">
        <w:t xml:space="preserve">These inconsistencies in the application of the inclusion and exclusion strategy </w:t>
      </w:r>
      <w:r w:rsidR="00BD1219">
        <w:t xml:space="preserve">were </w:t>
      </w:r>
      <w:r w:rsidR="003C3CC1" w:rsidRPr="00871704">
        <w:t xml:space="preserve">biased towards including larger effect sizes and omitting smaller ones. </w:t>
      </w:r>
      <w:r w:rsidR="002E558B" w:rsidRPr="00871704">
        <w:t xml:space="preserve">The averaging of these effect sizes for each </w:t>
      </w:r>
      <w:r w:rsidR="00EA7DFA" w:rsidRPr="00871704">
        <w:t xml:space="preserve">article </w:t>
      </w:r>
      <w:r w:rsidR="002E558B" w:rsidRPr="00871704">
        <w:t xml:space="preserve">was not </w:t>
      </w:r>
      <w:r w:rsidR="00EA7DFA" w:rsidRPr="00871704">
        <w:t xml:space="preserve">computationally </w:t>
      </w:r>
      <w:r w:rsidR="002E558B" w:rsidRPr="00871704">
        <w:t>reproducibl</w:t>
      </w:r>
      <w:r w:rsidR="00EA7DFA" w:rsidRPr="00871704">
        <w:t>e</w:t>
      </w:r>
      <w:r w:rsidR="007F19D1" w:rsidRPr="00871704">
        <w:t xml:space="preserve"> in</w:t>
      </w:r>
      <w:r w:rsidR="00E93CCC" w:rsidRPr="00871704">
        <w:t xml:space="preserve"> </w:t>
      </w:r>
      <w:r w:rsidR="00B95E95" w:rsidRPr="00871704">
        <w:t>13% of cases.</w:t>
      </w:r>
      <w:r w:rsidR="00F1693C" w:rsidRPr="00871704">
        <w:t xml:space="preserve"> </w:t>
      </w:r>
      <w:r w:rsidR="002E558B" w:rsidRPr="00871704">
        <w:t xml:space="preserve">The results of </w:t>
      </w:r>
      <w:r w:rsidR="00896E27" w:rsidRPr="00871704">
        <w:t xml:space="preserve">the </w:t>
      </w:r>
      <w:r w:rsidR="002E558B" w:rsidRPr="00871704">
        <w:t>meta-analysis could not be reproduced</w:t>
      </w:r>
      <w:r w:rsidR="00933C23" w:rsidRPr="00871704">
        <w:t xml:space="preserve"> despite numerous </w:t>
      </w:r>
      <w:r w:rsidR="00B82B7F" w:rsidRPr="00871704">
        <w:t xml:space="preserve">different </w:t>
      </w:r>
      <w:r w:rsidR="00933C23" w:rsidRPr="00871704">
        <w:t>attempts</w:t>
      </w:r>
      <w:r w:rsidR="00EA7DFA" w:rsidRPr="00871704">
        <w:t xml:space="preserve"> and approaches</w:t>
      </w:r>
      <w:r w:rsidR="00477EC4">
        <w:t>, with the closest reproducing requiring two serious errors to be made on purpose (using the wrong dataset and mislabelling Confidence Intervals as Credibility Intervals and vice versa)</w:t>
      </w:r>
      <w:r w:rsidR="00EA7DFA" w:rsidRPr="00871704">
        <w:t>.</w:t>
      </w:r>
      <w:r w:rsidR="00933C23" w:rsidRPr="00871704">
        <w:t xml:space="preserve"> </w:t>
      </w:r>
      <w:r w:rsidR="006D2D19" w:rsidRPr="00871704">
        <w:t>The original p</w:t>
      </w:r>
      <w:r w:rsidR="00B95E95" w:rsidRPr="00871704">
        <w:t>ower analys</w:t>
      </w:r>
      <w:r w:rsidR="00F04934" w:rsidRPr="00871704">
        <w:t>e</w:t>
      </w:r>
      <w:r w:rsidR="00B95E95" w:rsidRPr="00871704">
        <w:t xml:space="preserve">s </w:t>
      </w:r>
      <w:r w:rsidR="00F04934" w:rsidRPr="00871704">
        <w:t>were mostly reproducible</w:t>
      </w:r>
      <w:r w:rsidR="007F19D1" w:rsidRPr="00871704">
        <w:t>,</w:t>
      </w:r>
      <w:r w:rsidR="006D2D19" w:rsidRPr="00871704">
        <w:t xml:space="preserve"> </w:t>
      </w:r>
      <w:r w:rsidR="007F19D1" w:rsidRPr="00871704">
        <w:t>h</w:t>
      </w:r>
      <w:r w:rsidR="006D2D19" w:rsidRPr="00871704">
        <w:t>owever</w:t>
      </w:r>
      <w:r w:rsidR="00F04934" w:rsidRPr="00871704">
        <w:t>,</w:t>
      </w:r>
      <w:r w:rsidR="006D2D19" w:rsidRPr="00871704">
        <w:t xml:space="preserve"> given the lack of reproducibility of the </w:t>
      </w:r>
      <w:r w:rsidR="00F04934" w:rsidRPr="00871704">
        <w:t>meta-analysis itself</w:t>
      </w:r>
      <w:r w:rsidR="006D2D19" w:rsidRPr="00871704">
        <w:t xml:space="preserve">, the </w:t>
      </w:r>
      <w:r w:rsidR="00F04934" w:rsidRPr="00871704">
        <w:t xml:space="preserve">validity of those </w:t>
      </w:r>
      <w:r w:rsidR="006D2D19" w:rsidRPr="00871704">
        <w:t>power analyses’ results</w:t>
      </w:r>
      <w:r w:rsidR="00F04934" w:rsidRPr="00871704">
        <w:t xml:space="preserve"> </w:t>
      </w:r>
      <w:r w:rsidR="007F19D1" w:rsidRPr="00871704">
        <w:t xml:space="preserve">based on that meta-analysis estimate </w:t>
      </w:r>
      <w:r w:rsidR="00F04934" w:rsidRPr="00871704">
        <w:t xml:space="preserve">was </w:t>
      </w:r>
      <w:r w:rsidR="007F19D1" w:rsidRPr="00871704">
        <w:t xml:space="preserve">fundamentally </w:t>
      </w:r>
      <w:r w:rsidR="00F04934" w:rsidRPr="00871704">
        <w:t>undermined</w:t>
      </w:r>
      <w:r w:rsidR="006D2D19" w:rsidRPr="00871704">
        <w:t xml:space="preserve">. </w:t>
      </w:r>
    </w:p>
    <w:p w14:paraId="2BDEE3BE" w14:textId="77777777" w:rsidR="00F24EA3" w:rsidRPr="00871704" w:rsidRDefault="00000000" w:rsidP="00034410">
      <w:r w:rsidRPr="00871704">
        <w:t xml:space="preserve">This lack of reproducibility is consistent with what has been found elsewhere for meta-analyses: errors in data extraction and conversion are common, results are frequently not reproducible, and this is hindered by the unavailability of data and code </w:t>
      </w:r>
      <w:r w:rsidRPr="00871704">
        <w:fldChar w:fldCharType="begin"/>
      </w:r>
      <w:r w:rsidR="003221C9" w:rsidRPr="00871704">
        <w:instrText xml:space="preserve"> ADDIN ZOTERO_ITEM CSL_CITATION {"citationID":"oVz4Rtse","properties":{"formattedCitation":"(G\\uc0\\u248{}tzsche et al., 2007; Kadlec et al., 2023; Lakens et al., 2016, 2017; Maassen et al., 2020)","plainCitation":"(Gøtzsche et al., 2007; Kadlec et al., 2023; Lakens et al., 2016, 2017; Maassen et al., 2020)","noteIndex":0},"citationItems":[{"id":4753,"uris":["http://zotero.org/users/1687755/items/QR5MWFKZ"],"itemData":{"id":4753,"type":"article-journal","abstract":"ContextMeta-analysis of trials that have used different continuous or rating scales to record outcomes of a similar nature requires sophisticated data handling and data transformation to a uniform scale, the standardized mean difference (SMD). It is not known how reliable such meta-analyses are.ObjectiveTo study whether SMDs in meta-analyses are accurate.Data SourcesSystematic review of meta-analyses published in 2004 that reported a result as an SMD, with no language restrictions. Two trials were randomly selected from each meta-analysis. We attempted to replicate the results in each meta-analysis by independently calculating SMD using Hedges adjusted g.Data ExtractionOur primary outcome was the proportion of meta-analyses for which our result differed from that of the authors by 0.1 or more, either for the point estimate or for its confidence interval, for at least 1 of the 2 selected trials. We chose 0.1 as cut point because many commonly used treatments have an effect of 0.1 to 0.5, compared with placebo.ResultsOf the 27 meta-analyses included in this study, we could not replicate the result for at least 1 of the 2 trials within 0.1 in 10 of the meta-analyses (37%), and in 4 cases, the discrepancy was 0.6 or more for the point estimate. Common problems were erroneous number of patients, means, standard deviations, and sign for the effect estimate. In total, 17 meta-analyses (63%) had errors for at least 1 of the 2 trials examined. For the 10 meta-analyses with errors of at least 0.1, we checked the data from all the trials and conducted our own meta-analysis, using the authors' methods. Seven of these 10 meta-analyses were erroneous (70%); 1 was subsequently retracted, and in 2 a significant difference disappeared or appeared.ConclusionsThe high proportion of meta-analyses based on SMDs that show errors indicates that although the statistical process is ostensibly simple, data extraction is particularly liable to errors that can negate or even reverse the findings of the study. This has implications for researchers and implies that all readers, including journal reviewers and policy makers, should approach such meta-analyses with caution.","container-title":"JAMA","DOI":"10.1001/jama.298.4.430","ISSN":"0098-7484","issue":"4","journalAbbreviation":"JAMA","page":"430-437","source":"Silverchair","title":"Data Extraction Errors in Meta-analyses That Use Standardized Mean Differences","volume":"298","author":[{"family":"Gøtzsche","given":"Peter C."},{"family":"Hróbjartsson","given":"Asbjørn"},{"family":"Marić","given":"Katja"},{"family":"Tendal","given":"Britta"}],"issued":{"date-parts":[["2007",7,25]]}}},{"id":54,"uris":["http://zotero.org/users/1687755/items/WWKVT2EA"],"itemData":{"id":54,"type":"article-journal","abstract":"Meta-analysis and meta-regression are often highly cited and may influence practice. Unfortunately, statistical errors in meta-analyses are widespread and can lead to flawed conclusions. The purpose of this article was to review common statistical errors in meta-analyses and to document their frequency in highly cited meta-analyses from strength and conditioning research.","container-title":"Sports Medicine","DOI":"10.1007/s40279-022-01766-0","ISSN":"1179-2035","issue":"2","journalAbbreviation":"Sports Med","language":"en","page":"313-325","source":"Springer Link","title":"With Great Power Comes Great Responsibility: Common Errors in Meta-Analyses and Meta-Regressions in Strength &amp; Conditioning Research","title-short":"With Great Power Comes Great Responsibility","volume":"53","author":[{"family":"Kadlec","given":"Daniel"},{"family":"Sainani","given":"Kristin L."},{"family":"Nimphius","given":"Sophia"}],"issued":{"date-parts":[["2023",2,1]]}}},{"id":393,"uris":["http://zotero.org/users/1687755/items/P27AF84W"],"itemData":{"id":393,"type":"article-journal","abstract":"Meta-analyses play an important role in cumulative science by combining information across multiple studies and attempting to provide effect size estimates corrected for publication bias. Research on the reproducibility of meta-analyses reveals that errors are common, and the percentage of effect size calculations that cannot be reproduced is much higher than is desirable. Furthermore, the flexibility in inclusion criteria when performing a meta-analysis, combined with the many conflicting conclusions drawn by meta-analyses of the same set of studies performed by different researchers, has led some people to doubt whether meta-analyses can provide objective conclusions.","container-title":"BMC Psychology","DOI":"10.1186/s40359-016-0126-3","ISSN":"2050-7283","issue":"1","journalAbbreviation":"BMC Psychol","language":"en","page":"24","source":"Springer Link","title":"On the reproducibility of meta-analyses: six practical recommendations","title-short":"On the reproducibility of meta-analyses","volume":"4","author":[{"family":"Lakens","given":"Daniël"},{"family":"Hilgard","given":"Joe"},{"family":"Staaks","given":"Janneke"}],"issued":{"date-parts":[["2016",5,31]]}}},{"id":4644,"uris":["http://zotero.org/users/1687755/items/IBB5XYVT"],"itemData":{"id":4644,"type":"report","abstract":"Meta-analyses are an important tool to evaluate the literature. It is essential that meta-analyses can easily be reproduced to allow researchers to evaluate the impact of subjective choices on meta-analytic effect sizes, but also to update meta-analyses as new data comes in, or as novel statistical techniques (for example to correct for publication bias) are developed. Research in medicine has revealed meta-analyses often cannot be reproduced. In this project, we examined the reproducibility of meta-analyses in psychology by reproducing twenty published meta-analyses. Reproducing published meta-analyses was surprisingly difficult. 96% of meta-analyses published in 2013-2014 did not adhere to reporting guidelines. A third of these meta-analyses did not contain a table specifying all individual effect sizes. Five of the 20 randomly selected meta-analyses we attempted to reproduce could not be reproduced at all due to lack of access to raw data, no details about the effect sizes extracted from each study, or a lack of information about how effect sizes were coded. In the remaining meta-analyses, differences between the reported and reproduced effect size or sample size were common. We discuss a range of possible improvements, such as more clearly indicating which data were used to calculate an effect size, specifying all individual effect sizes, adding detailed information about equations that are used, and how multiple effect size estimates from the same study are combined, but also sharing raw data retrieved from original authors, or unpublished research reports. This project clearly illustrates there is a lot of room for improvement when it comes to the transparency and reproducibility of published meta-analyses.","genre":"preprint","note":"DOI: 10.31222/osf.io/xfbjf","publisher":"BITSS","source":"DOI.org (Crossref)","title":"Examining the Reproducibility of Meta-Analyses in Psychology: A Preliminary Report","title-short":"Examining the Reproducibility of Meta-Analyses in Psychology","URL":"https://osf.io/xfbjf","author":[{"family":"Lakens","given":"Daniël"},{"family":"Page-Gould","given":"Elizabeth"},{"family":"Assen","given":"Marcel A. L. M.","non-dropping-particle":"van"},{"family":"Spellman","given":"Bobbie"},{"family":"Schönbrodt","given":"Felix D."},{"family":"Hasselman","given":"Fred"},{"family":"Corker","given":"Katherine S."},{"family":"Grange","given":"Jim"},{"family":"Sharples","given":"Amanda"},{"family":"Cavender","given":"Corinne"},{"family":"Augusteijn","given":"Hilde"},{"family":"Augusteijn","given":"Hilde"},{"family":"Gerger","given":"Heike"},{"family":"Locher","given":"Cosima"},{"family":"Miller","given":"Ian Dennis"},{"family":"Anvari","given":"Farid"},{"family":"Scheel","given":"Anne M."}],"accessed":{"date-parts":[["2020",6,17]]},"issued":{"date-parts":[["2017",3,31]]}}},{"id":4654,"uris":["http://zotero.org/users/1687755/items/WUWAGAGT"],"itemData":{"id":4654,"type":"article-journal","abstract":"To determine the reproducibility of psychological meta-analyses, we investigated whether we could reproduce 500 primary study effect sizes drawn from 33 published meta-analyses based on the information given in the meta-analyses, and whether recomputations of primary study effect sizes altered the overall results of the meta-analysis. Results showed that almost half (k = 224) of all sampled primary effect sizes could not be reproduced based on the reported information in the meta-analysis, mostly because of incomplete or missing information on how effect sizes from primary studies were selected and computed. Overall, this led to small discrepancies in the computation of mean effect sizes, confidence intervals and heterogeneity estimates in 13 out of 33 meta-analyses. We provide recommendations to improve transparency in the reporting of the entire meta-analytic process, including the use of preregistration, data and workflow sharing, and explicit coding practices.","container-title":"PLOS ONE","DOI":"10.1371/journal.pone.0233107","ISSN":"1932-6203","issue":"5","journalAbbreviation":"PLOS ONE","language":"en","note":"publisher: Public Library of Science","page":"e0233107","source":"PLoS Journals","title":"Reproducibility of individual effect sizes in meta-analyses in psychology","volume":"15","author":[{"family":"Maassen","given":"Esther"},{"family":"Assen","given":"Marcel A. L. M.","dropping-particle":"van"},{"family":"Nuijten","given":"Michèle B."},{"family":"Olsson-Collentine","given":"Anton"},{"family":"Wicherts","given":"Jelte M."}],"issued":{"date-parts":[["2020",5,27]]}}}],"schema":"https://github.com/citation-style-language/schema/raw/master/csl-citation.json"} </w:instrText>
      </w:r>
      <w:r w:rsidRPr="00871704">
        <w:fldChar w:fldCharType="separate"/>
      </w:r>
      <w:r w:rsidRPr="00871704">
        <w:t>(Gøtzsche et al., 2007; Kadlec et al., 2023; Lakens et al., 2016, 2017; Maassen et al., 2020)</w:t>
      </w:r>
      <w:r w:rsidRPr="00871704">
        <w:fldChar w:fldCharType="end"/>
      </w:r>
      <w:r w:rsidRPr="00871704">
        <w:t xml:space="preserve">. </w:t>
      </w:r>
    </w:p>
    <w:p w14:paraId="20D3CAD7" w14:textId="77777777" w:rsidR="00240F20" w:rsidRPr="00871704" w:rsidRDefault="00000000" w:rsidP="00034410">
      <w:r w:rsidRPr="00871704">
        <w:t>After correcting th</w:t>
      </w:r>
      <w:r w:rsidR="00F31469" w:rsidRPr="00871704">
        <w:t>e above</w:t>
      </w:r>
      <w:r w:rsidRPr="00871704">
        <w:t xml:space="preserve"> issues, a</w:t>
      </w:r>
      <w:r w:rsidR="006D2D19" w:rsidRPr="00871704">
        <w:t xml:space="preserve"> new meta-analysis was conducted</w:t>
      </w:r>
      <w:r w:rsidR="008926B3" w:rsidRPr="00871704">
        <w:t xml:space="preserve"> in order to convey the combined impact of these issues on the conclusions.</w:t>
      </w:r>
      <w:r w:rsidR="006D2D19" w:rsidRPr="00871704">
        <w:t xml:space="preserve"> Results suggested a meta-effect size </w:t>
      </w:r>
      <w:r w:rsidR="00D065B6" w:rsidRPr="00871704">
        <w:t xml:space="preserve">of </w:t>
      </w:r>
      <m:oMath>
        <m:acc>
          <m:accPr>
            <m:chr m:val="̅"/>
            <m:ctrlPr>
              <w:rPr>
                <w:rFonts w:ascii="Cambria Math" w:hAnsi="Cambria Math"/>
                <w:i/>
              </w:rPr>
            </m:ctrlPr>
          </m:accPr>
          <m:e>
            <m:r>
              <w:rPr>
                <w:rFonts w:ascii="Cambria Math" w:hAnsi="Cambria Math"/>
              </w:rPr>
              <m:t>r</m:t>
            </m:r>
          </m:e>
        </m:acc>
      </m:oMath>
      <w:r w:rsidR="00D065B6" w:rsidRPr="00871704">
        <w:t xml:space="preserve"> = .22, </w:t>
      </w:r>
      <w:r w:rsidR="006D2D19" w:rsidRPr="00871704">
        <w:t xml:space="preserve">less than half that reported in </w:t>
      </w:r>
      <w:r w:rsidR="00D065B6" w:rsidRPr="00871704">
        <w:t>the original article (</w:t>
      </w:r>
      <m:oMath>
        <m:acc>
          <m:accPr>
            <m:chr m:val="̅"/>
            <m:ctrlPr>
              <w:rPr>
                <w:rFonts w:ascii="Cambria Math" w:hAnsi="Cambria Math"/>
                <w:i/>
              </w:rPr>
            </m:ctrlPr>
          </m:accPr>
          <m:e>
            <m:r>
              <w:rPr>
                <w:rFonts w:ascii="Cambria Math" w:hAnsi="Cambria Math"/>
              </w:rPr>
              <m:t>r</m:t>
            </m:r>
          </m:e>
        </m:acc>
      </m:oMath>
      <w:r w:rsidR="00D065B6" w:rsidRPr="00871704">
        <w:t xml:space="preserve"> = .45)</w:t>
      </w:r>
      <w:r w:rsidR="00672A84" w:rsidRPr="00871704">
        <w:t>.</w:t>
      </w:r>
      <w:r w:rsidR="006D2D19" w:rsidRPr="00871704">
        <w:t xml:space="preserve"> </w:t>
      </w:r>
      <w:r w:rsidRPr="00871704">
        <w:t>Vahey et al. (2015) stated that</w:t>
      </w:r>
      <w:r w:rsidR="00D065B6" w:rsidRPr="00871704">
        <w:t>, according to their results,</w:t>
      </w:r>
      <w:r w:rsidRPr="00871704">
        <w:t xml:space="preserve"> the IRAP's criterion validity compares </w:t>
      </w:r>
      <w:r w:rsidR="00EE0367" w:rsidRPr="00871704">
        <w:t>“</w:t>
      </w:r>
      <w:r w:rsidRPr="00871704">
        <w:t>favorably</w:t>
      </w:r>
      <w:r w:rsidR="00EE0367" w:rsidRPr="00871704">
        <w:t>”</w:t>
      </w:r>
      <w:r w:rsidRPr="00871704">
        <w:t xml:space="preserve"> to the other popular implicit measures such as the Implicit Association Test (</w:t>
      </w:r>
      <m:oMath>
        <m:acc>
          <m:accPr>
            <m:chr m:val="̅"/>
            <m:ctrlPr>
              <w:rPr>
                <w:rFonts w:ascii="Cambria Math" w:hAnsi="Cambria Math"/>
                <w:i/>
              </w:rPr>
            </m:ctrlPr>
          </m:accPr>
          <m:e>
            <m:r>
              <w:rPr>
                <w:rFonts w:ascii="Cambria Math" w:hAnsi="Cambria Math"/>
              </w:rPr>
              <m:t>r</m:t>
            </m:r>
          </m:e>
        </m:acc>
      </m:oMath>
      <w:r w:rsidRPr="00871704">
        <w:t xml:space="preserve"> = .22 for addiction and </w:t>
      </w:r>
      <m:oMath>
        <m:acc>
          <m:accPr>
            <m:chr m:val="̅"/>
            <m:ctrlPr>
              <w:rPr>
                <w:rFonts w:ascii="Cambria Math" w:hAnsi="Cambria Math"/>
                <w:i/>
              </w:rPr>
            </m:ctrlPr>
          </m:accPr>
          <m:e>
            <m:r>
              <w:rPr>
                <w:rFonts w:ascii="Cambria Math" w:hAnsi="Cambria Math"/>
              </w:rPr>
              <m:t>r</m:t>
            </m:r>
          </m:e>
        </m:acc>
      </m:oMath>
      <w:r w:rsidRPr="00871704">
        <w:t xml:space="preserve"> = .30 for non-addiction psychopathologies: Greenwald et al., 2009) and evaluative priming methods (</w:t>
      </w:r>
      <m:oMath>
        <m:acc>
          <m:accPr>
            <m:chr m:val="̅"/>
            <m:ctrlPr>
              <w:rPr>
                <w:rFonts w:ascii="Cambria Math" w:hAnsi="Cambria Math"/>
                <w:i/>
              </w:rPr>
            </m:ctrlPr>
          </m:accPr>
          <m:e>
            <m:r>
              <w:rPr>
                <w:rFonts w:ascii="Cambria Math" w:hAnsi="Cambria Math"/>
              </w:rPr>
              <m:t>r</m:t>
            </m:r>
          </m:e>
        </m:acc>
      </m:oMath>
      <w:r w:rsidRPr="00871704">
        <w:t xml:space="preserve">s = .18 to .28: Cameron et al. 2012; Herring et al., 2013; Rooke et al., 2008). </w:t>
      </w:r>
      <w:r w:rsidR="00D065B6" w:rsidRPr="00871704">
        <w:t>Without endorsing the updated meta-analysis, by Vahey et al.’s (2015) line of argument, the current results suggest that the IRAP is therefore on par with other such measures rather than superior to them</w:t>
      </w:r>
      <w:r w:rsidRPr="00871704">
        <w:t>.</w:t>
      </w:r>
      <w:r w:rsidR="00707292" w:rsidRPr="00871704">
        <w:t xml:space="preserve"> This also brings the average criterion association observed for the IRAP closely in line with the average correlation observed across social and personality psychology </w:t>
      </w:r>
      <w:r w:rsidR="00707292" w:rsidRPr="00871704">
        <w:fldChar w:fldCharType="begin"/>
      </w:r>
      <w:r w:rsidR="00C571EC" w:rsidRPr="00871704">
        <w:instrText xml:space="preserve"> ADDIN ZOTERO_ITEM CSL_CITATION {"citationID":"q50R3onD","properties":{"formattedCitation":"(i.e., around r = .2: Hemphill, 2003; Hussey, 2023; Richard et al., 2003)","plainCitation":"(i.e., around r = .2: Hemphill, 2003; Hussey, 2023; Richard et al., 2003)","noteIndex":0},"citationItems":[{"id":1486,"uris":["http://zotero.org/users/1687755/items/GGUEF98U"],"itemData":{"id":1486,"type":"article-journal","container-title":"American Psychologist","DOI":"10.1037/0003-066X.58.1.78","ISSN":"0003-066X","issue":"1","language":"en","page":"78-79","source":"CrossRef","title":"Interpreting the magnitudes of correlation coefficients","volume":"58","author":[{"family":"Hemphill","given":"James F."}],"issued":{"date-parts":[["2003"]]}},"label":"page","prefix":"i.e., around r = .2: "},{"id":5224,"uris":["http://zotero.org/users/1687755/items/V6AXJF9Q"],"itemData":{"id":5224,"type":"article-journal","abstract":"Following recent calls to examine the replicability of behavioral research, I examined two key determinants of replicability, namely sample sizes and statistical power, in research using the Implicit Relational Assessment Procedure (IRAP). A systematic review was used to gather all published studies employing the IRAP and extract their designs and sample sizes. The use of Null Hypothesis Significance Testing was found to be nearly ubiquitous, justifying the examination of statistical power. Using an established method, median sample sizes were used to estimate the statistical power to detect the average published effect size in psychological research (r = .20) in each year. Sample sizes and the statistical power they imply were found to be very low in IRAP studies (in 2022: median N = 64, power = 0.34). At the current rate of growth, the median study will only reach the recommended minimum power of at least 0.80 by 2080. The IRAP literature was directly compared with the Social and Personality psychology literature using an existing dataset. Median sample sizes and their implied statistical power were lower in the IRAP literature in all years than they were in Social and Personality psychology at the beginning of the Replication Crisis in 2011, and indeed in all subsequent years. Improvements in sample sizes and statistical power in the Social and Personality psychology literature were significantly and substantially larger than in the IRAP literature. Direct tests of the reproducibility and replicability of claims in the IRAP literature are needed.","container-title":"Journal of Contextual Behavioral Science","DOI":"10.1016/j.jcbs.2023.06.008","ISSN":"2212-1447","journalAbbreviation":"Journal of Contextual Behavioral Science","page":"86-97","source":"ScienceDirect","title":"A systematic review of null hypothesis significance testing, sample sizes, and statistical power in research using the Implicit Relational Assessment Procedure","volume":"29","author":[{"family":"Hussey","given":"Ian"}],"issued":{"date-parts":[["2023",7,1]]}}},{"id":3749,"uris":["http://zotero.org/users/1687755/items/K2AM5ASV"],"itemData":{"id":3749,"type":"article-journal","container-title":"Review of General Psychology","DOI":"10.1037/1089-2680.7.4.331","ISSN":"1939-1552, 1089-2680","issue":"4","language":"en","page":"331-363","source":"Crossref","title":"One Hundred Years of Social Psychology Quantitatively Described","volume":"7","author":[{"family":"Richard","given":"F. D."},{"family":"Bond","given":"Charles F."},{"family":"Stokes-Zoota","given":"Juli J."}],"issued":{"date-parts":[["2003"]]}}}],"schema":"https://github.com/citation-style-language/schema/raw/master/csl-citation.json"} </w:instrText>
      </w:r>
      <w:r w:rsidR="00707292" w:rsidRPr="00871704">
        <w:fldChar w:fldCharType="separate"/>
      </w:r>
      <w:r w:rsidR="00C571EC" w:rsidRPr="00871704">
        <w:rPr>
          <w:noProof/>
        </w:rPr>
        <w:t xml:space="preserve">(i.e., around </w:t>
      </w:r>
      <w:r w:rsidR="00C571EC" w:rsidRPr="00871704">
        <w:rPr>
          <w:i/>
          <w:iCs/>
          <w:noProof/>
        </w:rPr>
        <w:t>r</w:t>
      </w:r>
      <w:r w:rsidR="00C571EC" w:rsidRPr="00871704">
        <w:rPr>
          <w:noProof/>
        </w:rPr>
        <w:t xml:space="preserve"> = .2: Hemphill, 2003; Hussey, 2023; Richard et al., 2003)</w:t>
      </w:r>
      <w:r w:rsidR="00707292" w:rsidRPr="00871704">
        <w:fldChar w:fldCharType="end"/>
      </w:r>
      <w:r w:rsidR="00A7121C" w:rsidRPr="00871704">
        <w:t xml:space="preserve">. </w:t>
      </w:r>
    </w:p>
    <w:p w14:paraId="78195346" w14:textId="77777777" w:rsidR="000B1ABC" w:rsidRPr="00871704" w:rsidRDefault="00000000" w:rsidP="0005400B">
      <w:r w:rsidRPr="00871704">
        <w:t xml:space="preserve">New power analyses </w:t>
      </w:r>
      <w:r w:rsidR="006975DC" w:rsidRPr="00871704">
        <w:t xml:space="preserve">mirroring the original ones were then conducted using this new meta-analytic effect size. These </w:t>
      </w:r>
      <w:r w:rsidRPr="00871704">
        <w:t>suggest</w:t>
      </w:r>
      <w:r w:rsidR="00D3019A" w:rsidRPr="00871704">
        <w:t>ed</w:t>
      </w:r>
      <w:r w:rsidRPr="00871704">
        <w:t xml:space="preserve"> that a much larger number of participants is required</w:t>
      </w:r>
      <w:r w:rsidR="00D3019A" w:rsidRPr="00871704">
        <w:t xml:space="preserve"> </w:t>
      </w:r>
      <w:r w:rsidR="006975DC" w:rsidRPr="00871704">
        <w:t xml:space="preserve">in future IRAP studies </w:t>
      </w:r>
      <w:r w:rsidR="00D3019A" w:rsidRPr="00871704">
        <w:t>than recommended</w:t>
      </w:r>
      <w:r w:rsidR="006975DC" w:rsidRPr="00871704">
        <w:t xml:space="preserve"> by Vahey et al. (2015)</w:t>
      </w:r>
      <w:r w:rsidR="00D3019A" w:rsidRPr="00871704">
        <w:t xml:space="preserve">. For example, </w:t>
      </w:r>
      <w:r w:rsidR="00F055F7" w:rsidRPr="00871704">
        <w:t>although Vahey et al. (2015)</w:t>
      </w:r>
      <w:r w:rsidR="00D3019A" w:rsidRPr="00871704">
        <w:t xml:space="preserve"> </w:t>
      </w:r>
      <w:r w:rsidR="00F055F7" w:rsidRPr="00871704">
        <w:t xml:space="preserve">make sample size recommendations for several different analyses and designs, it is most frequently cited for the specific recommendation of </w:t>
      </w:r>
      <w:r w:rsidR="006975DC" w:rsidRPr="00871704">
        <w:rPr>
          <w:i/>
          <w:iCs/>
        </w:rPr>
        <w:t>N</w:t>
      </w:r>
      <w:r w:rsidR="006975DC" w:rsidRPr="00871704">
        <w:t xml:space="preserve"> &gt; </w:t>
      </w:r>
      <w:r w:rsidR="00D3019A" w:rsidRPr="00871704">
        <w:t>37</w:t>
      </w:r>
      <w:r w:rsidR="00F055F7" w:rsidRPr="00871704">
        <w:t xml:space="preserve"> </w:t>
      </w:r>
      <w:r w:rsidR="006975DC" w:rsidRPr="00871704">
        <w:t xml:space="preserve">to detect a </w:t>
      </w:r>
      <w:r w:rsidR="00D3019A" w:rsidRPr="00871704">
        <w:t>first-order correlation</w:t>
      </w:r>
      <w:r w:rsidR="00F055F7" w:rsidRPr="00871704">
        <w:t xml:space="preserve"> (alpha = 0.5, one-tailed, 80% power; e.g., Kavanagh </w:t>
      </w:r>
      <w:r w:rsidR="006D38BA" w:rsidRPr="00871704">
        <w:t>et al. 2022</w:t>
      </w:r>
      <w:r w:rsidR="00F055F7" w:rsidRPr="00871704">
        <w:t>). T</w:t>
      </w:r>
      <w:r w:rsidR="00D3019A" w:rsidRPr="00871704">
        <w:t xml:space="preserve">he </w:t>
      </w:r>
      <w:r w:rsidR="00F055F7" w:rsidRPr="00871704">
        <w:t xml:space="preserve">sample size recommendation based on the updated meta-analytic effect size is </w:t>
      </w:r>
      <w:r w:rsidR="00F055F7" w:rsidRPr="00871704">
        <w:rPr>
          <w:i/>
          <w:iCs/>
        </w:rPr>
        <w:t>N</w:t>
      </w:r>
      <w:r w:rsidR="00F055F7" w:rsidRPr="00871704">
        <w:t xml:space="preserve"> &gt; </w:t>
      </w:r>
      <w:r w:rsidR="00FE6607" w:rsidRPr="00871704">
        <w:t xml:space="preserve">273 for a one-tailed correlation, and 346 for the much more commonly used </w:t>
      </w:r>
      <w:r w:rsidR="007A2826" w:rsidRPr="00871704">
        <w:t xml:space="preserve">and less liberal </w:t>
      </w:r>
      <w:r w:rsidR="00FE6607" w:rsidRPr="00871704">
        <w:t>two-tailed correlation</w:t>
      </w:r>
      <w:r w:rsidR="00F055F7" w:rsidRPr="00871704">
        <w:t xml:space="preserve">. It is worth noting that </w:t>
      </w:r>
      <w:r w:rsidRPr="00871704">
        <w:t xml:space="preserve">between 0% and 2.1% of </w:t>
      </w:r>
      <w:r w:rsidR="00F055F7" w:rsidRPr="00871704">
        <w:t xml:space="preserve">published </w:t>
      </w:r>
      <w:r w:rsidRPr="00871704">
        <w:t xml:space="preserve">original research using the </w:t>
      </w:r>
      <w:r w:rsidR="00F055F7" w:rsidRPr="00871704">
        <w:t xml:space="preserve">IRAP </w:t>
      </w:r>
      <w:r w:rsidR="00270AEF" w:rsidRPr="00871704">
        <w:t xml:space="preserve">has </w:t>
      </w:r>
      <w:r w:rsidR="00F055F7" w:rsidRPr="00871704">
        <w:t xml:space="preserve">included </w:t>
      </w:r>
      <w:r w:rsidRPr="00871704">
        <w:t xml:space="preserve">sample size meeting these </w:t>
      </w:r>
      <w:r w:rsidR="004A2544" w:rsidRPr="00871704">
        <w:t>criteria</w:t>
      </w:r>
      <w:r w:rsidR="00DD32AB" w:rsidRPr="00871704">
        <w:t xml:space="preserve">, according to a recent systematic review of </w:t>
      </w:r>
      <w:r w:rsidR="001B3064" w:rsidRPr="00871704">
        <w:t>IRAP</w:t>
      </w:r>
      <w:r w:rsidR="00DD32AB" w:rsidRPr="00871704">
        <w:t xml:space="preserve"> research </w:t>
      </w:r>
      <w:r w:rsidR="001B3064" w:rsidRPr="00871704">
        <w:t xml:space="preserve">published between 2006 and 2022 </w:t>
      </w:r>
      <w:r w:rsidR="007F77A7" w:rsidRPr="00871704">
        <w:fldChar w:fldCharType="begin"/>
      </w:r>
      <w:r w:rsidR="001B1ED8" w:rsidRPr="00871704">
        <w:instrText xml:space="preserve"> ADDIN ZOTERO_ITEM CSL_CITATION {"citationID":"okLHLOkX","properties":{"formattedCitation":"(188 studies in 150 publications, median N = 41, range = 9 to 210: Hussey, 2023)","plainCitation":"(188 studies in 150 publications, median N = 41, range = 9 to 210: Hussey, 2023)","noteIndex":0},"citationItems":[{"id":5224,"uris":["http://zotero.org/users/1687755/items/V6AXJF9Q"],"itemData":{"id":5224,"type":"article-journal","abstract":"Following recent calls to examine the replicability of behavioral research, I examined two key determinants of replicability, namely sample sizes and statistical power, in research using the Implicit Relational Assessment Procedure (IRAP). A systematic review was used to gather all published studies employing the IRAP and extract their designs and sample sizes. The use of Null Hypothesis Significance Testing was found to be nearly ubiquitous, justifying the examination of statistical power. Using an established method, median sample sizes were used to estimate the statistical power to detect the average published effect size in psychological research (r = .20) in each year. Sample sizes and the statistical power they imply were found to be very low in IRAP studies (in 2022: median N = 64, power = 0.34). At the current rate of growth, the median study will only reach the recommended minimum power of at least 0.80 by 2080. The IRAP literature was directly compared with the Social and Personality psychology literature using an existing dataset. Median sample sizes and their implied statistical power were lower in the IRAP literature in all years than they were in Social and Personality psychology at the beginning of the Replication Crisis in 2011, and indeed in all subsequent years. Improvements in sample sizes and statistical power in the Social and Personality psychology literature were significantly and substantially larger than in the IRAP literature. Direct tests of the reproducibility and replicability of claims in the IRAP literature are needed.","container-title":"Journal of Contextual Behavioral Science","DOI":"10.1016/j.jcbs.2023.06.008","ISSN":"2212-1447","journalAbbreviation":"Journal of Contextual Behavioral Science","page":"86-97","source":"ScienceDirect","title":"A systematic review of null hypothesis significance testing, sample sizes, and statistical power in research using the Implicit Relational Assessment Procedure","volume":"29","author":[{"family":"Hussey","given":"Ian"}],"issued":{"date-parts":[["2023",7,1]]}},"label":"page","prefix":"188 studies in 150 publications, median N = 41, range = 9 to 210: "}],"schema":"https://github.com/citation-style-language/schema/raw/master/csl-citation.json"} </w:instrText>
      </w:r>
      <w:r w:rsidR="007F77A7" w:rsidRPr="00871704">
        <w:fldChar w:fldCharType="separate"/>
      </w:r>
      <w:r w:rsidR="001B1ED8" w:rsidRPr="00871704">
        <w:rPr>
          <w:noProof/>
        </w:rPr>
        <w:t xml:space="preserve">(188 studies in 150 publications, median </w:t>
      </w:r>
      <w:r w:rsidR="001B1ED8" w:rsidRPr="00871704">
        <w:rPr>
          <w:i/>
          <w:iCs/>
          <w:noProof/>
        </w:rPr>
        <w:t>N</w:t>
      </w:r>
      <w:r w:rsidR="001B1ED8" w:rsidRPr="00871704">
        <w:rPr>
          <w:noProof/>
        </w:rPr>
        <w:t xml:space="preserve"> = 41, range = 9 to 210: Hussey, 2023)</w:t>
      </w:r>
      <w:r w:rsidR="007F77A7" w:rsidRPr="00871704">
        <w:fldChar w:fldCharType="end"/>
      </w:r>
      <w:r w:rsidR="002D63BA" w:rsidRPr="00871704">
        <w:t>.</w:t>
      </w:r>
      <w:r w:rsidR="00276883" w:rsidRPr="00871704">
        <w:t xml:space="preserve"> </w:t>
      </w:r>
    </w:p>
    <w:p w14:paraId="7E9C94F8" w14:textId="77777777" w:rsidR="00991577" w:rsidRPr="00034410" w:rsidRDefault="00000000" w:rsidP="00034410">
      <w:r w:rsidRPr="00871704">
        <w:t>With that said, it is important to acknowledge that the primary reason to calculate a new meta-analysis was to illustrate the combined impact of the errors on the results rather than to endorse the results of this new meta-analysis</w:t>
      </w:r>
      <w:r w:rsidR="00372F8A" w:rsidRPr="00871704">
        <w:t xml:space="preserve"> or power analysis</w:t>
      </w:r>
      <w:r w:rsidRPr="00871704">
        <w:t>. In my opinion, Vahey et al.’s (2015) approach of taking different types of effects between the IRAP and other criterion tasks is fundamentally flawed as it combines apples with oranges</w:t>
      </w:r>
      <w:r w:rsidR="00D22F72" w:rsidRPr="00871704">
        <w:t xml:space="preserve"> on multiple different fronts</w:t>
      </w:r>
      <w:r w:rsidRPr="00871704">
        <w:t>. All the following effects were meta-analyzed together: effect sizes representing the magnitude of</w:t>
      </w:r>
      <w:r w:rsidR="00EC2421" w:rsidRPr="00871704">
        <w:t xml:space="preserve"> the compatibility effect on the </w:t>
      </w:r>
      <w:r w:rsidRPr="00871704">
        <w:t>IRAP</w:t>
      </w:r>
      <w:r w:rsidR="00EC2421" w:rsidRPr="00871704">
        <w:t xml:space="preserve"> itself</w:t>
      </w:r>
      <w:r w:rsidR="00D22F72" w:rsidRPr="00871704">
        <w:t>,</w:t>
      </w:r>
      <w:r w:rsidRPr="00871704">
        <w:t xml:space="preserve"> </w:t>
      </w:r>
      <w:r w:rsidR="00EC2421" w:rsidRPr="00871704">
        <w:t>interaction effects between IRAP trial types and group allocations</w:t>
      </w:r>
      <w:r w:rsidR="00D22F72" w:rsidRPr="00871704">
        <w:t>,</w:t>
      </w:r>
      <w:r w:rsidR="00EC2421" w:rsidRPr="00871704">
        <w:t xml:space="preserve"> and correlations between IRAP trial types and criterion tasks. In doing</w:t>
      </w:r>
      <w:r w:rsidR="00EC2421" w:rsidRPr="00034410">
        <w:t xml:space="preserve"> so, different types of IRAP data were combined as one: data from single trial-types, overall effects for the whole task, and effects averaging the trial types in different ways. Lastly, effects treating the IRAP as the dependent variable, the independent variable, and purely associative effects were combined</w:t>
      </w:r>
      <w:r w:rsidR="00AC69B4" w:rsidRPr="00034410">
        <w:t xml:space="preserve"> as one. </w:t>
      </w:r>
      <w:r w:rsidR="00CD0505" w:rsidRPr="00034410">
        <w:t xml:space="preserve">It is exceptionally difficult to know what the resulting meta-analyzed effect size is an estimate </w:t>
      </w:r>
      <w:r w:rsidR="00CD0505" w:rsidRPr="00034410">
        <w:rPr>
          <w:i/>
          <w:iCs/>
        </w:rPr>
        <w:t>of</w:t>
      </w:r>
      <w:r w:rsidR="00CD0505" w:rsidRPr="00034410">
        <w:t>, i.e. what the estimand is</w:t>
      </w:r>
      <w:r w:rsidR="00E35347" w:rsidRPr="00034410">
        <w:t xml:space="preserve">, and whether it applies to the type of effect that a researcher may wish to observe in their own future work. For example, to what degree is the interaction effect between a depression IRAP’s trial types and high vs. low experiential-avoidance group informative to a </w:t>
      </w:r>
      <w:r w:rsidR="00303C97" w:rsidRPr="00034410">
        <w:t xml:space="preserve">separate </w:t>
      </w:r>
      <w:r w:rsidR="00E35347" w:rsidRPr="00034410">
        <w:t xml:space="preserve">study on the correlation between </w:t>
      </w:r>
      <w:r w:rsidR="00303C97" w:rsidRPr="00034410">
        <w:t>self-reported self-esteem and a self-esteem IRAP in a prisoner population?</w:t>
      </w:r>
      <w:r w:rsidR="00F35A2C" w:rsidRPr="00034410">
        <w:t xml:space="preserve"> </w:t>
      </w:r>
      <w:r w:rsidR="00C00461" w:rsidRPr="00034410">
        <w:t>I argue that this apples-with-oranges approach is erroneous and leads to misleading conclusions, but the point of the verifications presented here is to highlight that Vahey et al.’s (2015) erroneous analytic approach was also erroneously implemented.</w:t>
      </w:r>
    </w:p>
    <w:p w14:paraId="580BE78D" w14:textId="77777777" w:rsidR="00A261A9" w:rsidRPr="00034410" w:rsidRDefault="00000000" w:rsidP="00034410">
      <w:pPr>
        <w:pStyle w:val="Heading2"/>
      </w:pPr>
      <w:r w:rsidRPr="00034410">
        <w:t>Limitations</w:t>
      </w:r>
    </w:p>
    <w:p w14:paraId="5BBEF6FE" w14:textId="77777777" w:rsidR="00991577" w:rsidRDefault="00000000" w:rsidP="00B31D1D">
      <w:r w:rsidRPr="00034410">
        <w:t xml:space="preserve">It </w:t>
      </w:r>
      <w:r w:rsidR="002760FA" w:rsidRPr="00034410">
        <w:t xml:space="preserve">is possible that </w:t>
      </w:r>
      <w:r w:rsidR="00171EBC" w:rsidRPr="00034410">
        <w:t xml:space="preserve">these verification analyses themselves contain errors. The purpose of a verification report is to attempt to independently verify the results presented in the original article and do not represent the last word on error detection. </w:t>
      </w:r>
      <w:r w:rsidR="00E4650E" w:rsidRPr="00034410">
        <w:t xml:space="preserve">Equally, perhaps there is some way to reproduce the original results (e.g., of the meta-analysis) in a way that I have not considered, </w:t>
      </w:r>
      <w:r w:rsidR="00E4650E" w:rsidRPr="00034410">
        <w:lastRenderedPageBreak/>
        <w:t xml:space="preserve">and my not being able to reproduce them does not necessarily mean they are non-reproducible in some absolute manner. </w:t>
      </w:r>
      <w:r w:rsidR="005328E2">
        <w:t>V</w:t>
      </w:r>
      <w:r w:rsidR="00D85DD8" w:rsidRPr="00034410">
        <w:t xml:space="preserve">erification attempts </w:t>
      </w:r>
      <w:r w:rsidR="005328E2">
        <w:t xml:space="preserve">are in general enhanced with </w:t>
      </w:r>
      <w:r w:rsidR="00D85DD8" w:rsidRPr="00034410">
        <w:t xml:space="preserve">access to the original code. Unfortunately, however, the first author of the original article declined to share their code. </w:t>
      </w:r>
    </w:p>
    <w:p w14:paraId="48166842" w14:textId="77777777" w:rsidR="00F545F5" w:rsidRPr="001951D7" w:rsidRDefault="00000000" w:rsidP="00F545F5">
      <w:pPr>
        <w:pStyle w:val="Heading2"/>
      </w:pPr>
      <w:r w:rsidRPr="001951D7">
        <w:t>Future research on error detection in meta-analyses</w:t>
      </w:r>
    </w:p>
    <w:p w14:paraId="1EAA7ABB" w14:textId="77777777" w:rsidR="00F545F5" w:rsidRPr="001951D7" w:rsidRDefault="00000000" w:rsidP="00F545F5">
      <w:r w:rsidRPr="001951D7">
        <w:t xml:space="preserve">The recommendations of much of the previous meta-science research on errors in meta-analyses have been recommendations to the authors of meta-analyses themselves on how to prevent errors </w:t>
      </w:r>
      <w:r w:rsidRPr="001951D7">
        <w:fldChar w:fldCharType="begin"/>
      </w:r>
      <w:r w:rsidRPr="001951D7">
        <w:instrText xml:space="preserve"> ADDIN ZOTERO_ITEM CSL_CITATION {"citationID":"NMi38YbJ","properties":{"formattedCitation":"(e.g., Lakens et al., 2016; L\\uc0\\u243{}pez-Nicol\\uc0\\u225{}s et al., 2022)","plainCitation":"(e.g., Lakens et al., 2016; López-Nicolás et al., 2022)","noteIndex":0},"citationItems":[{"id":393,"uris":["http://zotero.org/users/1687755/items/P27AF84W"],"itemData":{"id":393,"type":"article-journal","abstract":"Meta-analyses play an important role in cumulative science by combining information across multiple studies and attempting to provide effect size estimates corrected for publication bias. Research on the reproducibility of meta-analyses reveals that errors are common, and the percentage of effect size calculations that cannot be reproduced is much higher than is desirable. Furthermore, the flexibility in inclusion criteria when performing a meta-analysis, combined with the many conflicting conclusions drawn by meta-analyses of the same set of studies performed by different researchers, has led some people to doubt whether meta-analyses can provide objective conclusions.","container-title":"BMC Psychology","DOI":"10.1186/s40359-016-0126-3","ISSN":"2050-7283","issue":"1","journalAbbreviation":"BMC Psychol","language":"en","page":"24","source":"Springer Link","title":"On the reproducibility of meta-analyses: six practical recommendations","title-short":"On the reproducibility of meta-analyses","volume":"4","author":[{"family":"Lakens","given":"Daniël"},{"family":"Hilgard","given":"Joe"},{"family":"Staaks","given":"Janneke"}],"issued":{"date-parts":[["2016",5,31]]}},"label":"page","prefix":"e.g., "},{"id":4600,"uris":["http://zotero.org/users/1687755/items/MH7F7IGH"],"itemData":{"id":4600,"type":"article-journal","abstract":"Meta-analysis is a powerful and important tool to synthesize the literature about a research topic. Like other kinds of research, meta-analyses must be reproducible to be compliant with the principles of the scientific method. Furthermore, reproducible meta-analyses can be easily updated with new data and reanalysed applying new and more refined analysis techniques. We attempted to empirically assess the prevalence of transparency and reproducibility-related reporting practices in published meta-analyses from clinical psychology by examining a random sample of 100 meta-analyses. Our purpose was to identify the key points that could be improved, with the aim of providing some recommendations for carrying out reproducible meta-analyses. We conducted a meta-review of meta-analyses of psychological interventions published between 2000 and 2020. We searched PubMed, PsycInfo and Web of Science databases. A structured coding form to assess transparency indicators was created based on previous studies and existing meta-analysis guidelines. We found major issues concerning: completely reproducible search procedures report, specification of the exact method to compute effect sizes, choice of weighting factors and estimators, lack of availability of the raw statistics used to compute the effect size and of interoperability of available data, and practically total absence of analysis script code sharing. Based on our findings, we conclude with recommendations intended to improve the transparency, openness, and reproducibility-related reporting practices of meta-analyses in clinical psychology and related areas.","container-title":"Behavior Research Methods","DOI":"10.3758/s13428-021-01644-z","ISSN":"1554-3528","issue":"1","journalAbbreviation":"Behav Res","language":"en","page":"334-349","source":"Springer Link","title":"A meta-review of transparency and reproducibility-related reporting practices in published meta-analyses on clinical psychological interventions (2000–2020)","volume":"54","author":[{"family":"López-Nicolás","given":"Rubén"},{"family":"López-López","given":"José Antonio"},{"family":"Rubio-Aparicio","given":"María"},{"family":"Sánchez-Meca","given":"Julio"}],"issued":{"date-parts":[["2022",2,1]]}}}],"schema":"https://github.com/citation-style-language/schema/raw/master/csl-citation.json"} </w:instrText>
      </w:r>
      <w:r w:rsidRPr="001951D7">
        <w:fldChar w:fldCharType="separate"/>
      </w:r>
      <w:r w:rsidRPr="001951D7">
        <w:t>(e.g., Lakens et al., 2016; López-Nicolás et al., 2022)</w:t>
      </w:r>
      <w:r w:rsidRPr="001951D7">
        <w:fldChar w:fldCharType="end"/>
      </w:r>
      <w:r w:rsidRPr="001951D7">
        <w:t xml:space="preserve">. Relatively fewer recommendations, or indeed general strategies, have been made for researchers engaged in error detection. Kadlec et al. </w:t>
      </w:r>
      <w:r w:rsidRPr="001951D7">
        <w:fldChar w:fldCharType="begin"/>
      </w:r>
      <w:r w:rsidRPr="001951D7">
        <w:instrText xml:space="preserve"> ADDIN ZOTERO_ITEM CSL_CITATION {"citationID":"4O3TYDeD","properties":{"formattedCitation":"(2023)","plainCitation":"(2023)","noteIndex":0},"citationItems":[{"id":54,"uris":["http://zotero.org/users/1687755/items/WWKVT2EA"],"itemData":{"id":54,"type":"article-journal","abstract":"Meta-analysis and meta-regression are often highly cited and may influence practice. Unfortunately, statistical errors in meta-analyses are widespread and can lead to flawed conclusions. The purpose of this article was to review common statistical errors in meta-analyses and to document their frequency in highly cited meta-analyses from strength and conditioning research.","container-title":"Sports Medicine","DOI":"10.1007/s40279-022-01766-0","ISSN":"1179-2035","issue":"2","journalAbbreviation":"Sports Med","language":"en","page":"313-325","source":"Springer Link","title":"With Great Power Comes Great Responsibility: Common Errors in Meta-Analyses and Meta-Regressions in Strength &amp; Conditioning Research","title-short":"With Great Power Comes Great Responsibility","volume":"53","author":[{"family":"Kadlec","given":"Daniel"},{"family":"Sainani","given":"Kristin L."},{"family":"Nimphius","given":"Sophia"}],"issued":{"date-parts":[["2023",2,1]]}},"label":"page","suppress-author":true}],"schema":"https://github.com/citation-style-language/schema/raw/master/csl-citation.json"} </w:instrText>
      </w:r>
      <w:r w:rsidRPr="001951D7">
        <w:fldChar w:fldCharType="separate"/>
      </w:r>
      <w:r w:rsidRPr="001951D7">
        <w:rPr>
          <w:noProof/>
        </w:rPr>
        <w:t>(2023)</w:t>
      </w:r>
      <w:r w:rsidRPr="001951D7">
        <w:fldChar w:fldCharType="end"/>
      </w:r>
      <w:r w:rsidRPr="001951D7">
        <w:t xml:space="preserve"> provide an excellent example of this, with both descriptions of their general error detection strategies and concrete recommendations such as regarding Standardized Mean Difference effect sizes (e.g., Cohen’s </w:t>
      </w:r>
      <w:r w:rsidRPr="001951D7">
        <w:rPr>
          <w:i/>
          <w:iCs/>
        </w:rPr>
        <w:t>d</w:t>
      </w:r>
      <w:r w:rsidRPr="001951D7">
        <w:t xml:space="preserve">, Hedges’ </w:t>
      </w:r>
      <w:r w:rsidRPr="001951D7">
        <w:rPr>
          <w:i/>
          <w:iCs/>
        </w:rPr>
        <w:t>g</w:t>
      </w:r>
      <w:r w:rsidRPr="001951D7">
        <w:t>) that are larger than 3 with great suspicion. The current research offers some additional suggestions and guiding principles for error detection in meta-analyses:</w:t>
      </w:r>
    </w:p>
    <w:p w14:paraId="0D3307BE" w14:textId="77777777" w:rsidR="00F545F5" w:rsidRDefault="00000000" w:rsidP="00F545F5">
      <w:pPr>
        <w:pStyle w:val="ListParagraph"/>
        <w:numPr>
          <w:ilvl w:val="0"/>
          <w:numId w:val="5"/>
        </w:numPr>
        <w:ind w:left="360" w:hanging="270"/>
      </w:pPr>
      <w:r w:rsidRPr="001951D7">
        <w:t xml:space="preserve">Check whether reported intervals are symmetrical around the point estimate, including both intervals around estimates from original studies and meta-analysis results. The asymmetry of intervals can provide a clue that something may be amiss, depending on their compatibility with the reported model and transformations. </w:t>
      </w:r>
    </w:p>
    <w:p w14:paraId="79BCB326" w14:textId="77777777" w:rsidR="0014779F" w:rsidRPr="001951D7" w:rsidRDefault="00000000" w:rsidP="00F545F5">
      <w:pPr>
        <w:pStyle w:val="ListParagraph"/>
        <w:numPr>
          <w:ilvl w:val="0"/>
          <w:numId w:val="5"/>
        </w:numPr>
        <w:ind w:left="360" w:hanging="270"/>
      </w:pPr>
      <w:r>
        <w:t>Plots that appear to have been created using software other than commonly employed meta-analysis software (e.g., common R packages for this, Cochrane’s RevMan, Comprehensive Meta-Analysis, etc) may be more likely to contain or expose errors</w:t>
      </w:r>
      <w:r w:rsidR="00841B98">
        <w:t xml:space="preserve">. </w:t>
      </w:r>
    </w:p>
    <w:p w14:paraId="5731C2AC" w14:textId="2FA84543" w:rsidR="00F545F5" w:rsidRPr="001951D7" w:rsidRDefault="00000000" w:rsidP="00F545F5">
      <w:pPr>
        <w:pStyle w:val="ListParagraph"/>
        <w:numPr>
          <w:ilvl w:val="0"/>
          <w:numId w:val="5"/>
        </w:numPr>
        <w:ind w:left="360" w:hanging="270"/>
      </w:pPr>
      <w:r>
        <w:t xml:space="preserve">Information is sometimes repeated between plots and tables, e.g., between forest and funnel plots. This provides a vector for </w:t>
      </w:r>
      <w:r w:rsidRPr="001951D7">
        <w:t>error-checking</w:t>
      </w:r>
      <w:r>
        <w:t xml:space="preserve"> that data points which should be identical are indeed so</w:t>
      </w:r>
      <w:r w:rsidRPr="001951D7">
        <w:t xml:space="preserve">. For example, forest plots often present effect sizes both graphically and numerically, and forest plots and funnel plots present both effect sizes and (repressions of) their precision (i.e., Confidence Intervals vs. Standard Errors, which can be calculated from one another: SE = </w:t>
      </w:r>
      <w:r w:rsidR="008B2188">
        <w:t>[</w:t>
      </w:r>
      <w:r w:rsidRPr="001951D7">
        <w:t>95% CI</w:t>
      </w:r>
      <w:r w:rsidR="008B2188">
        <w:t xml:space="preserve"> upper – 95% CI lower] </w:t>
      </w:r>
      <w:r w:rsidRPr="001951D7">
        <w:t xml:space="preserve">/ [1.96 </w:t>
      </w:r>
      <m:oMath>
        <m:r>
          <w:rPr>
            <w:rFonts w:ascii="Cambria Math" w:hAnsi="Cambria Math"/>
          </w:rPr>
          <m:t>×</m:t>
        </m:r>
      </m:oMath>
      <w:r w:rsidRPr="001951D7">
        <w:t xml:space="preserve"> 2]). </w:t>
      </w:r>
    </w:p>
    <w:p w14:paraId="2B0622B8" w14:textId="77777777" w:rsidR="00F545F5" w:rsidRPr="001951D7" w:rsidRDefault="00000000" w:rsidP="00F545F5">
      <w:pPr>
        <w:pStyle w:val="ListParagraph"/>
        <w:numPr>
          <w:ilvl w:val="0"/>
          <w:numId w:val="5"/>
        </w:numPr>
        <w:ind w:left="360" w:hanging="270"/>
      </w:pPr>
      <w:r w:rsidRPr="001951D7">
        <w:t xml:space="preserve">Data can be extracted from plots for error checking using free and Open Source tools such as WebPlotDigitizer </w:t>
      </w:r>
      <w:r w:rsidRPr="001951D7">
        <w:fldChar w:fldCharType="begin"/>
      </w:r>
      <w:r w:rsidRPr="001951D7">
        <w:instrText xml:space="preserve"> ADDIN ZOTERO_ITEM CSL_CITATION {"citationID":"dFNyqE7Z","properties":{"formattedCitation":"(Marin et al., 2017)","plainCitation":"(Marin et al., 2017)","noteIndex":0},"citationItems":[{"id":29148,"uris":["http://zotero.org/users/1687755/items/FHKWFL29"],"itemData":{"id":29148,"type":"article","abstract":"In this contribution, we present WebPlotDigitizer, a polyvalent and free software developed to facilitate easy and accurate data extraction from a variety of plot types. We describe the numerous features of this numerical tool and present its relevance when applied to astrophysical archival research. We exploit WebPlotDigitizer to extract ultraviolet spectropolarimetric spectra from old publications that used the Hubble Space Telescope, Lick Observatory 3m Shane telescope and Astro-2 mission to observe the Seyfert-2 AGN NGC 1068. By doing so, we compile all the existing ultraviolet polarimetric data on NGC 1068 to prepare the ground for further investigations with the future high-resolution spectropolarimeter POLLUX on-board of the proposed Large UV/Optical/Infrared Surveyor (LUVOIR) NASA mission.","note":"arXiv:1708.02025 [astro-ph]","number":"arXiv:1708.02025","publisher":"arXiv","source":"arXiv.org","title":"WebPlotDigitizer, a polyvalent and free software to extract spectra from old astronomical publications: application to ultraviolet spectropolarimetry","title-short":"WebPlotDigitizer, a polyvalent and free software to extract spectra from old astronomical publications","URL":"http://arxiv.org/abs/1708.02025","author":[{"family":"Marin","given":"F."},{"family":"Rohatgi","given":"A."},{"family":"Charlot","given":"S."}],"accessed":{"date-parts":[["2024",8,1]]},"issued":{"date-parts":[["2017",8,7]]}}}],"schema":"https://github.com/citation-style-language/schema/raw/master/csl-citation.json"} </w:instrText>
      </w:r>
      <w:r w:rsidRPr="001951D7">
        <w:fldChar w:fldCharType="separate"/>
      </w:r>
      <w:r w:rsidRPr="001951D7">
        <w:rPr>
          <w:noProof/>
        </w:rPr>
        <w:t>(Marin et al., 2017)</w:t>
      </w:r>
      <w:r w:rsidRPr="001951D7">
        <w:fldChar w:fldCharType="end"/>
      </w:r>
      <w:r w:rsidRPr="001951D7">
        <w:t>.</w:t>
      </w:r>
    </w:p>
    <w:p w14:paraId="256EA557" w14:textId="77777777" w:rsidR="00F545F5" w:rsidRPr="001951D7" w:rsidRDefault="00000000" w:rsidP="00F545F5">
      <w:pPr>
        <w:pStyle w:val="ListParagraph"/>
        <w:numPr>
          <w:ilvl w:val="0"/>
          <w:numId w:val="5"/>
        </w:numPr>
        <w:ind w:left="360" w:hanging="270"/>
      </w:pPr>
      <w:r w:rsidRPr="001951D7">
        <w:t>Systemic checking of effect size extractions and conversion can be time-consuming. However, initial spot checks can easily be performed on the most extreme effect sizes, which are most likely to have involved an extraction or conversion error (e.g., confusing SE with SD: see Kadlec et al., 2023).</w:t>
      </w:r>
    </w:p>
    <w:p w14:paraId="20C9D2CC" w14:textId="77777777" w:rsidR="00F545F5" w:rsidRPr="001951D7" w:rsidRDefault="00000000" w:rsidP="00F545F5">
      <w:pPr>
        <w:pStyle w:val="ListParagraph"/>
        <w:numPr>
          <w:ilvl w:val="0"/>
          <w:numId w:val="5"/>
        </w:numPr>
        <w:ind w:left="360" w:hanging="270"/>
      </w:pPr>
      <w:r>
        <w:t xml:space="preserve">The </w:t>
      </w:r>
      <w:r w:rsidRPr="001951D7">
        <w:t xml:space="preserve">accurate application of the inclusion criteria can also be </w:t>
      </w:r>
      <w:r>
        <w:t>checked, whether systematically or using spot checks</w:t>
      </w:r>
      <w:r w:rsidRPr="001951D7">
        <w:t xml:space="preserve">. This can include checks for </w:t>
      </w:r>
      <w:r w:rsidR="00954644">
        <w:t xml:space="preserve">both </w:t>
      </w:r>
      <w:r w:rsidRPr="001951D7">
        <w:t>incorrect inclusions and incorrect omissions.</w:t>
      </w:r>
    </w:p>
    <w:p w14:paraId="79A8ADEE" w14:textId="77777777" w:rsidR="00F545F5" w:rsidRPr="001951D7" w:rsidRDefault="00000000" w:rsidP="00F545F5">
      <w:pPr>
        <w:pStyle w:val="ListParagraph"/>
        <w:numPr>
          <w:ilvl w:val="0"/>
          <w:numId w:val="5"/>
        </w:numPr>
        <w:ind w:left="360" w:hanging="270"/>
      </w:pPr>
      <w:r w:rsidRPr="001951D7">
        <w:t xml:space="preserve">The normative plausibility and mathematical possibility of correlations can be assessed by deattenuating them for the reliability of the measures that produced them. This can be done using empirical estimates for those measures or plausible values </w:t>
      </w:r>
      <w:r w:rsidRPr="001951D7">
        <w:fldChar w:fldCharType="begin"/>
      </w:r>
      <w:r w:rsidRPr="001951D7">
        <w:instrText xml:space="preserve"> ADDIN ZOTERO_ITEM CSL_CITATION {"citationID":"mqMp8xws","properties":{"formattedCitation":"(which can themselves be informed by data from the literature: Hussey et al., 2023)","plainCitation":"(which can themselves be informed by data from the literature: Hussey et al., 2023)","noteIndex":0},"citationItems":[{"id":183,"uris":["http://zotero.org/users/1687755/items/TPC7BSXD"],"itemData":{"id":183,"type":"article","abstract":"Cronbach’s alpha (α) is the most widely reported metric of the reliability of psychological measures. Decisions about an observed α’s adequacy are often made using rule-of-thumb thresholds, such as α of at least .70. Such thresholds can put pressure on researchers to make their measures meet these criteria, similar to the pressure to meet the significance threshold with p values. We examined whether α values reported in the literature are inflated at the rule-of-thumb thresholds (α = .70, .80, .90), due to, for example, overfitting to in-sample data (α-hacking) or publication bias. We extracted reported α values from two very large literatures covering general psychology (&gt;30,000 α values taken from &gt;74,000 published articles in APA journals) and Industrial and Organizational psychology (&gt;89,000 α values taken from &gt;14,000 published articles in I/O journals). The distributions of these values show inflation at the rule-of-thumb thresholds. We discuss the scope, causes and consequences of α-hacking and how increased transparency, preregistration of measurement strategy, and standardized protocols could mitigate this problem. Code and data available at osf.io/pe3t7. Supplementary materials at osf.io/5xzy4.","DOI":"10.31234/osf.io/dm8xn","language":"en-us","publisher":"PsyArXiv","source":"OSF Preprints","title":"An aberrant abundance of Cronbach’s alpha values at .70","URL":"https://psyarxiv.com/dm8xn/","author":[{"family":"Hussey","given":"Ian"},{"family":"Alsalti","given":"Taym"},{"family":"Bosco","given":"Frank"},{"family":"Elson","given":"Malte"},{"family":"Arslan","given":"Ruben C."}],"accessed":{"date-parts":[["2023",2,5]]},"issued":{"date-parts":[["2023",2,3]]}},"label":"page","prefix":"which can themselves be informed by data from the literature: "}],"schema":"https://github.com/citation-style-language/schema/raw/master/csl-citation.json"} </w:instrText>
      </w:r>
      <w:r w:rsidRPr="001951D7">
        <w:fldChar w:fldCharType="separate"/>
      </w:r>
      <w:r w:rsidRPr="001951D7">
        <w:rPr>
          <w:noProof/>
        </w:rPr>
        <w:t>(which can themselves be informed by data from the literature: Hussey et al., 2023)</w:t>
      </w:r>
      <w:r w:rsidRPr="001951D7">
        <w:fldChar w:fldCharType="end"/>
      </w:r>
      <w:r w:rsidRPr="001951D7">
        <w:t xml:space="preserve">. Correlations larger than the reliability of the component measures are implausible. </w:t>
      </w:r>
    </w:p>
    <w:p w14:paraId="57256AC9" w14:textId="77777777" w:rsidR="00F545F5" w:rsidRPr="001951D7" w:rsidRDefault="00000000" w:rsidP="00F545F5">
      <w:pPr>
        <w:pStyle w:val="ListParagraph"/>
        <w:numPr>
          <w:ilvl w:val="0"/>
          <w:numId w:val="5"/>
        </w:numPr>
        <w:ind w:left="360" w:hanging="270"/>
      </w:pPr>
      <w:r w:rsidRPr="001951D7">
        <w:t xml:space="preserve">The normative plausibility of effect sizes, both original and meta-analytic, can also be compared to large-scale analyses of this in the literature </w:t>
      </w:r>
      <w:r w:rsidRPr="001951D7">
        <w:fldChar w:fldCharType="begin"/>
      </w:r>
      <w:r w:rsidRPr="001951D7">
        <w:instrText xml:space="preserve"> ADDIN ZOTERO_ITEM CSL_CITATION {"citationID":"l2XoFgm5","properties":{"formattedCitation":"(e.g., Hemphill, 2003; Plessen et al., 2023; Richard et al., 2003)","plainCitation":"(e.g., Hemphill, 2003; Plessen et al., 2023; Richard et al., 2003)","noteIndex":0},"citationItems":[{"id":1486,"uris":["http://zotero.org/users/1687755/items/GGUEF98U"],"itemData":{"id":1486,"type":"article-journal","container-title":"American Psychologist","DOI":"10.1037/0003-066X.58.1.78","ISSN":"0003-066X","issue":"1","language":"en","page":"78-79","source":"CrossRef","title":"Interpreting the magnitudes of correlation coefficients","volume":"58","author":[{"family":"Hemphill","given":"James F."}],"issued":{"date-parts":[["2003"]]}},"label":"page","prefix":"e.g., "},{"id":27946,"uris":["http://zotero.org/users/1687755/items/T8TQCC5P"],"itemData":{"id":27946,"type":"article-journal","abstract":"Background Hundreds of randomised controlled trials and dozens of meta-analyses have examined psychotherapies for depression—yet not all points in the same direction. Are these discrepancies a result of specific meta-analytical decisions or do most analytical strategies reaching the same conclusion?\nObjective We aim to solve these discrepancies by conducting a multiverse meta-analysis containing all possible meta-analyses, using all statistical methods.\nStudy selection and analysis We searched four bibliographical databases (PubMed, EMBASE, PsycINFO and Cochrane Register of Controlled Trials), including studies published until 1 January 2022. We included all randomised controlled trials comparing psychotherapies with control conditions without restricting the type of psychotherapy, target group, intervention format, control condition and diagnosis. We defined all possible meta-analyses emerging from combinations of these inclusion criteria and estimated the resulting pooled effect sizes with fixed-effect, random-effects, 3-level, robust variance estimation, p-uniform and PET-PEESE (precision-effect test and precision-effect estimate with SE) meta-analysis models. This study was preregistered (https://doi.org/10.1136/bmjopen-2021-050197).\nFindings A total of 21 563 records were screened, and 3584 full texts were retrieved; 415 studies met our inclusion criteria containing 1206 effect sizes and 71 454 participants. Based on all possible combinations between inclusion criteria and meta-analytical methods, we calculated 4281 meta-analyses. The average summary effect size for these meta-analyses was Hedges’ g mean=0.56, a medium effect size, and ranged from g=</w:instrText>
      </w:r>
      <w:r w:rsidRPr="001951D7">
        <w:rPr>
          <w:rFonts w:ascii="Cambria Math" w:hAnsi="Cambria Math" w:cs="Cambria Math"/>
        </w:rPr>
        <w:instrText>−</w:instrText>
      </w:r>
      <w:r w:rsidRPr="001951D7">
        <w:instrText xml:space="preserve">0.66 to 2.51. In total, 90% of these meta-analyses reached a clinically relevant magnitude.\nConclusions and Clinical Implications The multiverse meta-analysis revealed the overall robustness of the effectiveness of psychotherapies for depression. Notably, meta-analyses that included studies with a high risk of bias, compared the intervention with wait-list control groups, and not correcting for publication bias produced larger effect sizes.","container-title":"BMJ Ment Health","DOI":"10.1136/bmjment-2022-300626","ISSN":"2755-9734","issue":"1","language":"en","license":"© Author(s) (or their employer(s)) 2023. Re-use permitted under CC BY. Published by BMJ.. https://creativecommons.org/licenses/by/4.0/This is an open access article distributed in accordance with the Creative Commons Attribution 4.0 Unported (CC BY 4.0) license, which permits others to copy, redistribute, remix, transform and build upon this work for any purpose, provided the original work is properly cited, a link to the licence is given, and indication of whether changes were made. See: https://creativecommons.org/licenses/by/4.0/.","note":"publisher: Royal College of Psychiatrists\nsection: Psychotherapies\nPMID: 36914209","source":"mentalhealth.bmj.com","title":"Exploring the efficacy of psychotherapies for depression: a multiverse meta-analysis","title-short":"Exploring the efficacy of psychotherapies for depression","URL":"https://mentalhealth.bmj.com/content/26/1/e300626","volume":"26","author":[{"family":"Plessen","given":"Constantin Yves"},{"family":"Karyotaki","given":"Eirini"},{"family":"Miguel","given":"Clara"},{"family":"Ciharova","given":"Marketa"},{"family":"Cuijpers","given":"Pim"}],"accessed":{"date-parts":[["2024",5,21]]},"issued":{"date-parts":[["2023",2,1]]}}},{"id":3749,"uris":["http://zotero.org/users/1687755/items/K2AM5ASV"],"itemData":{"id":3749,"type":"article-journal","container-title":"Review of General Psychology","DOI":"10.1037/1089-2680.7.4.331","ISSN":"1939-1552, 1089-2680","issue":"4","language":"en","page":"331-363","source":"Crossref","title":"One Hundred Years of Social Psychology Quantitatively Described","volume":"7","author":[{"family":"Richard","given":"F. D."},{"family":"Bond","given":"Charles F."},{"family":"Stokes-Zoota","given":"Juli J."}],"issued":{"date-parts":[["2003"]]}}}],"schema":"https://github.com/citation-style-language/schema/raw/master/csl-citation.json"} </w:instrText>
      </w:r>
      <w:r w:rsidRPr="001951D7">
        <w:fldChar w:fldCharType="separate"/>
      </w:r>
      <w:r w:rsidRPr="001951D7">
        <w:rPr>
          <w:noProof/>
        </w:rPr>
        <w:t>(e.g., Hemphill, 2003; Plessen et al., 2023; Richard et al., 2003)</w:t>
      </w:r>
      <w:r w:rsidRPr="001951D7">
        <w:fldChar w:fldCharType="end"/>
      </w:r>
      <w:r w:rsidRPr="001951D7">
        <w:t>.</w:t>
      </w:r>
    </w:p>
    <w:p w14:paraId="517E8D71" w14:textId="77777777" w:rsidR="00A75400" w:rsidRDefault="00000000" w:rsidP="00F545F5">
      <w:pPr>
        <w:pStyle w:val="ListParagraph"/>
        <w:numPr>
          <w:ilvl w:val="0"/>
          <w:numId w:val="5"/>
        </w:numPr>
        <w:ind w:left="360" w:hanging="270"/>
      </w:pPr>
      <w:r w:rsidRPr="001951D7">
        <w:t xml:space="preserve">Bias assessments can also be scrutinized. This can include an assessment of over-claiming via incorrect interpretations of non-significant tests for bias. </w:t>
      </w:r>
    </w:p>
    <w:p w14:paraId="7F04FB84" w14:textId="77777777" w:rsidR="00F545F5" w:rsidRPr="001951D7" w:rsidRDefault="00000000" w:rsidP="00F545F5">
      <w:pPr>
        <w:pStyle w:val="ListParagraph"/>
        <w:numPr>
          <w:ilvl w:val="0"/>
          <w:numId w:val="5"/>
        </w:numPr>
        <w:ind w:left="360" w:hanging="270"/>
      </w:pPr>
      <w:r w:rsidRPr="001951D7">
        <w:t>Additionally, it can be useful to assess the overlap in authorship between the meta-analysis and the original studies</w:t>
      </w:r>
      <w:r w:rsidR="00A75400">
        <w:t xml:space="preserve"> in order to understand potential sources of bias, including but not limited to contextualizing the results of any quantitative tests of publication bias or </w:t>
      </w:r>
      <w:r w:rsidR="00A75400" w:rsidRPr="00A75400">
        <w:rPr>
          <w:i/>
          <w:iCs/>
        </w:rPr>
        <w:t>p</w:t>
      </w:r>
      <w:r w:rsidR="00A75400">
        <w:t>-hacking</w:t>
      </w:r>
      <w:r w:rsidR="00CD1F5D">
        <w:t xml:space="preserve">. </w:t>
      </w:r>
      <w:r w:rsidRPr="001951D7">
        <w:t xml:space="preserve"> </w:t>
      </w:r>
    </w:p>
    <w:p w14:paraId="7D32047D" w14:textId="77777777" w:rsidR="00C9290D" w:rsidRPr="00034410" w:rsidRDefault="00000000" w:rsidP="00034410">
      <w:pPr>
        <w:pStyle w:val="Heading2"/>
      </w:pPr>
      <w:r w:rsidRPr="00034410">
        <w:t>Conclusions</w:t>
      </w:r>
    </w:p>
    <w:p w14:paraId="02E33443" w14:textId="77777777" w:rsidR="00167923" w:rsidRDefault="00000000" w:rsidP="007207F8">
      <w:r w:rsidRPr="00034410">
        <w:t>The results of Vahey et al. (2015) were found to have poor reproducibility at almost every stage of their analytic strategy</w:t>
      </w:r>
      <w:r w:rsidR="0046744E" w:rsidRPr="00034410">
        <w:t xml:space="preserve">. In </w:t>
      </w:r>
      <w:r w:rsidR="0064245C" w:rsidRPr="00034410">
        <w:t>aggregate</w:t>
      </w:r>
      <w:r w:rsidR="0046744E" w:rsidRPr="00034410">
        <w:t xml:space="preserve">, these </w:t>
      </w:r>
      <w:r w:rsidRPr="00034410">
        <w:t>seriously undermin</w:t>
      </w:r>
      <w:r w:rsidR="0004452B" w:rsidRPr="00034410">
        <w:t xml:space="preserve">e </w:t>
      </w:r>
      <w:r w:rsidRPr="00034410">
        <w:t xml:space="preserve">the credibility and utility of </w:t>
      </w:r>
      <w:r w:rsidR="0004452B" w:rsidRPr="00034410">
        <w:t xml:space="preserve">the </w:t>
      </w:r>
      <w:r w:rsidRPr="00034410">
        <w:t>conclusions and recommendations</w:t>
      </w:r>
      <w:r w:rsidR="0004452B" w:rsidRPr="00034410">
        <w:t xml:space="preserve"> of the original article</w:t>
      </w:r>
      <w:r w:rsidRPr="00034410">
        <w:t>.</w:t>
      </w:r>
      <w:r w:rsidR="00847B13" w:rsidRPr="00034410">
        <w:t xml:space="preserve"> </w:t>
      </w:r>
      <w:r w:rsidR="002B6F51">
        <w:t>Recalculated results suggest that the meta-effect size was less than half the original result</w:t>
      </w:r>
      <w:r w:rsidR="000973EE">
        <w:t xml:space="preserve"> (</w:t>
      </w:r>
      <m:oMath>
        <m:acc>
          <m:accPr>
            <m:chr m:val="̅"/>
            <m:ctrlPr>
              <w:rPr>
                <w:rFonts w:ascii="Cambria Math" w:hAnsi="Cambria Math"/>
              </w:rPr>
            </m:ctrlPr>
          </m:accPr>
          <m:e>
            <m:r>
              <w:rPr>
                <w:rFonts w:ascii="Cambria Math" w:hAnsi="Cambria Math"/>
              </w:rPr>
              <m:t>r</m:t>
            </m:r>
          </m:e>
        </m:acc>
      </m:oMath>
      <w:r w:rsidR="000973EE" w:rsidRPr="000973EE">
        <w:t xml:space="preserve"> = .45</w:t>
      </w:r>
      <w:r w:rsidR="000973EE">
        <w:t xml:space="preserve"> vs. </w:t>
      </w:r>
      <w:r w:rsidR="000973EE" w:rsidRPr="00043D43">
        <w:t>.</w:t>
      </w:r>
      <w:r w:rsidR="000973EE">
        <w:t>22)</w:t>
      </w:r>
      <w:r w:rsidR="002B6F51">
        <w:t xml:space="preserve">, and sample size </w:t>
      </w:r>
      <w:r w:rsidR="002B6F51" w:rsidRPr="00CC276E">
        <w:t>recommendations were more than 15 times as large</w:t>
      </w:r>
      <w:r w:rsidR="000973EE" w:rsidRPr="00CC276E">
        <w:t xml:space="preserve"> (minimum </w:t>
      </w:r>
      <w:r w:rsidR="000973EE" w:rsidRPr="00CC276E">
        <w:rPr>
          <w:i/>
          <w:iCs/>
        </w:rPr>
        <w:t>N</w:t>
      </w:r>
      <w:r w:rsidR="000973EE" w:rsidRPr="00CC276E">
        <w:t xml:space="preserve"> = 37 vs. </w:t>
      </w:r>
      <w:r w:rsidR="00FC2759" w:rsidRPr="00CC276E">
        <w:t>346</w:t>
      </w:r>
      <w:r w:rsidR="000973EE" w:rsidRPr="00CC276E">
        <w:t>)</w:t>
      </w:r>
      <w:r w:rsidR="002B6F51" w:rsidRPr="00CC276E">
        <w:t>. Vahey</w:t>
      </w:r>
      <w:r w:rsidR="002B6F51" w:rsidRPr="00034410">
        <w:t xml:space="preserve"> et al. (2015) may therefore require substantial correction</w:t>
      </w:r>
      <w:r w:rsidR="000973EE">
        <w:t>, and researchers should not use it for sample size planning.</w:t>
      </w:r>
    </w:p>
    <w:p w14:paraId="6158A3C3" w14:textId="77777777" w:rsidR="001B6961" w:rsidRPr="001B6961" w:rsidRDefault="00000000" w:rsidP="001B6961">
      <w:pPr>
        <w:pStyle w:val="Heading1"/>
      </w:pPr>
      <w:r w:rsidRPr="001B6961">
        <w:t>Conflict of Interest</w:t>
      </w:r>
    </w:p>
    <w:p w14:paraId="208F5D3D" w14:textId="77777777" w:rsidR="001B6961" w:rsidRDefault="00000000" w:rsidP="001B6961">
      <w:r w:rsidRPr="001B6961">
        <w:t>Prof Dermot Barnes-Holmes</w:t>
      </w:r>
      <w:r>
        <w:t>, o</w:t>
      </w:r>
      <w:r w:rsidRPr="001B6961">
        <w:t xml:space="preserve">ne of the authors of </w:t>
      </w:r>
      <w:r>
        <w:t xml:space="preserve">Vahey et al. (2015), </w:t>
      </w:r>
      <w:r w:rsidRPr="001B6961">
        <w:t xml:space="preserve">was my PhD supervisor </w:t>
      </w:r>
      <w:r>
        <w:t>between 2010 and 2015</w:t>
      </w:r>
      <w:r w:rsidRPr="001B6961">
        <w:t xml:space="preserve">. I have not actively collaborated with Prof Barnes-Holmes since 2015. Articles led by third parties of which we were both co-authors were published up to 2018. </w:t>
      </w:r>
      <w:r w:rsidR="008739A5">
        <w:t xml:space="preserve">I </w:t>
      </w:r>
      <w:r w:rsidRPr="001B6961">
        <w:t>declare</w:t>
      </w:r>
      <w:r w:rsidR="008739A5">
        <w:t xml:space="preserve"> that I have </w:t>
      </w:r>
      <w:r w:rsidRPr="001B6961">
        <w:t>no other conflict</w:t>
      </w:r>
      <w:r w:rsidR="008739A5">
        <w:t>s</w:t>
      </w:r>
      <w:r w:rsidRPr="001B6961">
        <w:t xml:space="preserve"> of interest associated with the publication of this manuscript.</w:t>
      </w:r>
    </w:p>
    <w:p w14:paraId="36F8BF22" w14:textId="77777777" w:rsidR="008A13E3" w:rsidRDefault="00000000" w:rsidP="008A13E3">
      <w:pPr>
        <w:pStyle w:val="Heading1"/>
      </w:pPr>
      <w:r>
        <w:t>Acknowledgments</w:t>
      </w:r>
    </w:p>
    <w:p w14:paraId="7FC94A3F" w14:textId="77777777" w:rsidR="00871704" w:rsidRDefault="00000000" w:rsidP="009A457F">
      <w:r>
        <w:t xml:space="preserve">I first presented elements of these analyses at the Association for Contextual Behavioral Science meeting in Dublin in 2019. </w:t>
      </w:r>
      <w:r w:rsidR="00F8714D">
        <w:t xml:space="preserve">That </w:t>
      </w:r>
      <w:r w:rsidR="009A457F">
        <w:t>symposium was also the first time I met my now</w:t>
      </w:r>
      <w:r w:rsidR="006A0F98">
        <w:t>-</w:t>
      </w:r>
      <w:r w:rsidR="009A457F">
        <w:t xml:space="preserve">wife, Sabrina. I would therefore like to acknowledge that although the IRAP literature has brought me </w:t>
      </w:r>
      <w:r w:rsidR="00F8714D">
        <w:t>much</w:t>
      </w:r>
      <w:r w:rsidR="009A457F">
        <w:t xml:space="preserve"> frustration over the years, it also brought me my greatest joy.</w:t>
      </w:r>
    </w:p>
    <w:p w14:paraId="68325D5A" w14:textId="77777777" w:rsidR="00167923" w:rsidRDefault="00000000" w:rsidP="00954504">
      <w:pPr>
        <w:pStyle w:val="Heading1"/>
      </w:pPr>
      <w:r w:rsidRPr="00034410">
        <w:t>References</w:t>
      </w:r>
    </w:p>
    <w:p w14:paraId="5F1F7563" w14:textId="77777777" w:rsidR="001A582F" w:rsidRPr="001A582F" w:rsidRDefault="00000000" w:rsidP="001A582F">
      <w:pPr>
        <w:pStyle w:val="Bibliography"/>
        <w:rPr>
          <w:color w:val="auto"/>
        </w:rPr>
      </w:pPr>
      <w:r>
        <w:fldChar w:fldCharType="begin"/>
      </w:r>
      <w:r w:rsidR="002D1BB7">
        <w:instrText xml:space="preserve"> ADDIN ZOTERO_BIBL {"uncited":[],"omitted":[],"custom":[]} CSL_BIBLIOGRAPHY </w:instrText>
      </w:r>
      <w:r>
        <w:fldChar w:fldCharType="separate"/>
      </w:r>
      <w:r w:rsidR="001A582F" w:rsidRPr="001A582F">
        <w:rPr>
          <w:color w:val="auto"/>
        </w:rPr>
        <w:t xml:space="preserve">Aczel, B., Palfi, B., Szollosi, A., Kovacs, M., Szaszi, B., Szecsi, P., Zrubka, M., Gronau, Q. F., van den Bergh, D., &amp; Wagenmakers, E.-J. (2018). Quantifying Support for the Null Hypothesis in Psychology: An Empirical Investigation. </w:t>
      </w:r>
      <w:r w:rsidR="001A582F" w:rsidRPr="001A582F">
        <w:rPr>
          <w:i/>
          <w:iCs/>
          <w:color w:val="auto"/>
        </w:rPr>
        <w:t xml:space="preserve">Advances </w:t>
      </w:r>
      <w:r w:rsidR="001A582F" w:rsidRPr="001A582F">
        <w:rPr>
          <w:i/>
          <w:iCs/>
          <w:color w:val="auto"/>
        </w:rPr>
        <w:lastRenderedPageBreak/>
        <w:t>in Methods and Practices in Psychological Science</w:t>
      </w:r>
      <w:r w:rsidR="001A582F" w:rsidRPr="001A582F">
        <w:rPr>
          <w:color w:val="auto"/>
        </w:rPr>
        <w:t xml:space="preserve">, </w:t>
      </w:r>
      <w:r w:rsidR="001A582F" w:rsidRPr="001A582F">
        <w:rPr>
          <w:i/>
          <w:iCs/>
          <w:color w:val="auto"/>
        </w:rPr>
        <w:t>1</w:t>
      </w:r>
      <w:r w:rsidR="001A582F" w:rsidRPr="001A582F">
        <w:rPr>
          <w:color w:val="auto"/>
        </w:rPr>
        <w:t>(3), 357–366. https://doi.org/10.1177/2515245918773742</w:t>
      </w:r>
    </w:p>
    <w:p w14:paraId="54E72EA1" w14:textId="77777777" w:rsidR="001A582F" w:rsidRPr="001A582F" w:rsidRDefault="001A582F" w:rsidP="001A582F">
      <w:pPr>
        <w:pStyle w:val="Bibliography"/>
        <w:rPr>
          <w:color w:val="auto"/>
        </w:rPr>
      </w:pPr>
      <w:r w:rsidRPr="001A582F">
        <w:rPr>
          <w:color w:val="auto"/>
        </w:rPr>
        <w:t xml:space="preserve">Allen, M. J., &amp; Yen, W. M. (2002). </w:t>
      </w:r>
      <w:r w:rsidRPr="001A582F">
        <w:rPr>
          <w:i/>
          <w:iCs/>
          <w:color w:val="auto"/>
        </w:rPr>
        <w:t>Introduction to measurement theory</w:t>
      </w:r>
      <w:r w:rsidRPr="001A582F">
        <w:rPr>
          <w:color w:val="auto"/>
        </w:rPr>
        <w:t>. Waveland Press.</w:t>
      </w:r>
    </w:p>
    <w:p w14:paraId="43F4C442" w14:textId="77777777" w:rsidR="001A582F" w:rsidRPr="001A582F" w:rsidRDefault="001A582F" w:rsidP="001A582F">
      <w:pPr>
        <w:pStyle w:val="Bibliography"/>
        <w:rPr>
          <w:color w:val="auto"/>
        </w:rPr>
      </w:pPr>
      <w:r w:rsidRPr="001A582F">
        <w:rPr>
          <w:color w:val="auto"/>
        </w:rPr>
        <w:t xml:space="preserve">American Psychological Association. (2024). </w:t>
      </w:r>
      <w:r w:rsidRPr="001A582F">
        <w:rPr>
          <w:i/>
          <w:iCs/>
          <w:color w:val="auto"/>
        </w:rPr>
        <w:t>APA Dictionary of Psychology</w:t>
      </w:r>
      <w:r w:rsidRPr="001A582F">
        <w:rPr>
          <w:color w:val="auto"/>
        </w:rPr>
        <w:t>. https://dictionary.apa.org/criterion-validity</w:t>
      </w:r>
    </w:p>
    <w:p w14:paraId="2019F5CA" w14:textId="77777777" w:rsidR="001A582F" w:rsidRPr="001A582F" w:rsidRDefault="001A582F" w:rsidP="001A582F">
      <w:pPr>
        <w:pStyle w:val="Bibliography"/>
        <w:rPr>
          <w:color w:val="auto"/>
        </w:rPr>
      </w:pPr>
      <w:r w:rsidRPr="001A582F">
        <w:rPr>
          <w:color w:val="auto"/>
        </w:rPr>
        <w:t xml:space="preserve">Barnes-Holmes, D., Barnes-Holmes, Y., Power, P., Hayden, E., Milne, R., &amp; Stewart, I. (2006). Do you really know what you believe? Developing the Implicit Relational Assessment Procedure (IRAP) as a direct measure of implicit beliefs. </w:t>
      </w:r>
      <w:r w:rsidRPr="001A582F">
        <w:rPr>
          <w:i/>
          <w:iCs/>
          <w:color w:val="auto"/>
        </w:rPr>
        <w:t>The Irish Psychologist</w:t>
      </w:r>
      <w:r w:rsidRPr="001A582F">
        <w:rPr>
          <w:color w:val="auto"/>
        </w:rPr>
        <w:t xml:space="preserve">, </w:t>
      </w:r>
      <w:r w:rsidRPr="001A582F">
        <w:rPr>
          <w:i/>
          <w:iCs/>
          <w:color w:val="auto"/>
        </w:rPr>
        <w:t>32</w:t>
      </w:r>
      <w:r w:rsidRPr="001A582F">
        <w:rPr>
          <w:color w:val="auto"/>
        </w:rPr>
        <w:t>(7), 169–177.</w:t>
      </w:r>
    </w:p>
    <w:p w14:paraId="1EF709BF" w14:textId="77777777" w:rsidR="001A582F" w:rsidRPr="001A582F" w:rsidRDefault="001A582F" w:rsidP="001A582F">
      <w:pPr>
        <w:pStyle w:val="Bibliography"/>
        <w:rPr>
          <w:color w:val="auto"/>
        </w:rPr>
      </w:pPr>
      <w:r w:rsidRPr="001A582F">
        <w:rPr>
          <w:color w:val="auto"/>
        </w:rPr>
        <w:t xml:space="preserve">Barnes-Holmes, D., Barnes-Holmes, Y., Stewart, I., &amp; Boles, S. (2010). A sketch of the Implicit Relational Assessment Procedure (IRAP) and the Relational Elaboration and Coherence (REC) model. </w:t>
      </w:r>
      <w:r w:rsidRPr="001A582F">
        <w:rPr>
          <w:i/>
          <w:iCs/>
          <w:color w:val="auto"/>
        </w:rPr>
        <w:t>The Psychological Record</w:t>
      </w:r>
      <w:r w:rsidRPr="001A582F">
        <w:rPr>
          <w:color w:val="auto"/>
        </w:rPr>
        <w:t xml:space="preserve">, </w:t>
      </w:r>
      <w:r w:rsidRPr="001A582F">
        <w:rPr>
          <w:i/>
          <w:iCs/>
          <w:color w:val="auto"/>
        </w:rPr>
        <w:t>60</w:t>
      </w:r>
      <w:r w:rsidRPr="001A582F">
        <w:rPr>
          <w:color w:val="auto"/>
        </w:rPr>
        <w:t>(3), 527–542. https://doi.org/10.1007/BF03395726</w:t>
      </w:r>
    </w:p>
    <w:p w14:paraId="063DA32E" w14:textId="77777777" w:rsidR="001A582F" w:rsidRPr="001A582F" w:rsidRDefault="001A582F" w:rsidP="001A582F">
      <w:pPr>
        <w:pStyle w:val="Bibliography"/>
        <w:rPr>
          <w:color w:val="auto"/>
        </w:rPr>
      </w:pPr>
      <w:r w:rsidRPr="001A582F">
        <w:rPr>
          <w:color w:val="auto"/>
        </w:rPr>
        <w:t xml:space="preserve">Barnes-Holmes, D., &amp; Harte, C. (2022a). The IRAP as a Measure of Implicit Cognition: A Case of Frankenstein’s Monster. </w:t>
      </w:r>
      <w:r w:rsidRPr="001A582F">
        <w:rPr>
          <w:i/>
          <w:iCs/>
          <w:color w:val="auto"/>
        </w:rPr>
        <w:t>Perspectives on Behavior Science</w:t>
      </w:r>
      <w:r w:rsidRPr="001A582F">
        <w:rPr>
          <w:color w:val="auto"/>
        </w:rPr>
        <w:t>. https://doi.org/10.1007/s40614-022-00352-z</w:t>
      </w:r>
    </w:p>
    <w:p w14:paraId="05A9D76F" w14:textId="77777777" w:rsidR="001A582F" w:rsidRPr="001A582F" w:rsidRDefault="001A582F" w:rsidP="001A582F">
      <w:pPr>
        <w:pStyle w:val="Bibliography"/>
        <w:rPr>
          <w:color w:val="auto"/>
        </w:rPr>
      </w:pPr>
      <w:r w:rsidRPr="001A582F">
        <w:rPr>
          <w:color w:val="auto"/>
        </w:rPr>
        <w:t xml:space="preserve">Barnes-Holmes, D., &amp; Harte, C. (2022b). Relational frame theory 20 years on: The Odysseus voyage and beyond. In </w:t>
      </w:r>
      <w:r w:rsidRPr="001A582F">
        <w:rPr>
          <w:i/>
          <w:iCs/>
          <w:color w:val="auto"/>
        </w:rPr>
        <w:t>Journal of the Experimental Analysis of Behavior</w:t>
      </w:r>
      <w:r w:rsidRPr="001A582F">
        <w:rPr>
          <w:color w:val="auto"/>
        </w:rPr>
        <w:t xml:space="preserve"> (Vol. 117, Issue 2, pp. 240–266). WILEY. https://doi.org/10.1002/jeab.733</w:t>
      </w:r>
    </w:p>
    <w:p w14:paraId="5FBA67E2" w14:textId="77777777" w:rsidR="001A582F" w:rsidRPr="001A582F" w:rsidRDefault="001A582F" w:rsidP="001A582F">
      <w:pPr>
        <w:pStyle w:val="Bibliography"/>
        <w:rPr>
          <w:color w:val="auto"/>
        </w:rPr>
      </w:pPr>
      <w:r w:rsidRPr="001A582F">
        <w:rPr>
          <w:color w:val="auto"/>
        </w:rPr>
        <w:t xml:space="preserve">Bast, D. F., &amp; Barnes-Holmes, D. (2015). Developing the Implicit Relational Assessment Procedure (IRAP) as a Measure of Self-Forgiveness Related to Failing and Succeeding Behaviors. </w:t>
      </w:r>
      <w:r w:rsidRPr="001A582F">
        <w:rPr>
          <w:i/>
          <w:iCs/>
          <w:color w:val="auto"/>
        </w:rPr>
        <w:t>The Psychological Record</w:t>
      </w:r>
      <w:r w:rsidRPr="001A582F">
        <w:rPr>
          <w:color w:val="auto"/>
        </w:rPr>
        <w:t xml:space="preserve">, </w:t>
      </w:r>
      <w:r w:rsidRPr="001A582F">
        <w:rPr>
          <w:i/>
          <w:iCs/>
          <w:color w:val="auto"/>
        </w:rPr>
        <w:t>65</w:t>
      </w:r>
      <w:r w:rsidRPr="001A582F">
        <w:rPr>
          <w:color w:val="auto"/>
        </w:rPr>
        <w:t>(1), 189–201. https://doi.org/10.1007/s40732-014-0100-5</w:t>
      </w:r>
    </w:p>
    <w:p w14:paraId="0D30298A" w14:textId="77777777" w:rsidR="001A582F" w:rsidRPr="001A582F" w:rsidRDefault="001A582F" w:rsidP="001A582F">
      <w:pPr>
        <w:pStyle w:val="Bibliography"/>
        <w:rPr>
          <w:color w:val="auto"/>
        </w:rPr>
      </w:pPr>
      <w:r w:rsidRPr="001A582F">
        <w:rPr>
          <w:color w:val="auto"/>
        </w:rPr>
        <w:t xml:space="preserve">Carpenter, K. M., Martinez, D., Vadhan, N. P., Barnes-Holmes, D., &amp; Nunes, E. V. (2012). Measures of Attentional Bias and Relational Responding Are Associated with Behavioral Treatment Outcome for Cocaine Dependence. </w:t>
      </w:r>
      <w:r w:rsidRPr="001A582F">
        <w:rPr>
          <w:i/>
          <w:iCs/>
          <w:color w:val="auto"/>
        </w:rPr>
        <w:t>The American Journal of Drug and Alcohol Abuse</w:t>
      </w:r>
      <w:r w:rsidRPr="001A582F">
        <w:rPr>
          <w:color w:val="auto"/>
        </w:rPr>
        <w:t xml:space="preserve">, </w:t>
      </w:r>
      <w:r w:rsidRPr="001A582F">
        <w:rPr>
          <w:i/>
          <w:iCs/>
          <w:color w:val="auto"/>
        </w:rPr>
        <w:t>38</w:t>
      </w:r>
      <w:r w:rsidRPr="001A582F">
        <w:rPr>
          <w:color w:val="auto"/>
        </w:rPr>
        <w:t>(2), 146–154. https://doi.org/10.3109/00952990.2011.643986</w:t>
      </w:r>
    </w:p>
    <w:p w14:paraId="0BB63DD8" w14:textId="77777777" w:rsidR="001A582F" w:rsidRPr="001A582F" w:rsidRDefault="001A582F" w:rsidP="001A582F">
      <w:pPr>
        <w:pStyle w:val="Bibliography"/>
        <w:rPr>
          <w:color w:val="auto"/>
        </w:rPr>
      </w:pPr>
      <w:r w:rsidRPr="001A582F">
        <w:rPr>
          <w:color w:val="auto"/>
        </w:rPr>
        <w:t xml:space="preserve">Champely, S. (2016). </w:t>
      </w:r>
      <w:r w:rsidRPr="001A582F">
        <w:rPr>
          <w:i/>
          <w:iCs/>
          <w:color w:val="auto"/>
        </w:rPr>
        <w:t>pwr: Basic Functions for Power Analysis</w:t>
      </w:r>
      <w:r w:rsidRPr="001A582F">
        <w:rPr>
          <w:color w:val="auto"/>
        </w:rPr>
        <w:t xml:space="preserve"> [Computer software]. https://CRAN.R-project.org/package=pwr</w:t>
      </w:r>
    </w:p>
    <w:p w14:paraId="696F4F79" w14:textId="77777777" w:rsidR="001A582F" w:rsidRPr="001A582F" w:rsidRDefault="001A582F" w:rsidP="001A582F">
      <w:pPr>
        <w:pStyle w:val="Bibliography"/>
        <w:rPr>
          <w:color w:val="auto"/>
        </w:rPr>
      </w:pPr>
      <w:r w:rsidRPr="001A582F">
        <w:rPr>
          <w:color w:val="auto"/>
        </w:rPr>
        <w:t xml:space="preserve">Corneille, O., &amp; Hütter, M. (2020). Implicit? What Do You Mean? A Comprehensive Review of the Delusive Implicitness Construct in Attitude Research. </w:t>
      </w:r>
      <w:r w:rsidRPr="001A582F">
        <w:rPr>
          <w:i/>
          <w:iCs/>
          <w:color w:val="auto"/>
        </w:rPr>
        <w:t>Personality and Social Psychology Review</w:t>
      </w:r>
      <w:r w:rsidRPr="001A582F">
        <w:rPr>
          <w:color w:val="auto"/>
        </w:rPr>
        <w:t>, 1088868320911325. https://doi.org/10.1177/1088868320911325</w:t>
      </w:r>
    </w:p>
    <w:p w14:paraId="6E48C426" w14:textId="77777777" w:rsidR="001A582F" w:rsidRPr="001A582F" w:rsidRDefault="001A582F" w:rsidP="001A582F">
      <w:pPr>
        <w:pStyle w:val="Bibliography"/>
        <w:rPr>
          <w:color w:val="auto"/>
        </w:rPr>
      </w:pPr>
      <w:r w:rsidRPr="001A582F">
        <w:rPr>
          <w:color w:val="auto"/>
        </w:rPr>
        <w:t xml:space="preserve">Dawson, D. L., Barnes-Holmes, D., Gresswell, D. M., Hart, A. J., &amp; Gore, N. J. (2009). Assessing the implicit beliefs of sexual offenders using the Implicit Relational Assessment Procedure: A first study. </w:t>
      </w:r>
      <w:r w:rsidRPr="001A582F">
        <w:rPr>
          <w:i/>
          <w:iCs/>
          <w:color w:val="auto"/>
        </w:rPr>
        <w:t xml:space="preserve">Sexual Abuse: A Journal of Research and </w:t>
      </w:r>
      <w:r w:rsidRPr="001A582F">
        <w:rPr>
          <w:i/>
          <w:iCs/>
          <w:color w:val="auto"/>
        </w:rPr>
        <w:t>Treatment</w:t>
      </w:r>
      <w:r w:rsidRPr="001A582F">
        <w:rPr>
          <w:color w:val="auto"/>
        </w:rPr>
        <w:t xml:space="preserve">, </w:t>
      </w:r>
      <w:r w:rsidRPr="001A582F">
        <w:rPr>
          <w:i/>
          <w:iCs/>
          <w:color w:val="auto"/>
        </w:rPr>
        <w:t>21</w:t>
      </w:r>
      <w:r w:rsidRPr="001A582F">
        <w:rPr>
          <w:color w:val="auto"/>
        </w:rPr>
        <w:t>(1), 57–75. https://doi.org/10.1177/1079063208326928</w:t>
      </w:r>
    </w:p>
    <w:p w14:paraId="7899D4EC" w14:textId="77777777" w:rsidR="001A582F" w:rsidRPr="001A582F" w:rsidRDefault="001A582F" w:rsidP="001A582F">
      <w:pPr>
        <w:pStyle w:val="Bibliography"/>
        <w:rPr>
          <w:color w:val="auto"/>
        </w:rPr>
      </w:pPr>
      <w:r w:rsidRPr="001A582F">
        <w:rPr>
          <w:color w:val="auto"/>
        </w:rPr>
        <w:t xml:space="preserve">De Schryver, M., Hussey, I., De Neve, J., Cartwright, A., &amp; Barnes-Holmes, D. (2018). The PIIRAP: An alternative scoring algorithm for the IRAP using a probabilistic semiparametric effect size measure. </w:t>
      </w:r>
      <w:r w:rsidRPr="001A582F">
        <w:rPr>
          <w:i/>
          <w:iCs/>
          <w:color w:val="auto"/>
        </w:rPr>
        <w:t>Journal of Contextual Behavioral Science</w:t>
      </w:r>
      <w:r w:rsidRPr="001A582F">
        <w:rPr>
          <w:color w:val="auto"/>
        </w:rPr>
        <w:t xml:space="preserve">, </w:t>
      </w:r>
      <w:r w:rsidRPr="001A582F">
        <w:rPr>
          <w:i/>
          <w:iCs/>
          <w:color w:val="auto"/>
        </w:rPr>
        <w:t>7</w:t>
      </w:r>
      <w:r w:rsidRPr="001A582F">
        <w:rPr>
          <w:color w:val="auto"/>
        </w:rPr>
        <w:t>, 97–103. https://doi.org/10.1016/j.jcbs.2018.01.001</w:t>
      </w:r>
    </w:p>
    <w:p w14:paraId="408A49F6" w14:textId="77777777" w:rsidR="001A582F" w:rsidRPr="001A582F" w:rsidRDefault="001A582F" w:rsidP="001A582F">
      <w:pPr>
        <w:pStyle w:val="Bibliography"/>
        <w:rPr>
          <w:color w:val="auto"/>
        </w:rPr>
      </w:pPr>
      <w:r w:rsidRPr="001A582F">
        <w:rPr>
          <w:color w:val="auto"/>
        </w:rPr>
        <w:t xml:space="preserve">Egger, M., Smith, G. D., Schneider, M., &amp; Minder, C. (1997). </w:t>
      </w:r>
      <w:r w:rsidRPr="001A582F">
        <w:rPr>
          <w:i/>
          <w:iCs/>
          <w:color w:val="auto"/>
        </w:rPr>
        <w:t>Bias in meta-analysis detected by a simple, graphical test</w:t>
      </w:r>
      <w:r w:rsidRPr="001A582F">
        <w:rPr>
          <w:color w:val="auto"/>
        </w:rPr>
        <w:t>. https://doi.org/10.1136/bmj.315.7109.629</w:t>
      </w:r>
    </w:p>
    <w:p w14:paraId="14442F52" w14:textId="77777777" w:rsidR="001A582F" w:rsidRPr="001A582F" w:rsidRDefault="001A582F" w:rsidP="001A582F">
      <w:pPr>
        <w:pStyle w:val="Bibliography"/>
        <w:rPr>
          <w:color w:val="auto"/>
        </w:rPr>
      </w:pPr>
      <w:r w:rsidRPr="001A582F">
        <w:rPr>
          <w:color w:val="auto"/>
        </w:rPr>
        <w:t xml:space="preserve">Farrell, L., &amp; McHugh, L. (2017). Examining gender-STEM bias among STEM and non-STEM students using the Implicit Relational Assessment Procedure (IRAP). </w:t>
      </w:r>
      <w:r w:rsidRPr="001A582F">
        <w:rPr>
          <w:i/>
          <w:iCs/>
          <w:color w:val="auto"/>
        </w:rPr>
        <w:t>Journal of Contextual Behavioral Science</w:t>
      </w:r>
      <w:r w:rsidRPr="001A582F">
        <w:rPr>
          <w:color w:val="auto"/>
        </w:rPr>
        <w:t xml:space="preserve">, </w:t>
      </w:r>
      <w:r w:rsidRPr="001A582F">
        <w:rPr>
          <w:i/>
          <w:iCs/>
          <w:color w:val="auto"/>
        </w:rPr>
        <w:t>6</w:t>
      </w:r>
      <w:r w:rsidRPr="001A582F">
        <w:rPr>
          <w:color w:val="auto"/>
        </w:rPr>
        <w:t>(1), 80–90. https://doi.org/10.1016/j.jcbs.2017.02.001</w:t>
      </w:r>
    </w:p>
    <w:p w14:paraId="16D8252C" w14:textId="77777777" w:rsidR="001A582F" w:rsidRPr="001A582F" w:rsidRDefault="001A582F" w:rsidP="001A582F">
      <w:pPr>
        <w:pStyle w:val="Bibliography"/>
        <w:rPr>
          <w:color w:val="auto"/>
        </w:rPr>
      </w:pPr>
      <w:r w:rsidRPr="001A582F">
        <w:rPr>
          <w:color w:val="auto"/>
        </w:rPr>
        <w:t xml:space="preserve">Field, A. P., &amp; Gillett, R. (2010). How to do a meta-analysis. </w:t>
      </w:r>
      <w:r w:rsidRPr="001A582F">
        <w:rPr>
          <w:i/>
          <w:iCs/>
          <w:color w:val="auto"/>
        </w:rPr>
        <w:t>British Journal of Mathematical and Statistical Psychology</w:t>
      </w:r>
      <w:r w:rsidRPr="001A582F">
        <w:rPr>
          <w:color w:val="auto"/>
        </w:rPr>
        <w:t xml:space="preserve">, </w:t>
      </w:r>
      <w:r w:rsidRPr="001A582F">
        <w:rPr>
          <w:i/>
          <w:iCs/>
          <w:color w:val="auto"/>
        </w:rPr>
        <w:t>63</w:t>
      </w:r>
      <w:r w:rsidRPr="001A582F">
        <w:rPr>
          <w:color w:val="auto"/>
        </w:rPr>
        <w:t>(3), 665–694. https://doi.org/10.1348/000711010X502733</w:t>
      </w:r>
    </w:p>
    <w:p w14:paraId="7D16CE4A" w14:textId="77777777" w:rsidR="001A582F" w:rsidRPr="001A582F" w:rsidRDefault="001A582F" w:rsidP="001A582F">
      <w:pPr>
        <w:pStyle w:val="Bibliography"/>
        <w:rPr>
          <w:color w:val="auto"/>
        </w:rPr>
      </w:pPr>
      <w:r w:rsidRPr="001A582F">
        <w:rPr>
          <w:color w:val="auto"/>
        </w:rPr>
        <w:t xml:space="preserve">Golijani-Moghaddam, N., Hart, A., &amp; Dawson, D. L. (2013). The Implicit Relational Assessment Procedure: Emerging reliability and validity data. </w:t>
      </w:r>
      <w:r w:rsidRPr="001A582F">
        <w:rPr>
          <w:i/>
          <w:iCs/>
          <w:color w:val="auto"/>
        </w:rPr>
        <w:t>Journal of Contextual Behavioral Science</w:t>
      </w:r>
      <w:r w:rsidRPr="001A582F">
        <w:rPr>
          <w:color w:val="auto"/>
        </w:rPr>
        <w:t xml:space="preserve">, </w:t>
      </w:r>
      <w:r w:rsidRPr="001A582F">
        <w:rPr>
          <w:i/>
          <w:iCs/>
          <w:color w:val="auto"/>
        </w:rPr>
        <w:t>2</w:t>
      </w:r>
      <w:r w:rsidRPr="001A582F">
        <w:rPr>
          <w:color w:val="auto"/>
        </w:rPr>
        <w:t>(3–4), 105–119. https://doi.org/10.1016/j.jcbs.2013.05.002</w:t>
      </w:r>
    </w:p>
    <w:p w14:paraId="6EF4EDC2" w14:textId="77777777" w:rsidR="001A582F" w:rsidRPr="001A582F" w:rsidRDefault="001A582F" w:rsidP="001A582F">
      <w:pPr>
        <w:pStyle w:val="Bibliography"/>
        <w:rPr>
          <w:color w:val="auto"/>
        </w:rPr>
      </w:pPr>
      <w:r w:rsidRPr="001A582F">
        <w:rPr>
          <w:color w:val="auto"/>
        </w:rPr>
        <w:t xml:space="preserve">Gøtzsche, P. C., Hróbjartsson, A., Marić, K., &amp; Tendal, B. (2007). Data Extraction Errors in Meta-analyses That Use Standardized Mean Differences. </w:t>
      </w:r>
      <w:r w:rsidRPr="001A582F">
        <w:rPr>
          <w:i/>
          <w:iCs/>
          <w:color w:val="auto"/>
        </w:rPr>
        <w:t>JAMA</w:t>
      </w:r>
      <w:r w:rsidRPr="001A582F">
        <w:rPr>
          <w:color w:val="auto"/>
        </w:rPr>
        <w:t xml:space="preserve">, </w:t>
      </w:r>
      <w:r w:rsidRPr="001A582F">
        <w:rPr>
          <w:i/>
          <w:iCs/>
          <w:color w:val="auto"/>
        </w:rPr>
        <w:t>298</w:t>
      </w:r>
      <w:r w:rsidRPr="001A582F">
        <w:rPr>
          <w:color w:val="auto"/>
        </w:rPr>
        <w:t>(4), 430–437. https://doi.org/10.1001/jama.298.4.430</w:t>
      </w:r>
    </w:p>
    <w:p w14:paraId="45521580" w14:textId="77777777" w:rsidR="001A582F" w:rsidRPr="001A582F" w:rsidRDefault="001A582F" w:rsidP="001A582F">
      <w:pPr>
        <w:pStyle w:val="Bibliography"/>
        <w:rPr>
          <w:color w:val="auto"/>
        </w:rPr>
      </w:pPr>
      <w:r w:rsidRPr="001A582F">
        <w:rPr>
          <w:color w:val="auto"/>
        </w:rPr>
        <w:t xml:space="preserve">Greenland, S., Senn, S. J., Rothman, K. J., Carlin, J. B., Poole, C., Goodman, S. N., &amp; Altman, D. G. (2016). Statistical tests, P values, confidence intervals, and power: A guide to misinterpretations. </w:t>
      </w:r>
      <w:r w:rsidRPr="001A582F">
        <w:rPr>
          <w:i/>
          <w:iCs/>
          <w:color w:val="auto"/>
        </w:rPr>
        <w:t>European Journal of Epidemiology</w:t>
      </w:r>
      <w:r w:rsidRPr="001A582F">
        <w:rPr>
          <w:color w:val="auto"/>
        </w:rPr>
        <w:t xml:space="preserve">, </w:t>
      </w:r>
      <w:r w:rsidRPr="001A582F">
        <w:rPr>
          <w:i/>
          <w:iCs/>
          <w:color w:val="auto"/>
        </w:rPr>
        <w:t>31</w:t>
      </w:r>
      <w:r w:rsidRPr="001A582F">
        <w:rPr>
          <w:color w:val="auto"/>
        </w:rPr>
        <w:t>(4), 337–350. https://doi.org/10.1007/s10654-016-0149-3</w:t>
      </w:r>
    </w:p>
    <w:p w14:paraId="790FAA3C" w14:textId="77777777" w:rsidR="001A582F" w:rsidRPr="001A582F" w:rsidRDefault="001A582F" w:rsidP="001A582F">
      <w:pPr>
        <w:pStyle w:val="Bibliography"/>
        <w:rPr>
          <w:color w:val="auto"/>
        </w:rPr>
      </w:pPr>
      <w:r w:rsidRPr="001A582F">
        <w:rPr>
          <w:color w:val="auto"/>
        </w:rPr>
        <w:t xml:space="preserve">Greenwald, A. G., &amp; Lai, C. K. (2020). Implicit Social Cognition. </w:t>
      </w:r>
      <w:r w:rsidRPr="001A582F">
        <w:rPr>
          <w:i/>
          <w:iCs/>
          <w:color w:val="auto"/>
        </w:rPr>
        <w:t>Annual Review of Psychology</w:t>
      </w:r>
      <w:r w:rsidRPr="001A582F">
        <w:rPr>
          <w:color w:val="auto"/>
        </w:rPr>
        <w:t xml:space="preserve">, </w:t>
      </w:r>
      <w:r w:rsidRPr="001A582F">
        <w:rPr>
          <w:i/>
          <w:iCs/>
          <w:color w:val="auto"/>
        </w:rPr>
        <w:t>71</w:t>
      </w:r>
      <w:r w:rsidRPr="001A582F">
        <w:rPr>
          <w:color w:val="auto"/>
        </w:rPr>
        <w:t>(1), 419–445. https://doi.org/10.1146/annurev-psych-010419-050837</w:t>
      </w:r>
    </w:p>
    <w:p w14:paraId="6902BEB9" w14:textId="77777777" w:rsidR="001A582F" w:rsidRPr="001A582F" w:rsidRDefault="001A582F" w:rsidP="001A582F">
      <w:pPr>
        <w:pStyle w:val="Bibliography"/>
        <w:rPr>
          <w:color w:val="auto"/>
        </w:rPr>
      </w:pPr>
      <w:r w:rsidRPr="001A582F">
        <w:rPr>
          <w:color w:val="auto"/>
        </w:rPr>
        <w:t xml:space="preserve">Greenwald, A. G., McGhee, D. E., &amp; Schwartz, J. L. (1998). Measuring individual differences in implicit cognition: The Implicit Association Test. </w:t>
      </w:r>
      <w:r w:rsidRPr="001A582F">
        <w:rPr>
          <w:i/>
          <w:iCs/>
          <w:color w:val="auto"/>
        </w:rPr>
        <w:t>Journal of Personality and Social Psychology</w:t>
      </w:r>
      <w:r w:rsidRPr="001A582F">
        <w:rPr>
          <w:color w:val="auto"/>
        </w:rPr>
        <w:t xml:space="preserve">, </w:t>
      </w:r>
      <w:r w:rsidRPr="001A582F">
        <w:rPr>
          <w:i/>
          <w:iCs/>
          <w:color w:val="auto"/>
        </w:rPr>
        <w:t>74</w:t>
      </w:r>
      <w:r w:rsidRPr="001A582F">
        <w:rPr>
          <w:color w:val="auto"/>
        </w:rPr>
        <w:t>(6), 1464–1480. https://doi.org/10.1037/0022-3514.74.6.1464</w:t>
      </w:r>
    </w:p>
    <w:p w14:paraId="295BB3DF" w14:textId="77777777" w:rsidR="001A582F" w:rsidRPr="001A582F" w:rsidRDefault="001A582F" w:rsidP="001A582F">
      <w:pPr>
        <w:pStyle w:val="Bibliography"/>
        <w:rPr>
          <w:color w:val="auto"/>
        </w:rPr>
      </w:pPr>
      <w:r w:rsidRPr="001A582F">
        <w:rPr>
          <w:color w:val="auto"/>
        </w:rPr>
        <w:t xml:space="preserve">Greenwald, A. G., Nosek, B. A., &amp; Banaji, M. R. (2003). Understanding and using the Implicit Association Test: I. An improved scoring algorithm. </w:t>
      </w:r>
      <w:r w:rsidRPr="001A582F">
        <w:rPr>
          <w:i/>
          <w:iCs/>
          <w:color w:val="auto"/>
        </w:rPr>
        <w:t>Journal of Personality and Social Psychology</w:t>
      </w:r>
      <w:r w:rsidRPr="001A582F">
        <w:rPr>
          <w:color w:val="auto"/>
        </w:rPr>
        <w:t xml:space="preserve">, </w:t>
      </w:r>
      <w:r w:rsidRPr="001A582F">
        <w:rPr>
          <w:i/>
          <w:iCs/>
          <w:color w:val="auto"/>
        </w:rPr>
        <w:t>85</w:t>
      </w:r>
      <w:r w:rsidRPr="001A582F">
        <w:rPr>
          <w:color w:val="auto"/>
        </w:rPr>
        <w:t>(2), 197–216. https://doi.org/10.1037/0022-3514.85.2.197</w:t>
      </w:r>
    </w:p>
    <w:p w14:paraId="3E1044BC" w14:textId="77777777" w:rsidR="001A582F" w:rsidRPr="001A582F" w:rsidRDefault="001A582F" w:rsidP="001A582F">
      <w:pPr>
        <w:pStyle w:val="Bibliography"/>
        <w:rPr>
          <w:color w:val="auto"/>
        </w:rPr>
      </w:pPr>
      <w:r w:rsidRPr="001A582F">
        <w:rPr>
          <w:color w:val="auto"/>
        </w:rPr>
        <w:t xml:space="preserve">Heathers, J. A., Anaya, J., Zee, T. van der, &amp; Brown, N. J. (2018). </w:t>
      </w:r>
      <w:r w:rsidRPr="001A582F">
        <w:rPr>
          <w:i/>
          <w:iCs/>
          <w:color w:val="auto"/>
        </w:rPr>
        <w:t>Recovering data from summary statistics: Sample Parameter Reconstruction via Iterative TEchniques (SPRITE)</w:t>
      </w:r>
      <w:r w:rsidRPr="001A582F">
        <w:rPr>
          <w:color w:val="auto"/>
        </w:rPr>
        <w:t xml:space="preserve"> (e26968v1). PeerJ </w:t>
      </w:r>
      <w:r w:rsidRPr="001A582F">
        <w:rPr>
          <w:color w:val="auto"/>
        </w:rPr>
        <w:lastRenderedPageBreak/>
        <w:t>Inc. https://doi.org/10.7287/peerj.preprints.26968v1</w:t>
      </w:r>
    </w:p>
    <w:p w14:paraId="1129A828" w14:textId="77777777" w:rsidR="001A582F" w:rsidRPr="001A582F" w:rsidRDefault="001A582F" w:rsidP="001A582F">
      <w:pPr>
        <w:pStyle w:val="Bibliography"/>
        <w:rPr>
          <w:color w:val="auto"/>
        </w:rPr>
      </w:pPr>
      <w:r w:rsidRPr="001A582F">
        <w:rPr>
          <w:color w:val="auto"/>
        </w:rPr>
        <w:t xml:space="preserve">Hemphill, J. F. (2003). Interpreting the magnitudes of correlation coefficients. </w:t>
      </w:r>
      <w:r w:rsidRPr="001A582F">
        <w:rPr>
          <w:i/>
          <w:iCs/>
          <w:color w:val="auto"/>
        </w:rPr>
        <w:t>American Psychologist</w:t>
      </w:r>
      <w:r w:rsidRPr="001A582F">
        <w:rPr>
          <w:color w:val="auto"/>
        </w:rPr>
        <w:t xml:space="preserve">, </w:t>
      </w:r>
      <w:r w:rsidRPr="001A582F">
        <w:rPr>
          <w:i/>
          <w:iCs/>
          <w:color w:val="auto"/>
        </w:rPr>
        <w:t>58</w:t>
      </w:r>
      <w:r w:rsidRPr="001A582F">
        <w:rPr>
          <w:color w:val="auto"/>
        </w:rPr>
        <w:t>(1), 78–79. https://doi.org/10.1037/0003-066X.58.1.78</w:t>
      </w:r>
    </w:p>
    <w:p w14:paraId="0624C16E" w14:textId="77777777" w:rsidR="001A582F" w:rsidRPr="001A582F" w:rsidRDefault="001A582F" w:rsidP="001A582F">
      <w:pPr>
        <w:pStyle w:val="Bibliography"/>
        <w:rPr>
          <w:color w:val="auto"/>
        </w:rPr>
      </w:pPr>
      <w:r w:rsidRPr="001A582F">
        <w:rPr>
          <w:color w:val="auto"/>
        </w:rPr>
        <w:t xml:space="preserve">Hunter, J. E., &amp; Schmidt, F. L. (2004). </w:t>
      </w:r>
      <w:r w:rsidRPr="001A582F">
        <w:rPr>
          <w:i/>
          <w:iCs/>
          <w:color w:val="auto"/>
        </w:rPr>
        <w:t>Methods of meta-analysis: Correcting error and bias in research findings</w:t>
      </w:r>
      <w:r w:rsidRPr="001A582F">
        <w:rPr>
          <w:color w:val="auto"/>
        </w:rPr>
        <w:t>. Sage.</w:t>
      </w:r>
    </w:p>
    <w:p w14:paraId="4B1D4398" w14:textId="77777777" w:rsidR="001A582F" w:rsidRPr="001A582F" w:rsidRDefault="001A582F" w:rsidP="001A582F">
      <w:pPr>
        <w:pStyle w:val="Bibliography"/>
        <w:rPr>
          <w:color w:val="auto"/>
        </w:rPr>
      </w:pPr>
      <w:r w:rsidRPr="001A582F">
        <w:rPr>
          <w:color w:val="auto"/>
        </w:rPr>
        <w:t xml:space="preserve">Hussey, I. (2022). Reply to Barnes-Holmes &amp; Harte (2022) “The IRAP as a Measure of Implicit Cognition: A Case of Frankenstein’s Monster”. </w:t>
      </w:r>
      <w:r w:rsidRPr="001A582F">
        <w:rPr>
          <w:i/>
          <w:iCs/>
          <w:color w:val="auto"/>
        </w:rPr>
        <w:t>PsyArXiv</w:t>
      </w:r>
      <w:r w:rsidRPr="001A582F">
        <w:rPr>
          <w:color w:val="auto"/>
        </w:rPr>
        <w:t>. https://doi.org/10.31234/osf.io/qmg6s</w:t>
      </w:r>
    </w:p>
    <w:p w14:paraId="3CB7059F" w14:textId="77777777" w:rsidR="001A582F" w:rsidRPr="001A582F" w:rsidRDefault="001A582F" w:rsidP="001A582F">
      <w:pPr>
        <w:pStyle w:val="Bibliography"/>
        <w:rPr>
          <w:color w:val="auto"/>
        </w:rPr>
      </w:pPr>
      <w:r w:rsidRPr="001A582F">
        <w:rPr>
          <w:color w:val="auto"/>
        </w:rPr>
        <w:t xml:space="preserve">Hussey, I. (2023). A systematic review of null hypothesis significance testing, sample sizes, and statistical power in research using the Implicit Relational Assessment Procedure. </w:t>
      </w:r>
      <w:r w:rsidRPr="001A582F">
        <w:rPr>
          <w:i/>
          <w:iCs/>
          <w:color w:val="auto"/>
        </w:rPr>
        <w:t>Journal of Contextual Behavioral Science</w:t>
      </w:r>
      <w:r w:rsidRPr="001A582F">
        <w:rPr>
          <w:color w:val="auto"/>
        </w:rPr>
        <w:t xml:space="preserve">, </w:t>
      </w:r>
      <w:r w:rsidRPr="001A582F">
        <w:rPr>
          <w:i/>
          <w:iCs/>
          <w:color w:val="auto"/>
        </w:rPr>
        <w:t>29</w:t>
      </w:r>
      <w:r w:rsidRPr="001A582F">
        <w:rPr>
          <w:color w:val="auto"/>
        </w:rPr>
        <w:t>, 86–97. https://doi.org/10.1016/j.jcbs.2023.06.008</w:t>
      </w:r>
    </w:p>
    <w:p w14:paraId="545F71B6" w14:textId="77777777" w:rsidR="001A582F" w:rsidRPr="001A582F" w:rsidRDefault="001A582F" w:rsidP="001A582F">
      <w:pPr>
        <w:pStyle w:val="Bibliography"/>
        <w:rPr>
          <w:color w:val="auto"/>
        </w:rPr>
      </w:pPr>
      <w:r w:rsidRPr="001A582F">
        <w:rPr>
          <w:color w:val="auto"/>
        </w:rPr>
        <w:t xml:space="preserve">Hussey, I., Alsalti, T., Bosco, F., Elson, M., &amp; Arslan, R. C. (2023). </w:t>
      </w:r>
      <w:r w:rsidRPr="001A582F">
        <w:rPr>
          <w:i/>
          <w:iCs/>
          <w:color w:val="auto"/>
        </w:rPr>
        <w:t>An aberrant abundance of Cronbach’s alpha values at .70</w:t>
      </w:r>
      <w:r w:rsidRPr="001A582F">
        <w:rPr>
          <w:color w:val="auto"/>
        </w:rPr>
        <w:t>. PsyArXiv. https://doi.org/10.31234/osf.io/dm8xn</w:t>
      </w:r>
    </w:p>
    <w:p w14:paraId="6C9A41DC" w14:textId="77777777" w:rsidR="001A582F" w:rsidRPr="001A582F" w:rsidRDefault="001A582F" w:rsidP="001A582F">
      <w:pPr>
        <w:pStyle w:val="Bibliography"/>
        <w:rPr>
          <w:color w:val="auto"/>
        </w:rPr>
      </w:pPr>
      <w:r w:rsidRPr="001A582F">
        <w:rPr>
          <w:color w:val="auto"/>
        </w:rPr>
        <w:t xml:space="preserve">Hussey, I., &amp; Drake, C. E. (2020). The Implicit Relational Assessment Procedure demonstrates poor internal consistency and test-retest reliability: A meta-analysis. </w:t>
      </w:r>
      <w:r w:rsidRPr="001A582F">
        <w:rPr>
          <w:i/>
          <w:iCs/>
          <w:color w:val="auto"/>
        </w:rPr>
        <w:t>PsyArXiv</w:t>
      </w:r>
      <w:r w:rsidRPr="001A582F">
        <w:rPr>
          <w:color w:val="auto"/>
        </w:rPr>
        <w:t>. https://doi.org/10.31234/osf.io/ge3k7</w:t>
      </w:r>
    </w:p>
    <w:p w14:paraId="74DD8097" w14:textId="77777777" w:rsidR="001A582F" w:rsidRPr="001A582F" w:rsidRDefault="001A582F" w:rsidP="001A582F">
      <w:pPr>
        <w:pStyle w:val="Bibliography"/>
        <w:rPr>
          <w:color w:val="auto"/>
        </w:rPr>
      </w:pPr>
      <w:r w:rsidRPr="001A582F">
        <w:rPr>
          <w:color w:val="auto"/>
        </w:rPr>
        <w:t xml:space="preserve">Hussey, I., &amp; Drake, C. E. (2022). </w:t>
      </w:r>
      <w:r w:rsidRPr="001A582F">
        <w:rPr>
          <w:i/>
          <w:iCs/>
          <w:color w:val="auto"/>
        </w:rPr>
        <w:t>The IRAP File-Drawer: A repository of unpublished studies using the Implicit Relational Assessment Procedure</w:t>
      </w:r>
      <w:r w:rsidRPr="001A582F">
        <w:rPr>
          <w:color w:val="auto"/>
        </w:rPr>
        <w:t>. https://osf.io/g4qsu/</w:t>
      </w:r>
    </w:p>
    <w:p w14:paraId="709B21CE" w14:textId="77777777" w:rsidR="001A582F" w:rsidRPr="001A582F" w:rsidRDefault="001A582F" w:rsidP="001A582F">
      <w:pPr>
        <w:pStyle w:val="Bibliography"/>
        <w:rPr>
          <w:color w:val="auto"/>
        </w:rPr>
      </w:pPr>
      <w:r w:rsidRPr="001A582F">
        <w:rPr>
          <w:color w:val="auto"/>
        </w:rPr>
        <w:t xml:space="preserve">Hussey, I., Thompson, M., McEnteggart, C., Barnes-Holmes, D., &amp; Barnes-Holmes, Y. (2015). Interpreting and inverting with less cursing: A guide to interpreting IRAP data. </w:t>
      </w:r>
      <w:r w:rsidRPr="001A582F">
        <w:rPr>
          <w:i/>
          <w:iCs/>
          <w:color w:val="auto"/>
        </w:rPr>
        <w:t>Journal of Contextual Behavioral Science</w:t>
      </w:r>
      <w:r w:rsidRPr="001A582F">
        <w:rPr>
          <w:color w:val="auto"/>
        </w:rPr>
        <w:t xml:space="preserve">, </w:t>
      </w:r>
      <w:r w:rsidRPr="001A582F">
        <w:rPr>
          <w:i/>
          <w:iCs/>
          <w:color w:val="auto"/>
        </w:rPr>
        <w:t>4</w:t>
      </w:r>
      <w:r w:rsidRPr="001A582F">
        <w:rPr>
          <w:color w:val="auto"/>
        </w:rPr>
        <w:t>(3), 157–162. https://doi.org/10.1016/j.jcbs.2015.05.001</w:t>
      </w:r>
    </w:p>
    <w:p w14:paraId="0A6CCCE8" w14:textId="77777777" w:rsidR="001A582F" w:rsidRPr="001A582F" w:rsidRDefault="001A582F" w:rsidP="001A582F">
      <w:pPr>
        <w:pStyle w:val="Bibliography"/>
        <w:rPr>
          <w:color w:val="auto"/>
        </w:rPr>
      </w:pPr>
      <w:r w:rsidRPr="001A582F">
        <w:rPr>
          <w:color w:val="auto"/>
        </w:rPr>
        <w:t xml:space="preserve">Kadlec, D., Sainani, K. L., &amp; Nimphius, S. (2023). With Great Power Comes Great Responsibility: Common Errors in Meta-Analyses and Meta-Regressions in Strength &amp; Conditioning Research. </w:t>
      </w:r>
      <w:r w:rsidRPr="001A582F">
        <w:rPr>
          <w:i/>
          <w:iCs/>
          <w:color w:val="auto"/>
        </w:rPr>
        <w:t>Sports Medicine</w:t>
      </w:r>
      <w:r w:rsidRPr="001A582F">
        <w:rPr>
          <w:color w:val="auto"/>
        </w:rPr>
        <w:t xml:space="preserve">, </w:t>
      </w:r>
      <w:r w:rsidRPr="001A582F">
        <w:rPr>
          <w:i/>
          <w:iCs/>
          <w:color w:val="auto"/>
        </w:rPr>
        <w:t>53</w:t>
      </w:r>
      <w:r w:rsidRPr="001A582F">
        <w:rPr>
          <w:color w:val="auto"/>
        </w:rPr>
        <w:t>(2), 313–325. https://doi.org/10.1007/s40279-022-01766-0</w:t>
      </w:r>
    </w:p>
    <w:p w14:paraId="0AFD9782" w14:textId="77777777" w:rsidR="001A582F" w:rsidRPr="001A582F" w:rsidRDefault="001A582F" w:rsidP="001A582F">
      <w:pPr>
        <w:pStyle w:val="Bibliography"/>
        <w:rPr>
          <w:color w:val="auto"/>
        </w:rPr>
      </w:pPr>
      <w:r w:rsidRPr="001A582F">
        <w:rPr>
          <w:color w:val="auto"/>
        </w:rPr>
        <w:t xml:space="preserve">Kavanagh, D., Barnes-Holmes, Y., &amp; Barnes-Holmes, D. (2022). Attempting to Analyze Perspective-Taking with a False Belief Vignette Using the Implicit Relational Assessment Procedure. </w:t>
      </w:r>
      <w:r w:rsidRPr="001A582F">
        <w:rPr>
          <w:i/>
          <w:iCs/>
          <w:color w:val="auto"/>
        </w:rPr>
        <w:t>The Psychological Record</w:t>
      </w:r>
      <w:r w:rsidRPr="001A582F">
        <w:rPr>
          <w:color w:val="auto"/>
        </w:rPr>
        <w:t xml:space="preserve">, </w:t>
      </w:r>
      <w:r w:rsidRPr="001A582F">
        <w:rPr>
          <w:i/>
          <w:iCs/>
          <w:color w:val="auto"/>
        </w:rPr>
        <w:t>72</w:t>
      </w:r>
      <w:r w:rsidRPr="001A582F">
        <w:rPr>
          <w:color w:val="auto"/>
        </w:rPr>
        <w:t>(4), 525–549. https://doi.org/10.1007/s40732-021-00500-y</w:t>
      </w:r>
    </w:p>
    <w:p w14:paraId="3DAA04AF" w14:textId="77777777" w:rsidR="001A582F" w:rsidRPr="001A582F" w:rsidRDefault="001A582F" w:rsidP="001A582F">
      <w:pPr>
        <w:pStyle w:val="Bibliography"/>
        <w:rPr>
          <w:color w:val="auto"/>
        </w:rPr>
      </w:pPr>
      <w:r w:rsidRPr="001A582F">
        <w:rPr>
          <w:color w:val="auto"/>
        </w:rPr>
        <w:t xml:space="preserve">Lakens, D., Hilgard, J., &amp; Staaks, J. (2016). On the reproducibility of meta-analyses: Six practical recommendations. </w:t>
      </w:r>
      <w:r w:rsidRPr="001A582F">
        <w:rPr>
          <w:i/>
          <w:iCs/>
          <w:color w:val="auto"/>
        </w:rPr>
        <w:t>BMC Psychology</w:t>
      </w:r>
      <w:r w:rsidRPr="001A582F">
        <w:rPr>
          <w:color w:val="auto"/>
        </w:rPr>
        <w:t xml:space="preserve">, </w:t>
      </w:r>
      <w:r w:rsidRPr="001A582F">
        <w:rPr>
          <w:i/>
          <w:iCs/>
          <w:color w:val="auto"/>
        </w:rPr>
        <w:t>4</w:t>
      </w:r>
      <w:r w:rsidRPr="001A582F">
        <w:rPr>
          <w:color w:val="auto"/>
        </w:rPr>
        <w:t>(1), 24. https://doi.org/10.1186/s40359-016-0126-3</w:t>
      </w:r>
    </w:p>
    <w:p w14:paraId="3E8278BA" w14:textId="77777777" w:rsidR="001A582F" w:rsidRPr="001A582F" w:rsidRDefault="001A582F" w:rsidP="001A582F">
      <w:pPr>
        <w:pStyle w:val="Bibliography"/>
        <w:rPr>
          <w:color w:val="auto"/>
        </w:rPr>
      </w:pPr>
      <w:r w:rsidRPr="001A582F">
        <w:rPr>
          <w:color w:val="auto"/>
        </w:rPr>
        <w:t xml:space="preserve">Lakens, D., Page-Gould, E., van Assen, M. A. L. M., Spellman, B., Schönbrodt, F. D., Hasselman, F., Corker, K. S., Grange, J., Sharples, A., Cavender, C., Augusteijn, H., Augusteijn, H., Gerger, H., Locher, C., Miller, I. D., Anvari, F., &amp; Scheel, A. </w:t>
      </w:r>
      <w:r w:rsidRPr="001A582F">
        <w:rPr>
          <w:color w:val="auto"/>
        </w:rPr>
        <w:t xml:space="preserve">M. (2017). </w:t>
      </w:r>
      <w:r w:rsidRPr="001A582F">
        <w:rPr>
          <w:i/>
          <w:iCs/>
          <w:color w:val="auto"/>
        </w:rPr>
        <w:t>Examining the Reproducibility of Meta-Analyses in Psychology: A Preliminary Report</w:t>
      </w:r>
      <w:r w:rsidRPr="001A582F">
        <w:rPr>
          <w:color w:val="auto"/>
        </w:rPr>
        <w:t xml:space="preserve"> [Preprint]. BITSS. https://doi.org/10.31222/osf.io/xfbjf</w:t>
      </w:r>
    </w:p>
    <w:p w14:paraId="2E5E5887" w14:textId="77777777" w:rsidR="001A582F" w:rsidRPr="001A582F" w:rsidRDefault="001A582F" w:rsidP="001A582F">
      <w:pPr>
        <w:pStyle w:val="Bibliography"/>
        <w:rPr>
          <w:color w:val="auto"/>
        </w:rPr>
      </w:pPr>
      <w:r w:rsidRPr="001A582F">
        <w:rPr>
          <w:color w:val="auto"/>
        </w:rPr>
        <w:t xml:space="preserve">Leech, A., Bouyrden, J., Bruijsten, N., Barnes-Holmes, D., &amp; McEnteggart, C. (2018). Training and testing for a transformation of fear and avoidance functions using the Implicit Relational Assessment Procedure: The first study. </w:t>
      </w:r>
      <w:r w:rsidRPr="001A582F">
        <w:rPr>
          <w:i/>
          <w:iCs/>
          <w:color w:val="auto"/>
        </w:rPr>
        <w:t>Behavioural Processes</w:t>
      </w:r>
      <w:r w:rsidRPr="001A582F">
        <w:rPr>
          <w:color w:val="auto"/>
        </w:rPr>
        <w:t xml:space="preserve">, </w:t>
      </w:r>
      <w:r w:rsidRPr="001A582F">
        <w:rPr>
          <w:i/>
          <w:iCs/>
          <w:color w:val="auto"/>
        </w:rPr>
        <w:t>157</w:t>
      </w:r>
      <w:r w:rsidRPr="001A582F">
        <w:rPr>
          <w:color w:val="auto"/>
        </w:rPr>
        <w:t>, 24–35. https://doi.org/10.1016/j.beproc.2018.08.012</w:t>
      </w:r>
    </w:p>
    <w:p w14:paraId="74770E87" w14:textId="77777777" w:rsidR="001A582F" w:rsidRPr="001A582F" w:rsidRDefault="001A582F" w:rsidP="001A582F">
      <w:pPr>
        <w:pStyle w:val="Bibliography"/>
        <w:rPr>
          <w:color w:val="auto"/>
        </w:rPr>
      </w:pPr>
      <w:r w:rsidRPr="001A582F">
        <w:rPr>
          <w:color w:val="auto"/>
        </w:rPr>
        <w:t xml:space="preserve">López-Nicolás, R., López-López, J. A., Rubio-Aparicio, M., &amp; Sánchez-Meca, J. (2022). A meta-review of transparency and reproducibility-related reporting practices in published meta-analyses on clinical psychological interventions (2000–2020). </w:t>
      </w:r>
      <w:r w:rsidRPr="001A582F">
        <w:rPr>
          <w:i/>
          <w:iCs/>
          <w:color w:val="auto"/>
        </w:rPr>
        <w:t>Behavior Research Methods</w:t>
      </w:r>
      <w:r w:rsidRPr="001A582F">
        <w:rPr>
          <w:color w:val="auto"/>
        </w:rPr>
        <w:t xml:space="preserve">, </w:t>
      </w:r>
      <w:r w:rsidRPr="001A582F">
        <w:rPr>
          <w:i/>
          <w:iCs/>
          <w:color w:val="auto"/>
        </w:rPr>
        <w:t>54</w:t>
      </w:r>
      <w:r w:rsidRPr="001A582F">
        <w:rPr>
          <w:color w:val="auto"/>
        </w:rPr>
        <w:t>(1), 334–349. https://doi.org/10.3758/s13428-021-01644-z</w:t>
      </w:r>
    </w:p>
    <w:p w14:paraId="167548EE" w14:textId="77777777" w:rsidR="001A582F" w:rsidRPr="001A582F" w:rsidRDefault="001A582F" w:rsidP="001A582F">
      <w:pPr>
        <w:pStyle w:val="Bibliography"/>
        <w:rPr>
          <w:color w:val="auto"/>
        </w:rPr>
      </w:pPr>
      <w:r w:rsidRPr="001A582F">
        <w:rPr>
          <w:color w:val="auto"/>
        </w:rPr>
        <w:t xml:space="preserve">Maassen, E., Assen, M. A. L. M. van, Nuijten, M. B., Olsson-Collentine, A., &amp; Wicherts, J. M. (2020). Reproducibility of individual effect sizes in meta-analyses in psychology. </w:t>
      </w:r>
      <w:r w:rsidRPr="001A582F">
        <w:rPr>
          <w:i/>
          <w:iCs/>
          <w:color w:val="auto"/>
        </w:rPr>
        <w:t>PLOS ONE</w:t>
      </w:r>
      <w:r w:rsidRPr="001A582F">
        <w:rPr>
          <w:color w:val="auto"/>
        </w:rPr>
        <w:t xml:space="preserve">, </w:t>
      </w:r>
      <w:r w:rsidRPr="001A582F">
        <w:rPr>
          <w:i/>
          <w:iCs/>
          <w:color w:val="auto"/>
        </w:rPr>
        <w:t>15</w:t>
      </w:r>
      <w:r w:rsidRPr="001A582F">
        <w:rPr>
          <w:color w:val="auto"/>
        </w:rPr>
        <w:t>(5), e0233107. https://doi.org/10.1371/journal.pone.0233107</w:t>
      </w:r>
    </w:p>
    <w:p w14:paraId="2C7B9DEA" w14:textId="77777777" w:rsidR="001A582F" w:rsidRPr="001A582F" w:rsidRDefault="001A582F" w:rsidP="001A582F">
      <w:pPr>
        <w:pStyle w:val="Bibliography"/>
        <w:rPr>
          <w:color w:val="auto"/>
        </w:rPr>
      </w:pPr>
      <w:r w:rsidRPr="001A582F">
        <w:rPr>
          <w:color w:val="auto"/>
        </w:rPr>
        <w:t xml:space="preserve">Maloney, E., &amp; Barnes-Holmes, D. (2016). Exploring the Behavioral Dynamics of the Implicit Relational Assessment Procedure: The Role of Relational Contextual Cues Versus Relational Coherence Indicators as Response Options. </w:t>
      </w:r>
      <w:r w:rsidRPr="001A582F">
        <w:rPr>
          <w:i/>
          <w:iCs/>
          <w:color w:val="auto"/>
        </w:rPr>
        <w:t>The Psychological Record</w:t>
      </w:r>
      <w:r w:rsidRPr="001A582F">
        <w:rPr>
          <w:color w:val="auto"/>
        </w:rPr>
        <w:t xml:space="preserve">, </w:t>
      </w:r>
      <w:r w:rsidRPr="001A582F">
        <w:rPr>
          <w:i/>
          <w:iCs/>
          <w:color w:val="auto"/>
        </w:rPr>
        <w:t>66</w:t>
      </w:r>
      <w:r w:rsidRPr="001A582F">
        <w:rPr>
          <w:color w:val="auto"/>
        </w:rPr>
        <w:t>(3), 395–403. https://doi.org/10.1007/s40732-016-0180-5</w:t>
      </w:r>
    </w:p>
    <w:p w14:paraId="1D65F07A" w14:textId="77777777" w:rsidR="001A582F" w:rsidRPr="001A582F" w:rsidRDefault="001A582F" w:rsidP="001A582F">
      <w:pPr>
        <w:pStyle w:val="Bibliography"/>
        <w:rPr>
          <w:color w:val="auto"/>
        </w:rPr>
      </w:pPr>
      <w:r w:rsidRPr="001A582F">
        <w:rPr>
          <w:color w:val="auto"/>
        </w:rPr>
        <w:t xml:space="preserve">Marin, F., Rohatgi, A., &amp; Charlot, S. (2017). </w:t>
      </w:r>
      <w:r w:rsidRPr="001A582F">
        <w:rPr>
          <w:i/>
          <w:iCs/>
          <w:color w:val="auto"/>
        </w:rPr>
        <w:t>WebPlotDigitizer, a polyvalent and free software to extract spectra from old astronomical publications: Application to ultraviolet spectropolarimetry</w:t>
      </w:r>
      <w:r w:rsidRPr="001A582F">
        <w:rPr>
          <w:color w:val="auto"/>
        </w:rPr>
        <w:t xml:space="preserve"> (arXiv:1708.02025). arXiv. http://arxiv.org/abs/1708.02025</w:t>
      </w:r>
    </w:p>
    <w:p w14:paraId="6AC74352" w14:textId="77777777" w:rsidR="001A582F" w:rsidRPr="001A582F" w:rsidRDefault="001A582F" w:rsidP="001A582F">
      <w:pPr>
        <w:pStyle w:val="Bibliography"/>
        <w:rPr>
          <w:color w:val="auto"/>
        </w:rPr>
      </w:pPr>
      <w:r w:rsidRPr="001A582F">
        <w:rPr>
          <w:color w:val="auto"/>
        </w:rPr>
        <w:t xml:space="preserve">Perugini, M., Gallucci, M., &amp; Costantini, G. (2014). Safeguard Power as a Protection Against Imprecise Power Estimates. </w:t>
      </w:r>
      <w:r w:rsidRPr="001A582F">
        <w:rPr>
          <w:i/>
          <w:iCs/>
          <w:color w:val="auto"/>
        </w:rPr>
        <w:t>Perspectives on Psychological Science</w:t>
      </w:r>
      <w:r w:rsidRPr="001A582F">
        <w:rPr>
          <w:color w:val="auto"/>
        </w:rPr>
        <w:t xml:space="preserve">, </w:t>
      </w:r>
      <w:r w:rsidRPr="001A582F">
        <w:rPr>
          <w:i/>
          <w:iCs/>
          <w:color w:val="auto"/>
        </w:rPr>
        <w:t>9</w:t>
      </w:r>
      <w:r w:rsidRPr="001A582F">
        <w:rPr>
          <w:color w:val="auto"/>
        </w:rPr>
        <w:t>(3), 319–332. https://doi.org/10.1177/1745691614528519</w:t>
      </w:r>
    </w:p>
    <w:p w14:paraId="796E9A2B" w14:textId="77777777" w:rsidR="001A582F" w:rsidRPr="001A582F" w:rsidRDefault="001A582F" w:rsidP="001A582F">
      <w:pPr>
        <w:pStyle w:val="Bibliography"/>
        <w:rPr>
          <w:color w:val="auto"/>
        </w:rPr>
      </w:pPr>
      <w:r w:rsidRPr="001A582F">
        <w:rPr>
          <w:color w:val="auto"/>
        </w:rPr>
        <w:t xml:space="preserve">Plessen, C. Y., Karyotaki, E., Miguel, C., Ciharova, M., &amp; Cuijpers, P. (2023). Exploring the efficacy of psychotherapies for depression: A multiverse meta-analysis. </w:t>
      </w:r>
      <w:r w:rsidRPr="001A582F">
        <w:rPr>
          <w:i/>
          <w:iCs/>
          <w:color w:val="auto"/>
        </w:rPr>
        <w:t>BMJ Ment Health</w:t>
      </w:r>
      <w:r w:rsidRPr="001A582F">
        <w:rPr>
          <w:color w:val="auto"/>
        </w:rPr>
        <w:t xml:space="preserve">, </w:t>
      </w:r>
      <w:r w:rsidRPr="001A582F">
        <w:rPr>
          <w:i/>
          <w:iCs/>
          <w:color w:val="auto"/>
        </w:rPr>
        <w:t>26</w:t>
      </w:r>
      <w:r w:rsidRPr="001A582F">
        <w:rPr>
          <w:color w:val="auto"/>
        </w:rPr>
        <w:t>(1). https://doi.org/10.1136/bmjment-2022-300626</w:t>
      </w:r>
    </w:p>
    <w:p w14:paraId="231D6DB7" w14:textId="77777777" w:rsidR="001A582F" w:rsidRPr="001A582F" w:rsidRDefault="001A582F" w:rsidP="001A582F">
      <w:pPr>
        <w:pStyle w:val="Bibliography"/>
        <w:rPr>
          <w:color w:val="auto"/>
        </w:rPr>
      </w:pPr>
      <w:r w:rsidRPr="001A582F">
        <w:rPr>
          <w:color w:val="auto"/>
        </w:rPr>
        <w:t xml:space="preserve">Power, P. M., Harte, C., Barnes-Holmes, D., &amp; Barnes-Holmes, Y. (2017). Exploring Racial Bias in a European Country with a Recent History of Immigration of Black Africans. </w:t>
      </w:r>
      <w:r w:rsidRPr="001A582F">
        <w:rPr>
          <w:i/>
          <w:iCs/>
          <w:color w:val="auto"/>
        </w:rPr>
        <w:t>The Psychological Record</w:t>
      </w:r>
      <w:r w:rsidRPr="001A582F">
        <w:rPr>
          <w:color w:val="auto"/>
        </w:rPr>
        <w:t xml:space="preserve">, </w:t>
      </w:r>
      <w:r w:rsidRPr="001A582F">
        <w:rPr>
          <w:i/>
          <w:iCs/>
          <w:color w:val="auto"/>
        </w:rPr>
        <w:t>67</w:t>
      </w:r>
      <w:r w:rsidRPr="001A582F">
        <w:rPr>
          <w:color w:val="auto"/>
        </w:rPr>
        <w:t>(3), 365–375. https://doi.org/10.1007/s40732-017-0223-6</w:t>
      </w:r>
    </w:p>
    <w:p w14:paraId="3B06D654" w14:textId="77777777" w:rsidR="001A582F" w:rsidRPr="001A582F" w:rsidRDefault="001A582F" w:rsidP="001A582F">
      <w:pPr>
        <w:pStyle w:val="Bibliography"/>
        <w:rPr>
          <w:color w:val="auto"/>
        </w:rPr>
      </w:pPr>
      <w:r w:rsidRPr="001A582F">
        <w:rPr>
          <w:color w:val="auto"/>
        </w:rPr>
        <w:t xml:space="preserve">Revelle, W. (2009). </w:t>
      </w:r>
      <w:r w:rsidRPr="001A582F">
        <w:rPr>
          <w:i/>
          <w:iCs/>
          <w:color w:val="auto"/>
        </w:rPr>
        <w:t>An introduction to psychometric theory with applications in R</w:t>
      </w:r>
      <w:r w:rsidRPr="001A582F">
        <w:rPr>
          <w:color w:val="auto"/>
        </w:rPr>
        <w:t>. Springer Evanston, IL. https://www.personality-project.org/r/book/</w:t>
      </w:r>
    </w:p>
    <w:p w14:paraId="10592DFC" w14:textId="77777777" w:rsidR="001A582F" w:rsidRPr="001A582F" w:rsidRDefault="001A582F" w:rsidP="001A582F">
      <w:pPr>
        <w:pStyle w:val="Bibliography"/>
        <w:rPr>
          <w:color w:val="auto"/>
        </w:rPr>
      </w:pPr>
      <w:r w:rsidRPr="001A582F">
        <w:rPr>
          <w:color w:val="auto"/>
        </w:rPr>
        <w:t xml:space="preserve">Richard, F. D., Bond, C. F., &amp; Stokes-Zoota, J. J. (2003). One Hundred Years of Social Psychology Quantitatively Described. </w:t>
      </w:r>
      <w:r w:rsidRPr="001A582F">
        <w:rPr>
          <w:i/>
          <w:iCs/>
          <w:color w:val="auto"/>
        </w:rPr>
        <w:t xml:space="preserve">Review of General </w:t>
      </w:r>
      <w:r w:rsidRPr="001A582F">
        <w:rPr>
          <w:i/>
          <w:iCs/>
          <w:color w:val="auto"/>
        </w:rPr>
        <w:lastRenderedPageBreak/>
        <w:t>Psychology</w:t>
      </w:r>
      <w:r w:rsidRPr="001A582F">
        <w:rPr>
          <w:color w:val="auto"/>
        </w:rPr>
        <w:t xml:space="preserve">, </w:t>
      </w:r>
      <w:r w:rsidRPr="001A582F">
        <w:rPr>
          <w:i/>
          <w:iCs/>
          <w:color w:val="auto"/>
        </w:rPr>
        <w:t>7</w:t>
      </w:r>
      <w:r w:rsidRPr="001A582F">
        <w:rPr>
          <w:color w:val="auto"/>
        </w:rPr>
        <w:t>(4), 331–363. https://doi.org/10.1037/1089-2680.7.4.331</w:t>
      </w:r>
    </w:p>
    <w:p w14:paraId="4845CB60" w14:textId="77777777" w:rsidR="001A582F" w:rsidRPr="001A582F" w:rsidRDefault="001A582F" w:rsidP="001A582F">
      <w:pPr>
        <w:pStyle w:val="Bibliography"/>
        <w:rPr>
          <w:color w:val="auto"/>
        </w:rPr>
      </w:pPr>
      <w:r w:rsidRPr="001A582F">
        <w:rPr>
          <w:color w:val="auto"/>
        </w:rPr>
        <w:t xml:space="preserve">Rücker, G., Carpenter, J. R., &amp; Schwarzer, G. (2011). Detecting and adjusting for small-study effects in meta-analysis. </w:t>
      </w:r>
      <w:r w:rsidRPr="001A582F">
        <w:rPr>
          <w:i/>
          <w:iCs/>
          <w:color w:val="auto"/>
        </w:rPr>
        <w:t>Biometrical Journal</w:t>
      </w:r>
      <w:r w:rsidRPr="001A582F">
        <w:rPr>
          <w:color w:val="auto"/>
        </w:rPr>
        <w:t xml:space="preserve">, </w:t>
      </w:r>
      <w:r w:rsidRPr="001A582F">
        <w:rPr>
          <w:i/>
          <w:iCs/>
          <w:color w:val="auto"/>
        </w:rPr>
        <w:t>53</w:t>
      </w:r>
      <w:r w:rsidRPr="001A582F">
        <w:rPr>
          <w:color w:val="auto"/>
        </w:rPr>
        <w:t>(2), 351–368. https://doi.org/10.1002/bimj.201000151</w:t>
      </w:r>
    </w:p>
    <w:p w14:paraId="38980FDF" w14:textId="77777777" w:rsidR="001A582F" w:rsidRPr="001A582F" w:rsidRDefault="001A582F" w:rsidP="001A582F">
      <w:pPr>
        <w:pStyle w:val="Bibliography"/>
        <w:rPr>
          <w:color w:val="auto"/>
        </w:rPr>
      </w:pPr>
      <w:r w:rsidRPr="001A582F">
        <w:rPr>
          <w:color w:val="auto"/>
        </w:rPr>
        <w:t xml:space="preserve">Sterne, J. A. C., Gavaghan, D., &amp; Egger, M. (2000). Publication and related bias in meta-analysis: Power of statistical tests and prevalence in the literature. </w:t>
      </w:r>
      <w:r w:rsidRPr="001A582F">
        <w:rPr>
          <w:i/>
          <w:iCs/>
          <w:color w:val="auto"/>
        </w:rPr>
        <w:t>Journal of Clinical Epidemiology</w:t>
      </w:r>
      <w:r w:rsidRPr="001A582F">
        <w:rPr>
          <w:color w:val="auto"/>
        </w:rPr>
        <w:t xml:space="preserve">, </w:t>
      </w:r>
      <w:r w:rsidRPr="001A582F">
        <w:rPr>
          <w:i/>
          <w:iCs/>
          <w:color w:val="auto"/>
        </w:rPr>
        <w:t>53</w:t>
      </w:r>
      <w:r w:rsidRPr="001A582F">
        <w:rPr>
          <w:color w:val="auto"/>
        </w:rPr>
        <w:t>(11), 1119–1129. https://doi.org/10.1016/S0895-4356(00)00242-0</w:t>
      </w:r>
    </w:p>
    <w:p w14:paraId="3CA5AA5D" w14:textId="77777777" w:rsidR="001A582F" w:rsidRPr="001A582F" w:rsidRDefault="001A582F" w:rsidP="001A582F">
      <w:pPr>
        <w:pStyle w:val="Bibliography"/>
        <w:rPr>
          <w:color w:val="auto"/>
        </w:rPr>
      </w:pPr>
      <w:r w:rsidRPr="001A582F">
        <w:rPr>
          <w:color w:val="auto"/>
        </w:rPr>
        <w:t xml:space="preserve">Vahey, N. A., Barnes-Holmes, D., Barnes-Holmes, Y., &amp; Stewart, I. (2009). A first test of the Implicit Relational Assessment Procedure (IRAP) as a measure of self-esteem: Irish prisoner groups and university students. </w:t>
      </w:r>
      <w:r w:rsidRPr="001A582F">
        <w:rPr>
          <w:i/>
          <w:iCs/>
          <w:color w:val="auto"/>
        </w:rPr>
        <w:t>The Psychological Record</w:t>
      </w:r>
      <w:r w:rsidRPr="001A582F">
        <w:rPr>
          <w:color w:val="auto"/>
        </w:rPr>
        <w:t xml:space="preserve">, </w:t>
      </w:r>
      <w:r w:rsidRPr="001A582F">
        <w:rPr>
          <w:i/>
          <w:iCs/>
          <w:color w:val="auto"/>
        </w:rPr>
        <w:t>59</w:t>
      </w:r>
      <w:r w:rsidRPr="001A582F">
        <w:rPr>
          <w:color w:val="auto"/>
        </w:rPr>
        <w:t>(3), 371–388.</w:t>
      </w:r>
    </w:p>
    <w:p w14:paraId="3A858F25" w14:textId="77777777" w:rsidR="001A582F" w:rsidRPr="001A582F" w:rsidRDefault="001A582F" w:rsidP="001A582F">
      <w:pPr>
        <w:pStyle w:val="Bibliography"/>
        <w:rPr>
          <w:color w:val="auto"/>
        </w:rPr>
      </w:pPr>
      <w:r w:rsidRPr="001A582F">
        <w:rPr>
          <w:color w:val="auto"/>
        </w:rPr>
        <w:t xml:space="preserve">Vahey, N. A., Boles, S., &amp; Barnes-Holmes, D. (2010). Measuring adolescents’ smoking-related social identity preferences with the Implicit Relational Assessment Procedure (IRAP) for the first time: A starting point that explains later IRAP evolutions. </w:t>
      </w:r>
      <w:r w:rsidRPr="001A582F">
        <w:rPr>
          <w:i/>
          <w:iCs/>
          <w:color w:val="auto"/>
        </w:rPr>
        <w:t>International Journal of Psychology and Psychological Therapy</w:t>
      </w:r>
      <w:r w:rsidRPr="001A582F">
        <w:rPr>
          <w:color w:val="auto"/>
        </w:rPr>
        <w:t xml:space="preserve">, </w:t>
      </w:r>
      <w:r w:rsidRPr="001A582F">
        <w:rPr>
          <w:i/>
          <w:iCs/>
          <w:color w:val="auto"/>
        </w:rPr>
        <w:t>10</w:t>
      </w:r>
      <w:r w:rsidRPr="001A582F">
        <w:rPr>
          <w:color w:val="auto"/>
        </w:rPr>
        <w:t>(3), 453–474.</w:t>
      </w:r>
    </w:p>
    <w:p w14:paraId="30D164B8" w14:textId="77777777" w:rsidR="001A582F" w:rsidRPr="001A582F" w:rsidRDefault="001A582F" w:rsidP="001A582F">
      <w:pPr>
        <w:pStyle w:val="Bibliography"/>
        <w:rPr>
          <w:color w:val="auto"/>
        </w:rPr>
      </w:pPr>
      <w:r w:rsidRPr="001A582F">
        <w:rPr>
          <w:color w:val="auto"/>
        </w:rPr>
        <w:t xml:space="preserve">Vahey, N. A., Nicholson, E., &amp; Barnes-Holmes, D. (2015). A meta-analysis of criterion effects for the Implicit Relational Assessment Procedure (IRAP) in the clinical domain. </w:t>
      </w:r>
      <w:r w:rsidRPr="001A582F">
        <w:rPr>
          <w:i/>
          <w:iCs/>
          <w:color w:val="auto"/>
        </w:rPr>
        <w:t>Journal of Behavior Therapy and Experimental Psychiatry</w:t>
      </w:r>
      <w:r w:rsidRPr="001A582F">
        <w:rPr>
          <w:color w:val="auto"/>
        </w:rPr>
        <w:t xml:space="preserve">, </w:t>
      </w:r>
      <w:r w:rsidRPr="001A582F">
        <w:rPr>
          <w:i/>
          <w:iCs/>
          <w:color w:val="auto"/>
        </w:rPr>
        <w:t>48</w:t>
      </w:r>
      <w:r w:rsidRPr="001A582F">
        <w:rPr>
          <w:color w:val="auto"/>
        </w:rPr>
        <w:t>, 59–65. https://doi.org/10.1016/j.jbtep.2015.01.004</w:t>
      </w:r>
    </w:p>
    <w:p w14:paraId="6C11BE5C" w14:textId="77777777" w:rsidR="001A582F" w:rsidRPr="001A582F" w:rsidRDefault="001A582F" w:rsidP="001A582F">
      <w:pPr>
        <w:pStyle w:val="Bibliography"/>
        <w:rPr>
          <w:color w:val="auto"/>
        </w:rPr>
      </w:pPr>
      <w:r w:rsidRPr="001A582F">
        <w:rPr>
          <w:color w:val="auto"/>
        </w:rPr>
        <w:t xml:space="preserve">Vevea, J. L., &amp; Woods, C. M. (2005). Publication bias in research synthesis: Sensitivity analysis using a priori weight functions. </w:t>
      </w:r>
      <w:r w:rsidRPr="001A582F">
        <w:rPr>
          <w:i/>
          <w:iCs/>
          <w:color w:val="auto"/>
        </w:rPr>
        <w:t>Psychological Methods</w:t>
      </w:r>
      <w:r w:rsidRPr="001A582F">
        <w:rPr>
          <w:color w:val="auto"/>
        </w:rPr>
        <w:t xml:space="preserve">, </w:t>
      </w:r>
      <w:r w:rsidRPr="001A582F">
        <w:rPr>
          <w:i/>
          <w:iCs/>
          <w:color w:val="auto"/>
        </w:rPr>
        <w:t>10</w:t>
      </w:r>
      <w:r w:rsidRPr="001A582F">
        <w:rPr>
          <w:color w:val="auto"/>
        </w:rPr>
        <w:t>(4), 428–443. https://doi.org/10.1037/1082-989X.10.4.428</w:t>
      </w:r>
    </w:p>
    <w:p w14:paraId="7FC0AF40" w14:textId="77777777" w:rsidR="001A582F" w:rsidRPr="001A582F" w:rsidRDefault="001A582F" w:rsidP="001A582F">
      <w:pPr>
        <w:pStyle w:val="Bibliography"/>
        <w:rPr>
          <w:color w:val="auto"/>
        </w:rPr>
      </w:pPr>
      <w:r w:rsidRPr="001A582F">
        <w:rPr>
          <w:color w:val="auto"/>
        </w:rPr>
        <w:t xml:space="preserve">Viechtbauer, W. (2010). Conducting Meta-Analyses in R with the metafor Package. </w:t>
      </w:r>
      <w:r w:rsidRPr="001A582F">
        <w:rPr>
          <w:i/>
          <w:iCs/>
          <w:color w:val="auto"/>
        </w:rPr>
        <w:t>Journal of Statistical Software</w:t>
      </w:r>
      <w:r w:rsidRPr="001A582F">
        <w:rPr>
          <w:color w:val="auto"/>
        </w:rPr>
        <w:t xml:space="preserve">, </w:t>
      </w:r>
      <w:r w:rsidRPr="001A582F">
        <w:rPr>
          <w:i/>
          <w:iCs/>
          <w:color w:val="auto"/>
        </w:rPr>
        <w:t>36</w:t>
      </w:r>
      <w:r w:rsidRPr="001A582F">
        <w:rPr>
          <w:color w:val="auto"/>
        </w:rPr>
        <w:t>(3). https://doi.org/10.18637/jss.v036.i03</w:t>
      </w:r>
    </w:p>
    <w:p w14:paraId="1E1036BE" w14:textId="77777777" w:rsidR="001A582F" w:rsidRPr="001A582F" w:rsidRDefault="001A582F" w:rsidP="001A582F">
      <w:pPr>
        <w:pStyle w:val="Bibliography"/>
        <w:rPr>
          <w:color w:val="auto"/>
        </w:rPr>
      </w:pPr>
      <w:r w:rsidRPr="001A582F">
        <w:rPr>
          <w:color w:val="auto"/>
        </w:rPr>
        <w:t xml:space="preserve">Viechtbauer, W. (2022). </w:t>
      </w:r>
      <w:r w:rsidRPr="001A582F">
        <w:rPr>
          <w:i/>
          <w:iCs/>
          <w:color w:val="auto"/>
        </w:rPr>
        <w:t>Hunter and Schmidt Method</w:t>
      </w:r>
      <w:r w:rsidRPr="001A582F">
        <w:rPr>
          <w:color w:val="auto"/>
        </w:rPr>
        <w:t>. https://www.metafor-project.org/doku.php/tips:hunter_schmidt_method</w:t>
      </w:r>
    </w:p>
    <w:p w14:paraId="6F10E0AD" w14:textId="77777777" w:rsidR="001A582F" w:rsidRPr="001A582F" w:rsidRDefault="001A582F" w:rsidP="001A582F">
      <w:pPr>
        <w:pStyle w:val="Bibliography"/>
        <w:rPr>
          <w:color w:val="auto"/>
        </w:rPr>
      </w:pPr>
      <w:r w:rsidRPr="001A582F">
        <w:rPr>
          <w:color w:val="auto"/>
        </w:rPr>
        <w:t xml:space="preserve">Viechtbauer, W. (2024). </w:t>
      </w:r>
      <w:r w:rsidRPr="001A582F">
        <w:rPr>
          <w:i/>
          <w:iCs/>
          <w:color w:val="auto"/>
        </w:rPr>
        <w:t>metafor: Meta-Analysis Package for R</w:t>
      </w:r>
      <w:r w:rsidRPr="001A582F">
        <w:rPr>
          <w:color w:val="auto"/>
        </w:rPr>
        <w:t xml:space="preserve"> (Version 4.6-0) [Computer software]. https://CRAN.R-project.org/package=metafor</w:t>
      </w:r>
    </w:p>
    <w:p w14:paraId="75883BE3" w14:textId="77777777" w:rsidR="001A582F" w:rsidRPr="001A582F" w:rsidRDefault="001A582F" w:rsidP="001A582F">
      <w:pPr>
        <w:pStyle w:val="Bibliography"/>
        <w:rPr>
          <w:color w:val="auto"/>
        </w:rPr>
      </w:pPr>
      <w:r w:rsidRPr="001A582F">
        <w:rPr>
          <w:color w:val="auto"/>
        </w:rPr>
        <w:t xml:space="preserve">Wilkinson, J., Heal, C., Antoniou, G. A., Alfirevic, Z., Avenell, A., Barbour, V., Brown, N. J. L., Carlisle, J., Dicker, P., Dumville, J., Grey, A., Gurrin, L. C., Hayden, J. A., Heathers, J., Hunter, K. E., Lasserson, T., Lam, E., Lensen, S., Li, T., … Kirkham, J. J. (2023). </w:t>
      </w:r>
      <w:r w:rsidRPr="001A582F">
        <w:rPr>
          <w:i/>
          <w:iCs/>
          <w:color w:val="auto"/>
        </w:rPr>
        <w:t>Protocol for the development of a tool (INSPECT-SR) to identify problematic randomised controlled trials in systematic reviews of health interventions</w:t>
      </w:r>
      <w:r w:rsidRPr="001A582F">
        <w:rPr>
          <w:color w:val="auto"/>
        </w:rPr>
        <w:t xml:space="preserve"> (p. 2023.09.21.23295626). medRxiv. https://doi.org/10.1101/2023.09.21.23295626</w:t>
      </w:r>
    </w:p>
    <w:p w14:paraId="3B566FFD" w14:textId="30C94CAB" w:rsidR="00954504" w:rsidRPr="00954504" w:rsidRDefault="00000000" w:rsidP="00954504">
      <w:pPr>
        <w:ind w:firstLine="0"/>
      </w:pPr>
      <w:r>
        <w:fldChar w:fldCharType="end"/>
      </w:r>
    </w:p>
    <w:p w14:paraId="7E1308A9" w14:textId="77777777" w:rsidR="00F0388F" w:rsidRDefault="00000000" w:rsidP="002E69B0">
      <w:pPr>
        <w:ind w:firstLine="0"/>
        <w:jc w:val="left"/>
        <w:sectPr w:rsidR="00F0388F" w:rsidSect="00601B7B">
          <w:type w:val="continuous"/>
          <w:pgSz w:w="11900" w:h="16840"/>
          <w:pgMar w:top="1440" w:right="1440" w:bottom="1440" w:left="1440" w:header="709" w:footer="709" w:gutter="0"/>
          <w:cols w:num="2" w:space="340"/>
          <w:titlePg/>
          <w:docGrid w:linePitch="360"/>
          <w15:footnoteColumns w:val="1"/>
        </w:sectPr>
      </w:pPr>
      <w:r>
        <w:t xml:space="preserve"> </w:t>
      </w:r>
    </w:p>
    <w:p w14:paraId="3B402DBC" w14:textId="77777777" w:rsidR="00E976A8" w:rsidRPr="00034410" w:rsidRDefault="00E976A8" w:rsidP="00AF6510">
      <w:pPr>
        <w:ind w:firstLine="0"/>
        <w:jc w:val="left"/>
      </w:pPr>
    </w:p>
    <w:sectPr w:rsidR="00E976A8" w:rsidRPr="00034410" w:rsidSect="00F0388F">
      <w:type w:val="continuous"/>
      <w:pgSz w:w="11900" w:h="16840"/>
      <w:pgMar w:top="1440" w:right="1440" w:bottom="1440" w:left="1440" w:header="709" w:footer="709" w:gutter="0"/>
      <w:cols w:space="708"/>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D71347E" w14:textId="77777777" w:rsidR="00353348" w:rsidRDefault="00353348">
      <w:r>
        <w:separator/>
      </w:r>
    </w:p>
  </w:endnote>
  <w:endnote w:type="continuationSeparator" w:id="0">
    <w:p w14:paraId="586B3EF0" w14:textId="77777777" w:rsidR="00353348" w:rsidRDefault="003533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MU Serif Roman">
    <w:altName w:val="CMU SERIF ROMAN"/>
    <w:panose1 w:val="020B0604020202020204"/>
    <w:charset w:val="00"/>
    <w:family w:val="auto"/>
    <w:pitch w:val="variable"/>
    <w:sig w:usb0="E10002FF" w:usb1="5201E9EB" w:usb2="02020004"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Headings)">
    <w:panose1 w:val="020B0604020202020204"/>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061673761"/>
      <w:docPartObj>
        <w:docPartGallery w:val="Page Numbers (Bottom of Page)"/>
        <w:docPartUnique/>
      </w:docPartObj>
    </w:sdtPr>
    <w:sdtContent>
      <w:p w14:paraId="731806F2" w14:textId="77777777" w:rsidR="008153E3" w:rsidRDefault="00000000" w:rsidP="000E089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fldChar w:fldCharType="end"/>
        </w:r>
      </w:p>
    </w:sdtContent>
  </w:sdt>
  <w:p w14:paraId="7BCF53EB" w14:textId="77777777" w:rsidR="008153E3" w:rsidRDefault="008153E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247666581"/>
      <w:docPartObj>
        <w:docPartGallery w:val="Page Numbers (Bottom of Page)"/>
        <w:docPartUnique/>
      </w:docPartObj>
    </w:sdtPr>
    <w:sdtContent>
      <w:p w14:paraId="547E9A91" w14:textId="77777777" w:rsidR="008153E3" w:rsidRDefault="00000000" w:rsidP="008153E3">
        <w:pPr>
          <w:pStyle w:val="Footer"/>
          <w:framePr w:wrap="none" w:vAnchor="text" w:hAnchor="page" w:x="5570" w:yAlign="top"/>
          <w:jc w:val="cen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17FC8458" w14:textId="77777777" w:rsidR="008153E3" w:rsidRPr="008153E3" w:rsidRDefault="008153E3" w:rsidP="008153E3">
    <w:pPr>
      <w:pStyle w:val="Footer"/>
      <w:ind w:firstLine="0"/>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3EF403B" w14:textId="77777777" w:rsidR="00353348" w:rsidRDefault="00353348" w:rsidP="00034410">
      <w:r>
        <w:separator/>
      </w:r>
    </w:p>
  </w:footnote>
  <w:footnote w:type="continuationSeparator" w:id="0">
    <w:p w14:paraId="2E2AB7B9" w14:textId="77777777" w:rsidR="00353348" w:rsidRDefault="00353348" w:rsidP="00034410">
      <w:r>
        <w:continuationSeparator/>
      </w:r>
    </w:p>
  </w:footnote>
  <w:footnote w:id="1">
    <w:p w14:paraId="2478A9FA" w14:textId="265AB1FF" w:rsidR="00663892" w:rsidRPr="007C23EB" w:rsidRDefault="00663892" w:rsidP="00663892">
      <w:pPr>
        <w:pStyle w:val="FootnoteText"/>
        <w:ind w:firstLine="0"/>
        <w:rPr>
          <w:lang w:val="en-US"/>
        </w:rPr>
      </w:pPr>
      <w:r w:rsidRPr="00C3514C">
        <w:rPr>
          <w:rStyle w:val="FootnoteReference"/>
        </w:rPr>
        <w:footnoteRef/>
      </w:r>
      <w:r>
        <w:t xml:space="preserve"> </w:t>
      </w:r>
      <w:r w:rsidRPr="007C23EB">
        <w:t xml:space="preserve">Two other reviews of the IRAP’s test-retest reliability have also been conducted </w:t>
      </w:r>
      <w:r w:rsidRPr="007C23EB">
        <w:rPr>
          <w:lang w:val="en-US"/>
        </w:rPr>
        <w:fldChar w:fldCharType="begin"/>
      </w:r>
      <w:r>
        <w:rPr>
          <w:lang w:val="en-US"/>
        </w:rPr>
        <w:instrText xml:space="preserve"> ADDIN ZOTERO_ITEM CSL_CITATION {"citationID":"MuNlVxc2","properties":{"formattedCitation":"(Golijani-Moghaddam et al., 2013: r = .49; Greenwald &amp; Lai, 2020: r = .45)","plainCitation":"(Golijani-Moghaddam et al., 2013: r = .49; Greenwald &amp; Lai, 2020: r = .45)","dontUpdate":true,"noteIndex":1},"citationItems":[{"id":1874,"uris":["http://zotero.org/users/1687755/items/WEXEG2BA"],"itemData":{"id":1874,"type":"article-journal","container-title":"Journal of Contextual Behavioral Science","DOI":"10.1016/j.jcbs.2013.05.002","ISSN":"22121447","issue":"3-4","language":"en","page":"105-119","source":"CrossRef","title":"The Implicit Relational Assessment Procedure: Emerging reliability and validity data","title-short":"The Implicit Relational Assessment Procedure","volume":"2","author":[{"family":"Golijani-Moghaddam","given":"Nima"},{"family":"Hart","given":"Aidan"},{"family":"Dawson","given":"David L."}],"issued":{"date-parts":[["2013",10]]}},"label":"page","suffix":": r = .49"},{"id":432,"uris":["http://zotero.org/users/1687755/items/UQYJYU63"],"itemData":{"id":432,"type":"article-journal","abstract":"In the last 20 years, research on implicit social cognition has established that social judgments and behavior are guided by attitudes and stereotypes of which the actor may lack awareness. Research using the methods of implicit social cognition has produced the concept of implicit bias, which has generated wide attention not only in social, clinical, and developmental psychology, but also in disciplines outside of psychology, including business, law, criminal justice, medicine, education, and political science. Although this rapidly growing body of research offers prospects of useful societal applications, the theory needed to confidently guide those applications remains insufficiently developed. This article describes the methods that have been developed, the findings that have been obtained, and the theoretical questions that remain to be answered.","container-title":"Annual Review of Psychology","DOI":"10.1146/annurev-psych-010419-050837","issue":"1","note":"_eprint: https://doi.org/10.1146/annurev-psych-010419-050837\nPMID: 31640465","page":"419-445","source":"Annual Reviews","title":"Implicit Social Cognition","volume":"71","author":[{"family":"Greenwald","given":"Anthony G."},{"family":"Lai","given":"Calvin K."}],"issued":{"date-parts":[["2020"]]}},"label":"page","suffix":": r = .45"}],"schema":"https://github.com/citation-style-language/schema/raw/master/csl-citation.json"} </w:instrText>
      </w:r>
      <w:r w:rsidRPr="007C23EB">
        <w:rPr>
          <w:lang w:val="en-US"/>
        </w:rPr>
        <w:fldChar w:fldCharType="separate"/>
      </w:r>
      <w:r>
        <w:rPr>
          <w:lang w:val="en-US"/>
        </w:rPr>
        <w:t xml:space="preserve">(Golijani-Moghaddam et al., 2013: </w:t>
      </w:r>
      <m:oMath>
        <m:acc>
          <m:accPr>
            <m:chr m:val="̅"/>
            <m:ctrlPr>
              <w:rPr>
                <w:rFonts w:ascii="Cambria Math" w:hAnsi="Cambria Math" w:cstheme="majorHAnsi"/>
                <w:i/>
                <w:sz w:val="20"/>
                <w:szCs w:val="20"/>
              </w:rPr>
            </m:ctrlPr>
          </m:accPr>
          <m:e>
            <m:r>
              <m:rPr>
                <m:sty m:val="p"/>
              </m:rPr>
              <w:rPr>
                <w:rFonts w:ascii="Cambria Math" w:hAnsi="Cambria Math"/>
              </w:rPr>
              <m:t>r</m:t>
            </m:r>
          </m:e>
        </m:acc>
      </m:oMath>
      <w:r>
        <w:rPr>
          <w:lang w:val="en-US"/>
        </w:rPr>
        <w:t xml:space="preserve"> = .49; Greenwald &amp; Lai, 2020: </w:t>
      </w:r>
      <m:oMath>
        <m:acc>
          <m:accPr>
            <m:chr m:val="̅"/>
            <m:ctrlPr>
              <w:rPr>
                <w:rFonts w:ascii="Cambria Math" w:hAnsi="Cambria Math" w:cstheme="majorHAnsi"/>
                <w:iCs/>
                <w:sz w:val="20"/>
                <w:szCs w:val="20"/>
              </w:rPr>
            </m:ctrlPr>
          </m:accPr>
          <m:e>
            <m:r>
              <m:rPr>
                <m:sty m:val="p"/>
              </m:rPr>
              <w:rPr>
                <w:rFonts w:ascii="Cambria Math" w:hAnsi="Cambria Math"/>
              </w:rPr>
              <m:t>r</m:t>
            </m:r>
          </m:e>
        </m:acc>
      </m:oMath>
      <w:r>
        <w:rPr>
          <w:lang w:val="en-US"/>
        </w:rPr>
        <w:t xml:space="preserve"> = .45)</w:t>
      </w:r>
      <w:r w:rsidRPr="007C23EB">
        <w:rPr>
          <w:lang w:val="en-US"/>
        </w:rPr>
        <w:fldChar w:fldCharType="end"/>
      </w:r>
      <w:r w:rsidRPr="007C23EB">
        <w:rPr>
          <w:lang w:val="en-US"/>
        </w:rPr>
        <w:t>.</w:t>
      </w:r>
      <w:r w:rsidRPr="007C23EB">
        <w:t xml:space="preserve"> However, both estimated test-retest reliability from a very small number of studies (</w:t>
      </w:r>
      <w:r w:rsidRPr="007C23EB">
        <w:rPr>
          <w:i/>
          <w:iCs/>
        </w:rPr>
        <w:t>k</w:t>
      </w:r>
      <w:r w:rsidRPr="007C23EB">
        <w:t>s = 1 and 2, respectively) with very small sample sizes (</w:t>
      </w:r>
      <w:r w:rsidRPr="007C23EB">
        <w:rPr>
          <w:i/>
          <w:iCs/>
        </w:rPr>
        <w:t>N</w:t>
      </w:r>
      <w:r w:rsidRPr="007C23EB">
        <w:t xml:space="preserve">s = 12 and 25, respectively). Hussey &amp; Drake’s </w:t>
      </w:r>
      <w:r w:rsidRPr="007C23EB">
        <w:fldChar w:fldCharType="begin"/>
      </w:r>
      <w:r>
        <w:instrText xml:space="preserve"> ADDIN ZOTERO_ITEM CSL_CITATION {"citationID":"svW3NYbQ","properties":{"formattedCitation":"(2020)","plainCitation":"(2020)","noteIndex":1},"citationItems":[{"id":15,"uris":["http://zotero.org/users/1687755/items/MU3ZSDRR"],"itemData":{"id":15,"type":"article-journal","abstract":"Evidence for the IRAP’s reliability and validity is mixed, with one meta-analysis concluding it has good criterion validity and potential for clinical assessment, and two others concluding that it demonstrates low reliability. Here, we extend this evidence base through meta-analyses of all published and unpublished studies conducted in two labs. Individual participant data was used to estimate both internal consistency and test-retest reliability across a large number of domains (k = 16) and participants (N = 1576). Results suggest that internal consistency is poor (α = .51, 95% CI [.46, .56]) and test-retest reliability is very poor (ICC = .20, 95% CI [.05, .34]). We conclude that researchers should be very cautious about choosing to employ the IRAP or when interpreting its results.","container-title":"PsyArXiv","DOI":"10.31234/osf.io/ge3k7","note":"publisher: PsyArXiv","source":"psyarxiv.com","title":"The Implicit Relational Assessment Procedure demonstrates poor internal consistency and test-retest reliability: A meta-analysis","URL":"https://psyarxiv.com/ge3k7/","author":[{"family":"Hussey","given":"Ian"},{"family":"Drake","given":"Chad E."}],"accessed":{"date-parts":[["2020",6,12]]},"issued":{"date-parts":[["2020"]]}},"label":"page","suppress-author":true}],"schema":"https://github.com/citation-style-language/schema/raw/master/csl-citation.json"} </w:instrText>
      </w:r>
      <w:r w:rsidRPr="007C23EB">
        <w:fldChar w:fldCharType="separate"/>
      </w:r>
      <w:r w:rsidRPr="007C23EB">
        <w:t>(2020)</w:t>
      </w:r>
      <w:r w:rsidRPr="007C23EB">
        <w:rPr>
          <w:lang w:val="en-US"/>
        </w:rPr>
        <w:fldChar w:fldCharType="end"/>
      </w:r>
      <w:r w:rsidRPr="007C23EB">
        <w:t xml:space="preserve"> estimate</w:t>
      </w:r>
      <w:r>
        <w:t xml:space="preserve">s, which were derived from a </w:t>
      </w:r>
      <w:r w:rsidRPr="007D7ACB">
        <w:t>larger</w:t>
      </w:r>
      <w:r>
        <w:t xml:space="preserve"> number of studies and participants (k = 8, N = </w:t>
      </w:r>
      <w:r w:rsidRPr="007C23EB">
        <w:rPr>
          <w:lang w:val="en-US"/>
        </w:rPr>
        <w:t>318</w:t>
      </w:r>
      <w:r>
        <w:rPr>
          <w:lang w:val="en-US"/>
        </w:rPr>
        <w:t>)</w:t>
      </w:r>
      <w:r w:rsidRPr="007C23EB">
        <w:t xml:space="preserve"> therefore represent the </w:t>
      </w:r>
      <w:r>
        <w:t xml:space="preserve">more </w:t>
      </w:r>
      <w:r w:rsidRPr="007C23EB">
        <w:t>precise estimate</w:t>
      </w:r>
      <w:r>
        <w:t>s. In addition, Hussey &amp; Drake (2020) employ both more appropriate methods to estimate reliability (i.e., permutation-based internal consistency rather than split-half reliability, and ICC</w:t>
      </w:r>
      <w:r w:rsidRPr="00E15CFC">
        <w:rPr>
          <w:rFonts w:cs="Calibri (Headings)"/>
          <w:vertAlign w:val="subscript"/>
        </w:rPr>
        <w:t>2</w:t>
      </w:r>
      <w:r>
        <w:t xml:space="preserve"> rather than Pearson’s </w:t>
      </w:r>
      <w:r w:rsidRPr="00E15CFC">
        <w:rPr>
          <w:i/>
          <w:iCs/>
        </w:rPr>
        <w:t>r</w:t>
      </w:r>
      <w:r>
        <w:t xml:space="preserve">. See Hussey &amp; Drake (2020) for further discussion.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CD11E5"/>
    <w:multiLevelType w:val="hybridMultilevel"/>
    <w:tmpl w:val="1FD23106"/>
    <w:lvl w:ilvl="0" w:tplc="07DE3FDA">
      <w:start w:val="1"/>
      <w:numFmt w:val="decimal"/>
      <w:lvlText w:val="%1."/>
      <w:lvlJc w:val="left"/>
      <w:pPr>
        <w:ind w:left="720" w:hanging="360"/>
      </w:pPr>
      <w:rPr>
        <w:rFonts w:hint="default"/>
      </w:rPr>
    </w:lvl>
    <w:lvl w:ilvl="1" w:tplc="EB3E7032" w:tentative="1">
      <w:start w:val="1"/>
      <w:numFmt w:val="lowerLetter"/>
      <w:lvlText w:val="%2."/>
      <w:lvlJc w:val="left"/>
      <w:pPr>
        <w:ind w:left="1440" w:hanging="360"/>
      </w:pPr>
    </w:lvl>
    <w:lvl w:ilvl="2" w:tplc="9FA4CE90" w:tentative="1">
      <w:start w:val="1"/>
      <w:numFmt w:val="lowerRoman"/>
      <w:lvlText w:val="%3."/>
      <w:lvlJc w:val="right"/>
      <w:pPr>
        <w:ind w:left="2160" w:hanging="180"/>
      </w:pPr>
    </w:lvl>
    <w:lvl w:ilvl="3" w:tplc="DF08F312" w:tentative="1">
      <w:start w:val="1"/>
      <w:numFmt w:val="decimal"/>
      <w:lvlText w:val="%4."/>
      <w:lvlJc w:val="left"/>
      <w:pPr>
        <w:ind w:left="2880" w:hanging="360"/>
      </w:pPr>
    </w:lvl>
    <w:lvl w:ilvl="4" w:tplc="B3BE16B8" w:tentative="1">
      <w:start w:val="1"/>
      <w:numFmt w:val="lowerLetter"/>
      <w:lvlText w:val="%5."/>
      <w:lvlJc w:val="left"/>
      <w:pPr>
        <w:ind w:left="3600" w:hanging="360"/>
      </w:pPr>
    </w:lvl>
    <w:lvl w:ilvl="5" w:tplc="E0ACAF48" w:tentative="1">
      <w:start w:val="1"/>
      <w:numFmt w:val="lowerRoman"/>
      <w:lvlText w:val="%6."/>
      <w:lvlJc w:val="right"/>
      <w:pPr>
        <w:ind w:left="4320" w:hanging="180"/>
      </w:pPr>
    </w:lvl>
    <w:lvl w:ilvl="6" w:tplc="DA36E7C8" w:tentative="1">
      <w:start w:val="1"/>
      <w:numFmt w:val="decimal"/>
      <w:lvlText w:val="%7."/>
      <w:lvlJc w:val="left"/>
      <w:pPr>
        <w:ind w:left="5040" w:hanging="360"/>
      </w:pPr>
    </w:lvl>
    <w:lvl w:ilvl="7" w:tplc="7C22BBAA" w:tentative="1">
      <w:start w:val="1"/>
      <w:numFmt w:val="lowerLetter"/>
      <w:lvlText w:val="%8."/>
      <w:lvlJc w:val="left"/>
      <w:pPr>
        <w:ind w:left="5760" w:hanging="360"/>
      </w:pPr>
    </w:lvl>
    <w:lvl w:ilvl="8" w:tplc="E738DF9A" w:tentative="1">
      <w:start w:val="1"/>
      <w:numFmt w:val="lowerRoman"/>
      <w:lvlText w:val="%9."/>
      <w:lvlJc w:val="right"/>
      <w:pPr>
        <w:ind w:left="6480" w:hanging="180"/>
      </w:pPr>
    </w:lvl>
  </w:abstractNum>
  <w:abstractNum w:abstractNumId="1" w15:restartNumberingAfterBreak="0">
    <w:nsid w:val="190343CC"/>
    <w:multiLevelType w:val="hybridMultilevel"/>
    <w:tmpl w:val="1F8C8082"/>
    <w:lvl w:ilvl="0" w:tplc="462A2688">
      <w:start w:val="1"/>
      <w:numFmt w:val="bullet"/>
      <w:lvlText w:val="-"/>
      <w:lvlJc w:val="left"/>
      <w:pPr>
        <w:ind w:left="1080" w:hanging="360"/>
      </w:pPr>
      <w:rPr>
        <w:rFonts w:ascii="CMU Serif Roman" w:eastAsiaTheme="minorEastAsia" w:hAnsi="CMU Serif Roman" w:cs="CMU Serif Roman" w:hint="default"/>
      </w:rPr>
    </w:lvl>
    <w:lvl w:ilvl="1" w:tplc="AE9E8228" w:tentative="1">
      <w:start w:val="1"/>
      <w:numFmt w:val="bullet"/>
      <w:lvlText w:val="o"/>
      <w:lvlJc w:val="left"/>
      <w:pPr>
        <w:ind w:left="1800" w:hanging="360"/>
      </w:pPr>
      <w:rPr>
        <w:rFonts w:ascii="Courier New" w:hAnsi="Courier New" w:cs="Courier New" w:hint="default"/>
      </w:rPr>
    </w:lvl>
    <w:lvl w:ilvl="2" w:tplc="B33EC204" w:tentative="1">
      <w:start w:val="1"/>
      <w:numFmt w:val="bullet"/>
      <w:lvlText w:val=""/>
      <w:lvlJc w:val="left"/>
      <w:pPr>
        <w:ind w:left="2520" w:hanging="360"/>
      </w:pPr>
      <w:rPr>
        <w:rFonts w:ascii="Wingdings" w:hAnsi="Wingdings" w:hint="default"/>
      </w:rPr>
    </w:lvl>
    <w:lvl w:ilvl="3" w:tplc="8B689144" w:tentative="1">
      <w:start w:val="1"/>
      <w:numFmt w:val="bullet"/>
      <w:lvlText w:val=""/>
      <w:lvlJc w:val="left"/>
      <w:pPr>
        <w:ind w:left="3240" w:hanging="360"/>
      </w:pPr>
      <w:rPr>
        <w:rFonts w:ascii="Symbol" w:hAnsi="Symbol" w:hint="default"/>
      </w:rPr>
    </w:lvl>
    <w:lvl w:ilvl="4" w:tplc="42FC282C" w:tentative="1">
      <w:start w:val="1"/>
      <w:numFmt w:val="bullet"/>
      <w:lvlText w:val="o"/>
      <w:lvlJc w:val="left"/>
      <w:pPr>
        <w:ind w:left="3960" w:hanging="360"/>
      </w:pPr>
      <w:rPr>
        <w:rFonts w:ascii="Courier New" w:hAnsi="Courier New" w:cs="Courier New" w:hint="default"/>
      </w:rPr>
    </w:lvl>
    <w:lvl w:ilvl="5" w:tplc="9AC899A8" w:tentative="1">
      <w:start w:val="1"/>
      <w:numFmt w:val="bullet"/>
      <w:lvlText w:val=""/>
      <w:lvlJc w:val="left"/>
      <w:pPr>
        <w:ind w:left="4680" w:hanging="360"/>
      </w:pPr>
      <w:rPr>
        <w:rFonts w:ascii="Wingdings" w:hAnsi="Wingdings" w:hint="default"/>
      </w:rPr>
    </w:lvl>
    <w:lvl w:ilvl="6" w:tplc="2F16CCA4" w:tentative="1">
      <w:start w:val="1"/>
      <w:numFmt w:val="bullet"/>
      <w:lvlText w:val=""/>
      <w:lvlJc w:val="left"/>
      <w:pPr>
        <w:ind w:left="5400" w:hanging="360"/>
      </w:pPr>
      <w:rPr>
        <w:rFonts w:ascii="Symbol" w:hAnsi="Symbol" w:hint="default"/>
      </w:rPr>
    </w:lvl>
    <w:lvl w:ilvl="7" w:tplc="2F7E77A4" w:tentative="1">
      <w:start w:val="1"/>
      <w:numFmt w:val="bullet"/>
      <w:lvlText w:val="o"/>
      <w:lvlJc w:val="left"/>
      <w:pPr>
        <w:ind w:left="6120" w:hanging="360"/>
      </w:pPr>
      <w:rPr>
        <w:rFonts w:ascii="Courier New" w:hAnsi="Courier New" w:cs="Courier New" w:hint="default"/>
      </w:rPr>
    </w:lvl>
    <w:lvl w:ilvl="8" w:tplc="3904A594" w:tentative="1">
      <w:start w:val="1"/>
      <w:numFmt w:val="bullet"/>
      <w:lvlText w:val=""/>
      <w:lvlJc w:val="left"/>
      <w:pPr>
        <w:ind w:left="6840" w:hanging="360"/>
      </w:pPr>
      <w:rPr>
        <w:rFonts w:ascii="Wingdings" w:hAnsi="Wingdings" w:hint="default"/>
      </w:rPr>
    </w:lvl>
  </w:abstractNum>
  <w:abstractNum w:abstractNumId="2" w15:restartNumberingAfterBreak="0">
    <w:nsid w:val="301021DF"/>
    <w:multiLevelType w:val="hybridMultilevel"/>
    <w:tmpl w:val="9CD0579A"/>
    <w:lvl w:ilvl="0" w:tplc="D0CA5836">
      <w:start w:val="30"/>
      <w:numFmt w:val="bullet"/>
      <w:lvlText w:val=""/>
      <w:lvlJc w:val="left"/>
      <w:pPr>
        <w:ind w:left="720" w:hanging="360"/>
      </w:pPr>
      <w:rPr>
        <w:rFonts w:ascii="Symbol" w:eastAsia="MS Mincho" w:hAnsi="Symbol" w:cs="CMU Serif Roman" w:hint="default"/>
      </w:rPr>
    </w:lvl>
    <w:lvl w:ilvl="1" w:tplc="9344405E" w:tentative="1">
      <w:start w:val="1"/>
      <w:numFmt w:val="bullet"/>
      <w:lvlText w:val="o"/>
      <w:lvlJc w:val="left"/>
      <w:pPr>
        <w:ind w:left="1440" w:hanging="360"/>
      </w:pPr>
      <w:rPr>
        <w:rFonts w:ascii="Courier New" w:hAnsi="Courier New" w:cs="Courier New" w:hint="default"/>
      </w:rPr>
    </w:lvl>
    <w:lvl w:ilvl="2" w:tplc="B6EAB454" w:tentative="1">
      <w:start w:val="1"/>
      <w:numFmt w:val="bullet"/>
      <w:lvlText w:val=""/>
      <w:lvlJc w:val="left"/>
      <w:pPr>
        <w:ind w:left="2160" w:hanging="360"/>
      </w:pPr>
      <w:rPr>
        <w:rFonts w:ascii="Wingdings" w:hAnsi="Wingdings" w:hint="default"/>
      </w:rPr>
    </w:lvl>
    <w:lvl w:ilvl="3" w:tplc="B0C04CBC" w:tentative="1">
      <w:start w:val="1"/>
      <w:numFmt w:val="bullet"/>
      <w:lvlText w:val=""/>
      <w:lvlJc w:val="left"/>
      <w:pPr>
        <w:ind w:left="2880" w:hanging="360"/>
      </w:pPr>
      <w:rPr>
        <w:rFonts w:ascii="Symbol" w:hAnsi="Symbol" w:hint="default"/>
      </w:rPr>
    </w:lvl>
    <w:lvl w:ilvl="4" w:tplc="2F0E7B26" w:tentative="1">
      <w:start w:val="1"/>
      <w:numFmt w:val="bullet"/>
      <w:lvlText w:val="o"/>
      <w:lvlJc w:val="left"/>
      <w:pPr>
        <w:ind w:left="3600" w:hanging="360"/>
      </w:pPr>
      <w:rPr>
        <w:rFonts w:ascii="Courier New" w:hAnsi="Courier New" w:cs="Courier New" w:hint="default"/>
      </w:rPr>
    </w:lvl>
    <w:lvl w:ilvl="5" w:tplc="C148A1EE" w:tentative="1">
      <w:start w:val="1"/>
      <w:numFmt w:val="bullet"/>
      <w:lvlText w:val=""/>
      <w:lvlJc w:val="left"/>
      <w:pPr>
        <w:ind w:left="4320" w:hanging="360"/>
      </w:pPr>
      <w:rPr>
        <w:rFonts w:ascii="Wingdings" w:hAnsi="Wingdings" w:hint="default"/>
      </w:rPr>
    </w:lvl>
    <w:lvl w:ilvl="6" w:tplc="D6BED93C" w:tentative="1">
      <w:start w:val="1"/>
      <w:numFmt w:val="bullet"/>
      <w:lvlText w:val=""/>
      <w:lvlJc w:val="left"/>
      <w:pPr>
        <w:ind w:left="5040" w:hanging="360"/>
      </w:pPr>
      <w:rPr>
        <w:rFonts w:ascii="Symbol" w:hAnsi="Symbol" w:hint="default"/>
      </w:rPr>
    </w:lvl>
    <w:lvl w:ilvl="7" w:tplc="907C83D4" w:tentative="1">
      <w:start w:val="1"/>
      <w:numFmt w:val="bullet"/>
      <w:lvlText w:val="o"/>
      <w:lvlJc w:val="left"/>
      <w:pPr>
        <w:ind w:left="5760" w:hanging="360"/>
      </w:pPr>
      <w:rPr>
        <w:rFonts w:ascii="Courier New" w:hAnsi="Courier New" w:cs="Courier New" w:hint="default"/>
      </w:rPr>
    </w:lvl>
    <w:lvl w:ilvl="8" w:tplc="D40EB47A" w:tentative="1">
      <w:start w:val="1"/>
      <w:numFmt w:val="bullet"/>
      <w:lvlText w:val=""/>
      <w:lvlJc w:val="left"/>
      <w:pPr>
        <w:ind w:left="6480" w:hanging="360"/>
      </w:pPr>
      <w:rPr>
        <w:rFonts w:ascii="Wingdings" w:hAnsi="Wingdings" w:hint="default"/>
      </w:rPr>
    </w:lvl>
  </w:abstractNum>
  <w:abstractNum w:abstractNumId="3" w15:restartNumberingAfterBreak="0">
    <w:nsid w:val="334779A3"/>
    <w:multiLevelType w:val="hybridMultilevel"/>
    <w:tmpl w:val="483443A8"/>
    <w:lvl w:ilvl="0" w:tplc="F216FBC6">
      <w:start w:val="30"/>
      <w:numFmt w:val="bullet"/>
      <w:lvlText w:val=""/>
      <w:lvlJc w:val="left"/>
      <w:pPr>
        <w:ind w:left="720" w:hanging="360"/>
      </w:pPr>
      <w:rPr>
        <w:rFonts w:ascii="Symbol" w:eastAsia="MS Mincho" w:hAnsi="Symbol" w:cs="CMU Serif Roman" w:hint="default"/>
        <w:color w:val="000000"/>
      </w:rPr>
    </w:lvl>
    <w:lvl w:ilvl="1" w:tplc="907098FC" w:tentative="1">
      <w:start w:val="1"/>
      <w:numFmt w:val="bullet"/>
      <w:lvlText w:val="o"/>
      <w:lvlJc w:val="left"/>
      <w:pPr>
        <w:ind w:left="1440" w:hanging="360"/>
      </w:pPr>
      <w:rPr>
        <w:rFonts w:ascii="Courier New" w:hAnsi="Courier New" w:cs="Courier New" w:hint="default"/>
      </w:rPr>
    </w:lvl>
    <w:lvl w:ilvl="2" w:tplc="77A46566" w:tentative="1">
      <w:start w:val="1"/>
      <w:numFmt w:val="bullet"/>
      <w:lvlText w:val=""/>
      <w:lvlJc w:val="left"/>
      <w:pPr>
        <w:ind w:left="2160" w:hanging="360"/>
      </w:pPr>
      <w:rPr>
        <w:rFonts w:ascii="Wingdings" w:hAnsi="Wingdings" w:hint="default"/>
      </w:rPr>
    </w:lvl>
    <w:lvl w:ilvl="3" w:tplc="72E66764" w:tentative="1">
      <w:start w:val="1"/>
      <w:numFmt w:val="bullet"/>
      <w:lvlText w:val=""/>
      <w:lvlJc w:val="left"/>
      <w:pPr>
        <w:ind w:left="2880" w:hanging="360"/>
      </w:pPr>
      <w:rPr>
        <w:rFonts w:ascii="Symbol" w:hAnsi="Symbol" w:hint="default"/>
      </w:rPr>
    </w:lvl>
    <w:lvl w:ilvl="4" w:tplc="EB6085FC" w:tentative="1">
      <w:start w:val="1"/>
      <w:numFmt w:val="bullet"/>
      <w:lvlText w:val="o"/>
      <w:lvlJc w:val="left"/>
      <w:pPr>
        <w:ind w:left="3600" w:hanging="360"/>
      </w:pPr>
      <w:rPr>
        <w:rFonts w:ascii="Courier New" w:hAnsi="Courier New" w:cs="Courier New" w:hint="default"/>
      </w:rPr>
    </w:lvl>
    <w:lvl w:ilvl="5" w:tplc="AD74CF1A" w:tentative="1">
      <w:start w:val="1"/>
      <w:numFmt w:val="bullet"/>
      <w:lvlText w:val=""/>
      <w:lvlJc w:val="left"/>
      <w:pPr>
        <w:ind w:left="4320" w:hanging="360"/>
      </w:pPr>
      <w:rPr>
        <w:rFonts w:ascii="Wingdings" w:hAnsi="Wingdings" w:hint="default"/>
      </w:rPr>
    </w:lvl>
    <w:lvl w:ilvl="6" w:tplc="C86A17F6" w:tentative="1">
      <w:start w:val="1"/>
      <w:numFmt w:val="bullet"/>
      <w:lvlText w:val=""/>
      <w:lvlJc w:val="left"/>
      <w:pPr>
        <w:ind w:left="5040" w:hanging="360"/>
      </w:pPr>
      <w:rPr>
        <w:rFonts w:ascii="Symbol" w:hAnsi="Symbol" w:hint="default"/>
      </w:rPr>
    </w:lvl>
    <w:lvl w:ilvl="7" w:tplc="891436A2" w:tentative="1">
      <w:start w:val="1"/>
      <w:numFmt w:val="bullet"/>
      <w:lvlText w:val="o"/>
      <w:lvlJc w:val="left"/>
      <w:pPr>
        <w:ind w:left="5760" w:hanging="360"/>
      </w:pPr>
      <w:rPr>
        <w:rFonts w:ascii="Courier New" w:hAnsi="Courier New" w:cs="Courier New" w:hint="default"/>
      </w:rPr>
    </w:lvl>
    <w:lvl w:ilvl="8" w:tplc="55CCE95C" w:tentative="1">
      <w:start w:val="1"/>
      <w:numFmt w:val="bullet"/>
      <w:lvlText w:val=""/>
      <w:lvlJc w:val="left"/>
      <w:pPr>
        <w:ind w:left="6480" w:hanging="360"/>
      </w:pPr>
      <w:rPr>
        <w:rFonts w:ascii="Wingdings" w:hAnsi="Wingdings" w:hint="default"/>
      </w:rPr>
    </w:lvl>
  </w:abstractNum>
  <w:abstractNum w:abstractNumId="4" w15:restartNumberingAfterBreak="0">
    <w:nsid w:val="37BD1029"/>
    <w:multiLevelType w:val="hybridMultilevel"/>
    <w:tmpl w:val="90802C1E"/>
    <w:lvl w:ilvl="0" w:tplc="CAB2A17E">
      <w:start w:val="30"/>
      <w:numFmt w:val="bullet"/>
      <w:lvlText w:val=""/>
      <w:lvlJc w:val="left"/>
      <w:pPr>
        <w:ind w:left="720" w:hanging="360"/>
      </w:pPr>
      <w:rPr>
        <w:rFonts w:ascii="Symbol" w:eastAsia="MS Mincho" w:hAnsi="Symbol" w:cs="CMU Serif Roman" w:hint="default"/>
      </w:rPr>
    </w:lvl>
    <w:lvl w:ilvl="1" w:tplc="D6B6A706" w:tentative="1">
      <w:start w:val="1"/>
      <w:numFmt w:val="bullet"/>
      <w:lvlText w:val="o"/>
      <w:lvlJc w:val="left"/>
      <w:pPr>
        <w:ind w:left="1440" w:hanging="360"/>
      </w:pPr>
      <w:rPr>
        <w:rFonts w:ascii="Courier New" w:hAnsi="Courier New" w:cs="Courier New" w:hint="default"/>
      </w:rPr>
    </w:lvl>
    <w:lvl w:ilvl="2" w:tplc="36B8B70C" w:tentative="1">
      <w:start w:val="1"/>
      <w:numFmt w:val="bullet"/>
      <w:lvlText w:val=""/>
      <w:lvlJc w:val="left"/>
      <w:pPr>
        <w:ind w:left="2160" w:hanging="360"/>
      </w:pPr>
      <w:rPr>
        <w:rFonts w:ascii="Wingdings" w:hAnsi="Wingdings" w:hint="default"/>
      </w:rPr>
    </w:lvl>
    <w:lvl w:ilvl="3" w:tplc="DA907084" w:tentative="1">
      <w:start w:val="1"/>
      <w:numFmt w:val="bullet"/>
      <w:lvlText w:val=""/>
      <w:lvlJc w:val="left"/>
      <w:pPr>
        <w:ind w:left="2880" w:hanging="360"/>
      </w:pPr>
      <w:rPr>
        <w:rFonts w:ascii="Symbol" w:hAnsi="Symbol" w:hint="default"/>
      </w:rPr>
    </w:lvl>
    <w:lvl w:ilvl="4" w:tplc="FFBEA91A" w:tentative="1">
      <w:start w:val="1"/>
      <w:numFmt w:val="bullet"/>
      <w:lvlText w:val="o"/>
      <w:lvlJc w:val="left"/>
      <w:pPr>
        <w:ind w:left="3600" w:hanging="360"/>
      </w:pPr>
      <w:rPr>
        <w:rFonts w:ascii="Courier New" w:hAnsi="Courier New" w:cs="Courier New" w:hint="default"/>
      </w:rPr>
    </w:lvl>
    <w:lvl w:ilvl="5" w:tplc="D8B4074C" w:tentative="1">
      <w:start w:val="1"/>
      <w:numFmt w:val="bullet"/>
      <w:lvlText w:val=""/>
      <w:lvlJc w:val="left"/>
      <w:pPr>
        <w:ind w:left="4320" w:hanging="360"/>
      </w:pPr>
      <w:rPr>
        <w:rFonts w:ascii="Wingdings" w:hAnsi="Wingdings" w:hint="default"/>
      </w:rPr>
    </w:lvl>
    <w:lvl w:ilvl="6" w:tplc="50F06C44" w:tentative="1">
      <w:start w:val="1"/>
      <w:numFmt w:val="bullet"/>
      <w:lvlText w:val=""/>
      <w:lvlJc w:val="left"/>
      <w:pPr>
        <w:ind w:left="5040" w:hanging="360"/>
      </w:pPr>
      <w:rPr>
        <w:rFonts w:ascii="Symbol" w:hAnsi="Symbol" w:hint="default"/>
      </w:rPr>
    </w:lvl>
    <w:lvl w:ilvl="7" w:tplc="D83C28A4" w:tentative="1">
      <w:start w:val="1"/>
      <w:numFmt w:val="bullet"/>
      <w:lvlText w:val="o"/>
      <w:lvlJc w:val="left"/>
      <w:pPr>
        <w:ind w:left="5760" w:hanging="360"/>
      </w:pPr>
      <w:rPr>
        <w:rFonts w:ascii="Courier New" w:hAnsi="Courier New" w:cs="Courier New" w:hint="default"/>
      </w:rPr>
    </w:lvl>
    <w:lvl w:ilvl="8" w:tplc="761808FE" w:tentative="1">
      <w:start w:val="1"/>
      <w:numFmt w:val="bullet"/>
      <w:lvlText w:val=""/>
      <w:lvlJc w:val="left"/>
      <w:pPr>
        <w:ind w:left="6480" w:hanging="360"/>
      </w:pPr>
      <w:rPr>
        <w:rFonts w:ascii="Wingdings" w:hAnsi="Wingdings" w:hint="default"/>
      </w:rPr>
    </w:lvl>
  </w:abstractNum>
  <w:abstractNum w:abstractNumId="5" w15:restartNumberingAfterBreak="0">
    <w:nsid w:val="46DA6860"/>
    <w:multiLevelType w:val="hybridMultilevel"/>
    <w:tmpl w:val="C45C7218"/>
    <w:lvl w:ilvl="0" w:tplc="2736C232">
      <w:start w:val="5"/>
      <w:numFmt w:val="bullet"/>
      <w:lvlText w:val=""/>
      <w:lvlJc w:val="left"/>
      <w:pPr>
        <w:ind w:left="720" w:hanging="360"/>
      </w:pPr>
      <w:rPr>
        <w:rFonts w:ascii="Symbol" w:eastAsia="Times New Roman" w:hAnsi="Symbol" w:cstheme="majorHAnsi" w:hint="default"/>
      </w:rPr>
    </w:lvl>
    <w:lvl w:ilvl="1" w:tplc="91D8726C" w:tentative="1">
      <w:start w:val="1"/>
      <w:numFmt w:val="bullet"/>
      <w:lvlText w:val="o"/>
      <w:lvlJc w:val="left"/>
      <w:pPr>
        <w:ind w:left="1440" w:hanging="360"/>
      </w:pPr>
      <w:rPr>
        <w:rFonts w:ascii="Courier New" w:hAnsi="Courier New" w:hint="default"/>
      </w:rPr>
    </w:lvl>
    <w:lvl w:ilvl="2" w:tplc="10BEA4EC" w:tentative="1">
      <w:start w:val="1"/>
      <w:numFmt w:val="bullet"/>
      <w:lvlText w:val=""/>
      <w:lvlJc w:val="left"/>
      <w:pPr>
        <w:ind w:left="2160" w:hanging="360"/>
      </w:pPr>
      <w:rPr>
        <w:rFonts w:ascii="Wingdings" w:hAnsi="Wingdings" w:hint="default"/>
      </w:rPr>
    </w:lvl>
    <w:lvl w:ilvl="3" w:tplc="8FC4BAE6" w:tentative="1">
      <w:start w:val="1"/>
      <w:numFmt w:val="bullet"/>
      <w:lvlText w:val=""/>
      <w:lvlJc w:val="left"/>
      <w:pPr>
        <w:ind w:left="2880" w:hanging="360"/>
      </w:pPr>
      <w:rPr>
        <w:rFonts w:ascii="Symbol" w:hAnsi="Symbol" w:hint="default"/>
      </w:rPr>
    </w:lvl>
    <w:lvl w:ilvl="4" w:tplc="874E3ABA" w:tentative="1">
      <w:start w:val="1"/>
      <w:numFmt w:val="bullet"/>
      <w:lvlText w:val="o"/>
      <w:lvlJc w:val="left"/>
      <w:pPr>
        <w:ind w:left="3600" w:hanging="360"/>
      </w:pPr>
      <w:rPr>
        <w:rFonts w:ascii="Courier New" w:hAnsi="Courier New" w:hint="default"/>
      </w:rPr>
    </w:lvl>
    <w:lvl w:ilvl="5" w:tplc="735274D8" w:tentative="1">
      <w:start w:val="1"/>
      <w:numFmt w:val="bullet"/>
      <w:lvlText w:val=""/>
      <w:lvlJc w:val="left"/>
      <w:pPr>
        <w:ind w:left="4320" w:hanging="360"/>
      </w:pPr>
      <w:rPr>
        <w:rFonts w:ascii="Wingdings" w:hAnsi="Wingdings" w:hint="default"/>
      </w:rPr>
    </w:lvl>
    <w:lvl w:ilvl="6" w:tplc="E9C6E332" w:tentative="1">
      <w:start w:val="1"/>
      <w:numFmt w:val="bullet"/>
      <w:lvlText w:val=""/>
      <w:lvlJc w:val="left"/>
      <w:pPr>
        <w:ind w:left="5040" w:hanging="360"/>
      </w:pPr>
      <w:rPr>
        <w:rFonts w:ascii="Symbol" w:hAnsi="Symbol" w:hint="default"/>
      </w:rPr>
    </w:lvl>
    <w:lvl w:ilvl="7" w:tplc="B8E01B0C" w:tentative="1">
      <w:start w:val="1"/>
      <w:numFmt w:val="bullet"/>
      <w:lvlText w:val="o"/>
      <w:lvlJc w:val="left"/>
      <w:pPr>
        <w:ind w:left="5760" w:hanging="360"/>
      </w:pPr>
      <w:rPr>
        <w:rFonts w:ascii="Courier New" w:hAnsi="Courier New" w:hint="default"/>
      </w:rPr>
    </w:lvl>
    <w:lvl w:ilvl="8" w:tplc="06924CD4" w:tentative="1">
      <w:start w:val="1"/>
      <w:numFmt w:val="bullet"/>
      <w:lvlText w:val=""/>
      <w:lvlJc w:val="left"/>
      <w:pPr>
        <w:ind w:left="6480" w:hanging="360"/>
      </w:pPr>
      <w:rPr>
        <w:rFonts w:ascii="Wingdings" w:hAnsi="Wingdings" w:hint="default"/>
      </w:rPr>
    </w:lvl>
  </w:abstractNum>
  <w:abstractNum w:abstractNumId="6" w15:restartNumberingAfterBreak="0">
    <w:nsid w:val="5CFD233D"/>
    <w:multiLevelType w:val="hybridMultilevel"/>
    <w:tmpl w:val="370C3190"/>
    <w:lvl w:ilvl="0" w:tplc="26725912">
      <w:start w:val="5"/>
      <w:numFmt w:val="bullet"/>
      <w:lvlText w:val=""/>
      <w:lvlJc w:val="left"/>
      <w:pPr>
        <w:ind w:left="720" w:hanging="360"/>
      </w:pPr>
      <w:rPr>
        <w:rFonts w:ascii="Symbol" w:eastAsia="Times New Roman" w:hAnsi="Symbol" w:cstheme="majorHAnsi" w:hint="default"/>
      </w:rPr>
    </w:lvl>
    <w:lvl w:ilvl="1" w:tplc="8BDE5A1E" w:tentative="1">
      <w:start w:val="1"/>
      <w:numFmt w:val="bullet"/>
      <w:lvlText w:val="o"/>
      <w:lvlJc w:val="left"/>
      <w:pPr>
        <w:ind w:left="1440" w:hanging="360"/>
      </w:pPr>
      <w:rPr>
        <w:rFonts w:ascii="Courier New" w:hAnsi="Courier New" w:hint="default"/>
      </w:rPr>
    </w:lvl>
    <w:lvl w:ilvl="2" w:tplc="917EF52E" w:tentative="1">
      <w:start w:val="1"/>
      <w:numFmt w:val="bullet"/>
      <w:lvlText w:val=""/>
      <w:lvlJc w:val="left"/>
      <w:pPr>
        <w:ind w:left="2160" w:hanging="360"/>
      </w:pPr>
      <w:rPr>
        <w:rFonts w:ascii="Wingdings" w:hAnsi="Wingdings" w:hint="default"/>
      </w:rPr>
    </w:lvl>
    <w:lvl w:ilvl="3" w:tplc="6F405C54" w:tentative="1">
      <w:start w:val="1"/>
      <w:numFmt w:val="bullet"/>
      <w:lvlText w:val=""/>
      <w:lvlJc w:val="left"/>
      <w:pPr>
        <w:ind w:left="2880" w:hanging="360"/>
      </w:pPr>
      <w:rPr>
        <w:rFonts w:ascii="Symbol" w:hAnsi="Symbol" w:hint="default"/>
      </w:rPr>
    </w:lvl>
    <w:lvl w:ilvl="4" w:tplc="69401CC2" w:tentative="1">
      <w:start w:val="1"/>
      <w:numFmt w:val="bullet"/>
      <w:lvlText w:val="o"/>
      <w:lvlJc w:val="left"/>
      <w:pPr>
        <w:ind w:left="3600" w:hanging="360"/>
      </w:pPr>
      <w:rPr>
        <w:rFonts w:ascii="Courier New" w:hAnsi="Courier New" w:hint="default"/>
      </w:rPr>
    </w:lvl>
    <w:lvl w:ilvl="5" w:tplc="98186F40" w:tentative="1">
      <w:start w:val="1"/>
      <w:numFmt w:val="bullet"/>
      <w:lvlText w:val=""/>
      <w:lvlJc w:val="left"/>
      <w:pPr>
        <w:ind w:left="4320" w:hanging="360"/>
      </w:pPr>
      <w:rPr>
        <w:rFonts w:ascii="Wingdings" w:hAnsi="Wingdings" w:hint="default"/>
      </w:rPr>
    </w:lvl>
    <w:lvl w:ilvl="6" w:tplc="5AF4BEF2" w:tentative="1">
      <w:start w:val="1"/>
      <w:numFmt w:val="bullet"/>
      <w:lvlText w:val=""/>
      <w:lvlJc w:val="left"/>
      <w:pPr>
        <w:ind w:left="5040" w:hanging="360"/>
      </w:pPr>
      <w:rPr>
        <w:rFonts w:ascii="Symbol" w:hAnsi="Symbol" w:hint="default"/>
      </w:rPr>
    </w:lvl>
    <w:lvl w:ilvl="7" w:tplc="CA407450" w:tentative="1">
      <w:start w:val="1"/>
      <w:numFmt w:val="bullet"/>
      <w:lvlText w:val="o"/>
      <w:lvlJc w:val="left"/>
      <w:pPr>
        <w:ind w:left="5760" w:hanging="360"/>
      </w:pPr>
      <w:rPr>
        <w:rFonts w:ascii="Courier New" w:hAnsi="Courier New" w:hint="default"/>
      </w:rPr>
    </w:lvl>
    <w:lvl w:ilvl="8" w:tplc="A61AB472" w:tentative="1">
      <w:start w:val="1"/>
      <w:numFmt w:val="bullet"/>
      <w:lvlText w:val=""/>
      <w:lvlJc w:val="left"/>
      <w:pPr>
        <w:ind w:left="6480" w:hanging="360"/>
      </w:pPr>
      <w:rPr>
        <w:rFonts w:ascii="Wingdings" w:hAnsi="Wingdings" w:hint="default"/>
      </w:rPr>
    </w:lvl>
  </w:abstractNum>
  <w:abstractNum w:abstractNumId="7" w15:restartNumberingAfterBreak="0">
    <w:nsid w:val="5FF631D9"/>
    <w:multiLevelType w:val="hybridMultilevel"/>
    <w:tmpl w:val="EFCA9C06"/>
    <w:lvl w:ilvl="0" w:tplc="71623ABE">
      <w:start w:val="30"/>
      <w:numFmt w:val="bullet"/>
      <w:lvlText w:val=""/>
      <w:lvlJc w:val="left"/>
      <w:pPr>
        <w:ind w:left="720" w:hanging="360"/>
      </w:pPr>
      <w:rPr>
        <w:rFonts w:ascii="Symbol" w:eastAsia="MS Mincho" w:hAnsi="Symbol" w:cs="CMU Serif Roman" w:hint="default"/>
      </w:rPr>
    </w:lvl>
    <w:lvl w:ilvl="1" w:tplc="F89AD234" w:tentative="1">
      <w:start w:val="1"/>
      <w:numFmt w:val="bullet"/>
      <w:lvlText w:val="o"/>
      <w:lvlJc w:val="left"/>
      <w:pPr>
        <w:ind w:left="1440" w:hanging="360"/>
      </w:pPr>
      <w:rPr>
        <w:rFonts w:ascii="Courier New" w:hAnsi="Courier New" w:cs="Courier New" w:hint="default"/>
      </w:rPr>
    </w:lvl>
    <w:lvl w:ilvl="2" w:tplc="91BA066C" w:tentative="1">
      <w:start w:val="1"/>
      <w:numFmt w:val="bullet"/>
      <w:lvlText w:val=""/>
      <w:lvlJc w:val="left"/>
      <w:pPr>
        <w:ind w:left="2160" w:hanging="360"/>
      </w:pPr>
      <w:rPr>
        <w:rFonts w:ascii="Wingdings" w:hAnsi="Wingdings" w:hint="default"/>
      </w:rPr>
    </w:lvl>
    <w:lvl w:ilvl="3" w:tplc="C748970A" w:tentative="1">
      <w:start w:val="1"/>
      <w:numFmt w:val="bullet"/>
      <w:lvlText w:val=""/>
      <w:lvlJc w:val="left"/>
      <w:pPr>
        <w:ind w:left="2880" w:hanging="360"/>
      </w:pPr>
      <w:rPr>
        <w:rFonts w:ascii="Symbol" w:hAnsi="Symbol" w:hint="default"/>
      </w:rPr>
    </w:lvl>
    <w:lvl w:ilvl="4" w:tplc="F1CA7AC6" w:tentative="1">
      <w:start w:val="1"/>
      <w:numFmt w:val="bullet"/>
      <w:lvlText w:val="o"/>
      <w:lvlJc w:val="left"/>
      <w:pPr>
        <w:ind w:left="3600" w:hanging="360"/>
      </w:pPr>
      <w:rPr>
        <w:rFonts w:ascii="Courier New" w:hAnsi="Courier New" w:cs="Courier New" w:hint="default"/>
      </w:rPr>
    </w:lvl>
    <w:lvl w:ilvl="5" w:tplc="7750959A" w:tentative="1">
      <w:start w:val="1"/>
      <w:numFmt w:val="bullet"/>
      <w:lvlText w:val=""/>
      <w:lvlJc w:val="left"/>
      <w:pPr>
        <w:ind w:left="4320" w:hanging="360"/>
      </w:pPr>
      <w:rPr>
        <w:rFonts w:ascii="Wingdings" w:hAnsi="Wingdings" w:hint="default"/>
      </w:rPr>
    </w:lvl>
    <w:lvl w:ilvl="6" w:tplc="B43AAC62" w:tentative="1">
      <w:start w:val="1"/>
      <w:numFmt w:val="bullet"/>
      <w:lvlText w:val=""/>
      <w:lvlJc w:val="left"/>
      <w:pPr>
        <w:ind w:left="5040" w:hanging="360"/>
      </w:pPr>
      <w:rPr>
        <w:rFonts w:ascii="Symbol" w:hAnsi="Symbol" w:hint="default"/>
      </w:rPr>
    </w:lvl>
    <w:lvl w:ilvl="7" w:tplc="C3BA70DA" w:tentative="1">
      <w:start w:val="1"/>
      <w:numFmt w:val="bullet"/>
      <w:lvlText w:val="o"/>
      <w:lvlJc w:val="left"/>
      <w:pPr>
        <w:ind w:left="5760" w:hanging="360"/>
      </w:pPr>
      <w:rPr>
        <w:rFonts w:ascii="Courier New" w:hAnsi="Courier New" w:cs="Courier New" w:hint="default"/>
      </w:rPr>
    </w:lvl>
    <w:lvl w:ilvl="8" w:tplc="BD7E177A" w:tentative="1">
      <w:start w:val="1"/>
      <w:numFmt w:val="bullet"/>
      <w:lvlText w:val=""/>
      <w:lvlJc w:val="left"/>
      <w:pPr>
        <w:ind w:left="6480" w:hanging="360"/>
      </w:pPr>
      <w:rPr>
        <w:rFonts w:ascii="Wingdings" w:hAnsi="Wingdings" w:hint="default"/>
      </w:rPr>
    </w:lvl>
  </w:abstractNum>
  <w:abstractNum w:abstractNumId="8" w15:restartNumberingAfterBreak="0">
    <w:nsid w:val="665046E9"/>
    <w:multiLevelType w:val="hybridMultilevel"/>
    <w:tmpl w:val="19564406"/>
    <w:lvl w:ilvl="0" w:tplc="18FCD50E">
      <w:start w:val="1"/>
      <w:numFmt w:val="decimal"/>
      <w:lvlText w:val="%1."/>
      <w:lvlJc w:val="left"/>
      <w:pPr>
        <w:ind w:left="720" w:hanging="360"/>
      </w:pPr>
    </w:lvl>
    <w:lvl w:ilvl="1" w:tplc="2B5CB22E" w:tentative="1">
      <w:start w:val="1"/>
      <w:numFmt w:val="lowerLetter"/>
      <w:lvlText w:val="%2."/>
      <w:lvlJc w:val="left"/>
      <w:pPr>
        <w:ind w:left="1440" w:hanging="360"/>
      </w:pPr>
    </w:lvl>
    <w:lvl w:ilvl="2" w:tplc="08342B8E" w:tentative="1">
      <w:start w:val="1"/>
      <w:numFmt w:val="lowerRoman"/>
      <w:lvlText w:val="%3."/>
      <w:lvlJc w:val="right"/>
      <w:pPr>
        <w:ind w:left="2160" w:hanging="180"/>
      </w:pPr>
    </w:lvl>
    <w:lvl w:ilvl="3" w:tplc="2A7C55D2" w:tentative="1">
      <w:start w:val="1"/>
      <w:numFmt w:val="decimal"/>
      <w:lvlText w:val="%4."/>
      <w:lvlJc w:val="left"/>
      <w:pPr>
        <w:ind w:left="2880" w:hanging="360"/>
      </w:pPr>
    </w:lvl>
    <w:lvl w:ilvl="4" w:tplc="E55464E2" w:tentative="1">
      <w:start w:val="1"/>
      <w:numFmt w:val="lowerLetter"/>
      <w:lvlText w:val="%5."/>
      <w:lvlJc w:val="left"/>
      <w:pPr>
        <w:ind w:left="3600" w:hanging="360"/>
      </w:pPr>
    </w:lvl>
    <w:lvl w:ilvl="5" w:tplc="CF18858C" w:tentative="1">
      <w:start w:val="1"/>
      <w:numFmt w:val="lowerRoman"/>
      <w:lvlText w:val="%6."/>
      <w:lvlJc w:val="right"/>
      <w:pPr>
        <w:ind w:left="4320" w:hanging="180"/>
      </w:pPr>
    </w:lvl>
    <w:lvl w:ilvl="6" w:tplc="D1D68FAA" w:tentative="1">
      <w:start w:val="1"/>
      <w:numFmt w:val="decimal"/>
      <w:lvlText w:val="%7."/>
      <w:lvlJc w:val="left"/>
      <w:pPr>
        <w:ind w:left="5040" w:hanging="360"/>
      </w:pPr>
    </w:lvl>
    <w:lvl w:ilvl="7" w:tplc="15721028" w:tentative="1">
      <w:start w:val="1"/>
      <w:numFmt w:val="lowerLetter"/>
      <w:lvlText w:val="%8."/>
      <w:lvlJc w:val="left"/>
      <w:pPr>
        <w:ind w:left="5760" w:hanging="360"/>
      </w:pPr>
    </w:lvl>
    <w:lvl w:ilvl="8" w:tplc="48BCD470" w:tentative="1">
      <w:start w:val="1"/>
      <w:numFmt w:val="lowerRoman"/>
      <w:lvlText w:val="%9."/>
      <w:lvlJc w:val="right"/>
      <w:pPr>
        <w:ind w:left="6480" w:hanging="180"/>
      </w:pPr>
    </w:lvl>
  </w:abstractNum>
  <w:num w:numId="1" w16cid:durableId="614214778">
    <w:abstractNumId w:val="8"/>
  </w:num>
  <w:num w:numId="2" w16cid:durableId="2050379569">
    <w:abstractNumId w:val="1"/>
  </w:num>
  <w:num w:numId="3" w16cid:durableId="208222507">
    <w:abstractNumId w:val="5"/>
  </w:num>
  <w:num w:numId="4" w16cid:durableId="643656210">
    <w:abstractNumId w:val="6"/>
  </w:num>
  <w:num w:numId="5" w16cid:durableId="1759593516">
    <w:abstractNumId w:val="0"/>
  </w:num>
  <w:num w:numId="6" w16cid:durableId="1606109854">
    <w:abstractNumId w:val="3"/>
  </w:num>
  <w:num w:numId="7" w16cid:durableId="911041080">
    <w:abstractNumId w:val="7"/>
  </w:num>
  <w:num w:numId="8" w16cid:durableId="108866411">
    <w:abstractNumId w:val="4"/>
  </w:num>
  <w:num w:numId="9" w16cid:durableId="87257037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7923"/>
    <w:rsid w:val="000018F7"/>
    <w:rsid w:val="00001C53"/>
    <w:rsid w:val="00001EE5"/>
    <w:rsid w:val="00002C55"/>
    <w:rsid w:val="000034B3"/>
    <w:rsid w:val="00003F3D"/>
    <w:rsid w:val="00005851"/>
    <w:rsid w:val="00006528"/>
    <w:rsid w:val="000067D6"/>
    <w:rsid w:val="00006A5B"/>
    <w:rsid w:val="000111B2"/>
    <w:rsid w:val="00011913"/>
    <w:rsid w:val="000119D0"/>
    <w:rsid w:val="00011BAA"/>
    <w:rsid w:val="000128DF"/>
    <w:rsid w:val="00013124"/>
    <w:rsid w:val="00013508"/>
    <w:rsid w:val="0001350A"/>
    <w:rsid w:val="00013AE4"/>
    <w:rsid w:val="00013F4A"/>
    <w:rsid w:val="00017296"/>
    <w:rsid w:val="0002030D"/>
    <w:rsid w:val="000209D5"/>
    <w:rsid w:val="00020A4F"/>
    <w:rsid w:val="00021197"/>
    <w:rsid w:val="000218F8"/>
    <w:rsid w:val="0002191F"/>
    <w:rsid w:val="00021C43"/>
    <w:rsid w:val="00021E37"/>
    <w:rsid w:val="00021F72"/>
    <w:rsid w:val="00023292"/>
    <w:rsid w:val="000239E6"/>
    <w:rsid w:val="00026A25"/>
    <w:rsid w:val="00027CD4"/>
    <w:rsid w:val="00030218"/>
    <w:rsid w:val="000314B2"/>
    <w:rsid w:val="000323B2"/>
    <w:rsid w:val="00032ADB"/>
    <w:rsid w:val="00034410"/>
    <w:rsid w:val="000351E4"/>
    <w:rsid w:val="00035BB1"/>
    <w:rsid w:val="0003712A"/>
    <w:rsid w:val="000374D3"/>
    <w:rsid w:val="000377F3"/>
    <w:rsid w:val="000377F9"/>
    <w:rsid w:val="0004010A"/>
    <w:rsid w:val="000415FA"/>
    <w:rsid w:val="000416BA"/>
    <w:rsid w:val="00043D43"/>
    <w:rsid w:val="0004418F"/>
    <w:rsid w:val="0004447F"/>
    <w:rsid w:val="0004452B"/>
    <w:rsid w:val="00045544"/>
    <w:rsid w:val="000463AA"/>
    <w:rsid w:val="00050D9B"/>
    <w:rsid w:val="000521C2"/>
    <w:rsid w:val="00052449"/>
    <w:rsid w:val="000525B9"/>
    <w:rsid w:val="000532FD"/>
    <w:rsid w:val="0005400B"/>
    <w:rsid w:val="00055607"/>
    <w:rsid w:val="00056983"/>
    <w:rsid w:val="00057A7F"/>
    <w:rsid w:val="00061F2B"/>
    <w:rsid w:val="00062730"/>
    <w:rsid w:val="00064BCC"/>
    <w:rsid w:val="00064C50"/>
    <w:rsid w:val="0006572D"/>
    <w:rsid w:val="0006583B"/>
    <w:rsid w:val="00066346"/>
    <w:rsid w:val="00067C1A"/>
    <w:rsid w:val="00070B1E"/>
    <w:rsid w:val="000713C8"/>
    <w:rsid w:val="0007173C"/>
    <w:rsid w:val="00072B87"/>
    <w:rsid w:val="00072B9F"/>
    <w:rsid w:val="000735A8"/>
    <w:rsid w:val="00073AA3"/>
    <w:rsid w:val="00073C53"/>
    <w:rsid w:val="0007490C"/>
    <w:rsid w:val="000756C6"/>
    <w:rsid w:val="00076F33"/>
    <w:rsid w:val="0008043F"/>
    <w:rsid w:val="000805A0"/>
    <w:rsid w:val="00080D76"/>
    <w:rsid w:val="000810BE"/>
    <w:rsid w:val="000819D9"/>
    <w:rsid w:val="000831AD"/>
    <w:rsid w:val="000838C2"/>
    <w:rsid w:val="000839C3"/>
    <w:rsid w:val="00083EC4"/>
    <w:rsid w:val="00084AD6"/>
    <w:rsid w:val="000879BA"/>
    <w:rsid w:val="0009015C"/>
    <w:rsid w:val="00091761"/>
    <w:rsid w:val="00093F1F"/>
    <w:rsid w:val="00094126"/>
    <w:rsid w:val="00094699"/>
    <w:rsid w:val="000954F4"/>
    <w:rsid w:val="00095EF1"/>
    <w:rsid w:val="00096798"/>
    <w:rsid w:val="000967B0"/>
    <w:rsid w:val="000973EE"/>
    <w:rsid w:val="000A1DC4"/>
    <w:rsid w:val="000A23D1"/>
    <w:rsid w:val="000A2AE2"/>
    <w:rsid w:val="000A6136"/>
    <w:rsid w:val="000A6649"/>
    <w:rsid w:val="000A6CD5"/>
    <w:rsid w:val="000A6E4B"/>
    <w:rsid w:val="000B0C9B"/>
    <w:rsid w:val="000B1677"/>
    <w:rsid w:val="000B19C6"/>
    <w:rsid w:val="000B1ABC"/>
    <w:rsid w:val="000B2144"/>
    <w:rsid w:val="000B270B"/>
    <w:rsid w:val="000B2EE3"/>
    <w:rsid w:val="000B4933"/>
    <w:rsid w:val="000B4D42"/>
    <w:rsid w:val="000B51B2"/>
    <w:rsid w:val="000B6252"/>
    <w:rsid w:val="000B6E3E"/>
    <w:rsid w:val="000B7BA9"/>
    <w:rsid w:val="000C0492"/>
    <w:rsid w:val="000C0C37"/>
    <w:rsid w:val="000C1E96"/>
    <w:rsid w:val="000C322F"/>
    <w:rsid w:val="000C3762"/>
    <w:rsid w:val="000C4DB7"/>
    <w:rsid w:val="000C5051"/>
    <w:rsid w:val="000C5BDB"/>
    <w:rsid w:val="000C749A"/>
    <w:rsid w:val="000D0203"/>
    <w:rsid w:val="000D085A"/>
    <w:rsid w:val="000D1059"/>
    <w:rsid w:val="000D11A2"/>
    <w:rsid w:val="000D2430"/>
    <w:rsid w:val="000D2622"/>
    <w:rsid w:val="000D2676"/>
    <w:rsid w:val="000D2F24"/>
    <w:rsid w:val="000D4325"/>
    <w:rsid w:val="000D68CF"/>
    <w:rsid w:val="000D6DA5"/>
    <w:rsid w:val="000D76D4"/>
    <w:rsid w:val="000D7837"/>
    <w:rsid w:val="000D7C57"/>
    <w:rsid w:val="000D7CEC"/>
    <w:rsid w:val="000E02ED"/>
    <w:rsid w:val="000E0890"/>
    <w:rsid w:val="000E2434"/>
    <w:rsid w:val="000E24E4"/>
    <w:rsid w:val="000E284E"/>
    <w:rsid w:val="000E29C2"/>
    <w:rsid w:val="000E3572"/>
    <w:rsid w:val="000E5C0F"/>
    <w:rsid w:val="000F12D8"/>
    <w:rsid w:val="000F14E7"/>
    <w:rsid w:val="000F1AA0"/>
    <w:rsid w:val="000F1DBE"/>
    <w:rsid w:val="000F2C73"/>
    <w:rsid w:val="000F3D9D"/>
    <w:rsid w:val="000F43B1"/>
    <w:rsid w:val="000F449B"/>
    <w:rsid w:val="000F4E35"/>
    <w:rsid w:val="000F4ECD"/>
    <w:rsid w:val="000F5299"/>
    <w:rsid w:val="000F542A"/>
    <w:rsid w:val="000F5F5C"/>
    <w:rsid w:val="000F6427"/>
    <w:rsid w:val="001011B7"/>
    <w:rsid w:val="00102224"/>
    <w:rsid w:val="00103A1D"/>
    <w:rsid w:val="00104D58"/>
    <w:rsid w:val="001058C6"/>
    <w:rsid w:val="001066D4"/>
    <w:rsid w:val="0010680E"/>
    <w:rsid w:val="00107FDA"/>
    <w:rsid w:val="00110490"/>
    <w:rsid w:val="001104F8"/>
    <w:rsid w:val="0011130B"/>
    <w:rsid w:val="00111F08"/>
    <w:rsid w:val="0011275B"/>
    <w:rsid w:val="00113C79"/>
    <w:rsid w:val="00114258"/>
    <w:rsid w:val="00116220"/>
    <w:rsid w:val="001165DC"/>
    <w:rsid w:val="00116ADA"/>
    <w:rsid w:val="001175AC"/>
    <w:rsid w:val="0012052E"/>
    <w:rsid w:val="001206E0"/>
    <w:rsid w:val="00122EDC"/>
    <w:rsid w:val="00123A38"/>
    <w:rsid w:val="00123ACA"/>
    <w:rsid w:val="0012469C"/>
    <w:rsid w:val="00124C89"/>
    <w:rsid w:val="00125897"/>
    <w:rsid w:val="00126622"/>
    <w:rsid w:val="001273F6"/>
    <w:rsid w:val="00130820"/>
    <w:rsid w:val="00130A52"/>
    <w:rsid w:val="00130E5B"/>
    <w:rsid w:val="00131382"/>
    <w:rsid w:val="00131E06"/>
    <w:rsid w:val="001325C5"/>
    <w:rsid w:val="001326F7"/>
    <w:rsid w:val="00133C1B"/>
    <w:rsid w:val="00136B0D"/>
    <w:rsid w:val="00142196"/>
    <w:rsid w:val="001431F4"/>
    <w:rsid w:val="001432AC"/>
    <w:rsid w:val="00144382"/>
    <w:rsid w:val="00144468"/>
    <w:rsid w:val="001449AE"/>
    <w:rsid w:val="00144E52"/>
    <w:rsid w:val="00146175"/>
    <w:rsid w:val="0014685A"/>
    <w:rsid w:val="001475A1"/>
    <w:rsid w:val="001475A4"/>
    <w:rsid w:val="0014779F"/>
    <w:rsid w:val="00150219"/>
    <w:rsid w:val="00150CC4"/>
    <w:rsid w:val="00151B5F"/>
    <w:rsid w:val="0015221A"/>
    <w:rsid w:val="00153513"/>
    <w:rsid w:val="001537F8"/>
    <w:rsid w:val="00154563"/>
    <w:rsid w:val="001556FB"/>
    <w:rsid w:val="00157B0C"/>
    <w:rsid w:val="00157C1E"/>
    <w:rsid w:val="0016193C"/>
    <w:rsid w:val="00163914"/>
    <w:rsid w:val="00163E3E"/>
    <w:rsid w:val="00164FDF"/>
    <w:rsid w:val="001652A7"/>
    <w:rsid w:val="00166356"/>
    <w:rsid w:val="0016681A"/>
    <w:rsid w:val="00167923"/>
    <w:rsid w:val="00167DAE"/>
    <w:rsid w:val="00170C4C"/>
    <w:rsid w:val="00171EBC"/>
    <w:rsid w:val="001721B4"/>
    <w:rsid w:val="0017243A"/>
    <w:rsid w:val="0017266A"/>
    <w:rsid w:val="00172C84"/>
    <w:rsid w:val="00174134"/>
    <w:rsid w:val="00176601"/>
    <w:rsid w:val="00177875"/>
    <w:rsid w:val="001813FF"/>
    <w:rsid w:val="00182CB6"/>
    <w:rsid w:val="00183655"/>
    <w:rsid w:val="00183AF3"/>
    <w:rsid w:val="00186FE5"/>
    <w:rsid w:val="00192DDC"/>
    <w:rsid w:val="001930F6"/>
    <w:rsid w:val="0019313A"/>
    <w:rsid w:val="00194485"/>
    <w:rsid w:val="001949BE"/>
    <w:rsid w:val="001951D7"/>
    <w:rsid w:val="0019784B"/>
    <w:rsid w:val="001A187C"/>
    <w:rsid w:val="001A2DD8"/>
    <w:rsid w:val="001A36AD"/>
    <w:rsid w:val="001A407A"/>
    <w:rsid w:val="001A4627"/>
    <w:rsid w:val="001A582F"/>
    <w:rsid w:val="001A77BB"/>
    <w:rsid w:val="001A7C9D"/>
    <w:rsid w:val="001B1E91"/>
    <w:rsid w:val="001B1ED8"/>
    <w:rsid w:val="001B25E1"/>
    <w:rsid w:val="001B27B2"/>
    <w:rsid w:val="001B3064"/>
    <w:rsid w:val="001B48EB"/>
    <w:rsid w:val="001B4ACA"/>
    <w:rsid w:val="001B570D"/>
    <w:rsid w:val="001B6144"/>
    <w:rsid w:val="001B6334"/>
    <w:rsid w:val="001B6416"/>
    <w:rsid w:val="001B6961"/>
    <w:rsid w:val="001B7BBE"/>
    <w:rsid w:val="001B7C79"/>
    <w:rsid w:val="001B7D5B"/>
    <w:rsid w:val="001C175E"/>
    <w:rsid w:val="001C1A84"/>
    <w:rsid w:val="001C1DCA"/>
    <w:rsid w:val="001C29F6"/>
    <w:rsid w:val="001C36E5"/>
    <w:rsid w:val="001C378E"/>
    <w:rsid w:val="001C589F"/>
    <w:rsid w:val="001C5EFE"/>
    <w:rsid w:val="001C7252"/>
    <w:rsid w:val="001D02E4"/>
    <w:rsid w:val="001D10AC"/>
    <w:rsid w:val="001D11EA"/>
    <w:rsid w:val="001D2EEC"/>
    <w:rsid w:val="001D325F"/>
    <w:rsid w:val="001D3517"/>
    <w:rsid w:val="001D38D7"/>
    <w:rsid w:val="001D4143"/>
    <w:rsid w:val="001D4C34"/>
    <w:rsid w:val="001D6A74"/>
    <w:rsid w:val="001D6B18"/>
    <w:rsid w:val="001D797F"/>
    <w:rsid w:val="001E11B0"/>
    <w:rsid w:val="001E1496"/>
    <w:rsid w:val="001E19B4"/>
    <w:rsid w:val="001E1E17"/>
    <w:rsid w:val="001E4E33"/>
    <w:rsid w:val="001E6578"/>
    <w:rsid w:val="001E78CC"/>
    <w:rsid w:val="001F0E8B"/>
    <w:rsid w:val="001F31EF"/>
    <w:rsid w:val="001F4118"/>
    <w:rsid w:val="001F4B6A"/>
    <w:rsid w:val="001F6779"/>
    <w:rsid w:val="002001D3"/>
    <w:rsid w:val="00200475"/>
    <w:rsid w:val="0020136D"/>
    <w:rsid w:val="00202091"/>
    <w:rsid w:val="00203362"/>
    <w:rsid w:val="00204843"/>
    <w:rsid w:val="002048B7"/>
    <w:rsid w:val="00204DC1"/>
    <w:rsid w:val="00205706"/>
    <w:rsid w:val="00205F41"/>
    <w:rsid w:val="00206610"/>
    <w:rsid w:val="00206637"/>
    <w:rsid w:val="00206A65"/>
    <w:rsid w:val="002100B8"/>
    <w:rsid w:val="00210D84"/>
    <w:rsid w:val="00210DF2"/>
    <w:rsid w:val="002111AA"/>
    <w:rsid w:val="002119C3"/>
    <w:rsid w:val="00212601"/>
    <w:rsid w:val="00213DFC"/>
    <w:rsid w:val="00214168"/>
    <w:rsid w:val="00214D48"/>
    <w:rsid w:val="002164E2"/>
    <w:rsid w:val="00216896"/>
    <w:rsid w:val="00216DC9"/>
    <w:rsid w:val="00217015"/>
    <w:rsid w:val="00217153"/>
    <w:rsid w:val="00220759"/>
    <w:rsid w:val="00220BAE"/>
    <w:rsid w:val="00220BB9"/>
    <w:rsid w:val="0022221C"/>
    <w:rsid w:val="002224CC"/>
    <w:rsid w:val="00222A14"/>
    <w:rsid w:val="00223420"/>
    <w:rsid w:val="00224408"/>
    <w:rsid w:val="00224644"/>
    <w:rsid w:val="00224679"/>
    <w:rsid w:val="00224DDA"/>
    <w:rsid w:val="002255F0"/>
    <w:rsid w:val="00225AFE"/>
    <w:rsid w:val="00226E49"/>
    <w:rsid w:val="00231171"/>
    <w:rsid w:val="00231610"/>
    <w:rsid w:val="00232667"/>
    <w:rsid w:val="0023388C"/>
    <w:rsid w:val="0023425A"/>
    <w:rsid w:val="002353CA"/>
    <w:rsid w:val="00235562"/>
    <w:rsid w:val="00235649"/>
    <w:rsid w:val="00235B77"/>
    <w:rsid w:val="00235EAA"/>
    <w:rsid w:val="00236F94"/>
    <w:rsid w:val="0023725A"/>
    <w:rsid w:val="00240F20"/>
    <w:rsid w:val="00241488"/>
    <w:rsid w:val="0024266C"/>
    <w:rsid w:val="00242FCC"/>
    <w:rsid w:val="00243714"/>
    <w:rsid w:val="00243840"/>
    <w:rsid w:val="0025012C"/>
    <w:rsid w:val="002506A8"/>
    <w:rsid w:val="002513CA"/>
    <w:rsid w:val="002514D5"/>
    <w:rsid w:val="00251D2E"/>
    <w:rsid w:val="00253397"/>
    <w:rsid w:val="00254E71"/>
    <w:rsid w:val="00255A28"/>
    <w:rsid w:val="00257BD3"/>
    <w:rsid w:val="002601DC"/>
    <w:rsid w:val="0026116A"/>
    <w:rsid w:val="002616D0"/>
    <w:rsid w:val="00261AE1"/>
    <w:rsid w:val="00261AE7"/>
    <w:rsid w:val="0026226A"/>
    <w:rsid w:val="00262FB5"/>
    <w:rsid w:val="0026327E"/>
    <w:rsid w:val="00267892"/>
    <w:rsid w:val="00270AEF"/>
    <w:rsid w:val="002716EC"/>
    <w:rsid w:val="00271DC8"/>
    <w:rsid w:val="00271DCF"/>
    <w:rsid w:val="00271F97"/>
    <w:rsid w:val="00272422"/>
    <w:rsid w:val="00272A3F"/>
    <w:rsid w:val="00273625"/>
    <w:rsid w:val="00273E29"/>
    <w:rsid w:val="0027409C"/>
    <w:rsid w:val="00275020"/>
    <w:rsid w:val="00275A04"/>
    <w:rsid w:val="002760FA"/>
    <w:rsid w:val="00276268"/>
    <w:rsid w:val="00276883"/>
    <w:rsid w:val="00282BA3"/>
    <w:rsid w:val="00282FBB"/>
    <w:rsid w:val="00284576"/>
    <w:rsid w:val="002850DA"/>
    <w:rsid w:val="0028714C"/>
    <w:rsid w:val="002874E7"/>
    <w:rsid w:val="00287689"/>
    <w:rsid w:val="002900B2"/>
    <w:rsid w:val="002913A6"/>
    <w:rsid w:val="0029220C"/>
    <w:rsid w:val="002928AB"/>
    <w:rsid w:val="00292B1C"/>
    <w:rsid w:val="00293E80"/>
    <w:rsid w:val="0029623A"/>
    <w:rsid w:val="00296320"/>
    <w:rsid w:val="00297052"/>
    <w:rsid w:val="00297066"/>
    <w:rsid w:val="0029741A"/>
    <w:rsid w:val="002A028E"/>
    <w:rsid w:val="002A0921"/>
    <w:rsid w:val="002A1989"/>
    <w:rsid w:val="002A2A64"/>
    <w:rsid w:val="002A329B"/>
    <w:rsid w:val="002A4524"/>
    <w:rsid w:val="002A592F"/>
    <w:rsid w:val="002A6DBB"/>
    <w:rsid w:val="002A781F"/>
    <w:rsid w:val="002B034D"/>
    <w:rsid w:val="002B214D"/>
    <w:rsid w:val="002B3973"/>
    <w:rsid w:val="002B3C8A"/>
    <w:rsid w:val="002B642C"/>
    <w:rsid w:val="002B663E"/>
    <w:rsid w:val="002B6911"/>
    <w:rsid w:val="002B6DB3"/>
    <w:rsid w:val="002B6F51"/>
    <w:rsid w:val="002B72D1"/>
    <w:rsid w:val="002B790E"/>
    <w:rsid w:val="002B7DC4"/>
    <w:rsid w:val="002B7E60"/>
    <w:rsid w:val="002C0916"/>
    <w:rsid w:val="002C0DD4"/>
    <w:rsid w:val="002C1363"/>
    <w:rsid w:val="002C28D0"/>
    <w:rsid w:val="002C31EF"/>
    <w:rsid w:val="002C36CC"/>
    <w:rsid w:val="002C4B4F"/>
    <w:rsid w:val="002C4F69"/>
    <w:rsid w:val="002C5358"/>
    <w:rsid w:val="002C57B0"/>
    <w:rsid w:val="002D0D8F"/>
    <w:rsid w:val="002D0DC0"/>
    <w:rsid w:val="002D10F0"/>
    <w:rsid w:val="002D1462"/>
    <w:rsid w:val="002D1BB7"/>
    <w:rsid w:val="002D233D"/>
    <w:rsid w:val="002D2539"/>
    <w:rsid w:val="002D2566"/>
    <w:rsid w:val="002D29C7"/>
    <w:rsid w:val="002D2CD5"/>
    <w:rsid w:val="002D34A9"/>
    <w:rsid w:val="002D4F5B"/>
    <w:rsid w:val="002D5E0C"/>
    <w:rsid w:val="002D63BA"/>
    <w:rsid w:val="002D69CC"/>
    <w:rsid w:val="002D765F"/>
    <w:rsid w:val="002D7954"/>
    <w:rsid w:val="002D7CFE"/>
    <w:rsid w:val="002E0A95"/>
    <w:rsid w:val="002E2196"/>
    <w:rsid w:val="002E34D5"/>
    <w:rsid w:val="002E3735"/>
    <w:rsid w:val="002E378F"/>
    <w:rsid w:val="002E558B"/>
    <w:rsid w:val="002E6130"/>
    <w:rsid w:val="002E69B0"/>
    <w:rsid w:val="002F018F"/>
    <w:rsid w:val="002F0273"/>
    <w:rsid w:val="002F06BD"/>
    <w:rsid w:val="002F0D31"/>
    <w:rsid w:val="002F1558"/>
    <w:rsid w:val="002F1FF1"/>
    <w:rsid w:val="002F2881"/>
    <w:rsid w:val="002F3183"/>
    <w:rsid w:val="002F3892"/>
    <w:rsid w:val="002F45F0"/>
    <w:rsid w:val="002F4A2E"/>
    <w:rsid w:val="002F7402"/>
    <w:rsid w:val="00300368"/>
    <w:rsid w:val="00300E5D"/>
    <w:rsid w:val="00302570"/>
    <w:rsid w:val="0030349F"/>
    <w:rsid w:val="00303C97"/>
    <w:rsid w:val="00305082"/>
    <w:rsid w:val="00305BC4"/>
    <w:rsid w:val="00306549"/>
    <w:rsid w:val="00306D45"/>
    <w:rsid w:val="00306F43"/>
    <w:rsid w:val="0030705A"/>
    <w:rsid w:val="00307F56"/>
    <w:rsid w:val="00311064"/>
    <w:rsid w:val="003113BF"/>
    <w:rsid w:val="003117BB"/>
    <w:rsid w:val="00312336"/>
    <w:rsid w:val="003124FF"/>
    <w:rsid w:val="003126E0"/>
    <w:rsid w:val="00312C6B"/>
    <w:rsid w:val="003134CD"/>
    <w:rsid w:val="003147BE"/>
    <w:rsid w:val="00317988"/>
    <w:rsid w:val="00317D16"/>
    <w:rsid w:val="003221C9"/>
    <w:rsid w:val="00323377"/>
    <w:rsid w:val="003241A0"/>
    <w:rsid w:val="00325F71"/>
    <w:rsid w:val="003264B6"/>
    <w:rsid w:val="00326B00"/>
    <w:rsid w:val="00326B56"/>
    <w:rsid w:val="00326F0A"/>
    <w:rsid w:val="0033061C"/>
    <w:rsid w:val="00332DED"/>
    <w:rsid w:val="0033320A"/>
    <w:rsid w:val="00333DE7"/>
    <w:rsid w:val="00334497"/>
    <w:rsid w:val="00334AE1"/>
    <w:rsid w:val="003351C0"/>
    <w:rsid w:val="00340BCF"/>
    <w:rsid w:val="00344F3C"/>
    <w:rsid w:val="003457D0"/>
    <w:rsid w:val="00345876"/>
    <w:rsid w:val="00345998"/>
    <w:rsid w:val="003469FC"/>
    <w:rsid w:val="00347726"/>
    <w:rsid w:val="0035022A"/>
    <w:rsid w:val="003514C3"/>
    <w:rsid w:val="0035173C"/>
    <w:rsid w:val="00353348"/>
    <w:rsid w:val="00355181"/>
    <w:rsid w:val="0035720E"/>
    <w:rsid w:val="00360494"/>
    <w:rsid w:val="00362596"/>
    <w:rsid w:val="003628F7"/>
    <w:rsid w:val="0036441B"/>
    <w:rsid w:val="00364AB9"/>
    <w:rsid w:val="003665AD"/>
    <w:rsid w:val="00366912"/>
    <w:rsid w:val="00367018"/>
    <w:rsid w:val="00372AE6"/>
    <w:rsid w:val="00372F8A"/>
    <w:rsid w:val="00373736"/>
    <w:rsid w:val="003737C4"/>
    <w:rsid w:val="00374ED6"/>
    <w:rsid w:val="00375A1A"/>
    <w:rsid w:val="00375AA0"/>
    <w:rsid w:val="00380AE1"/>
    <w:rsid w:val="00380E3E"/>
    <w:rsid w:val="00381AD6"/>
    <w:rsid w:val="00381B75"/>
    <w:rsid w:val="00383573"/>
    <w:rsid w:val="00383AAD"/>
    <w:rsid w:val="0038777F"/>
    <w:rsid w:val="003902DF"/>
    <w:rsid w:val="00391970"/>
    <w:rsid w:val="00391E0E"/>
    <w:rsid w:val="003920AD"/>
    <w:rsid w:val="003924CA"/>
    <w:rsid w:val="003925E1"/>
    <w:rsid w:val="00393159"/>
    <w:rsid w:val="003932AB"/>
    <w:rsid w:val="003941BE"/>
    <w:rsid w:val="00394280"/>
    <w:rsid w:val="003948BE"/>
    <w:rsid w:val="00394EB2"/>
    <w:rsid w:val="00395801"/>
    <w:rsid w:val="00397BF5"/>
    <w:rsid w:val="003A00C2"/>
    <w:rsid w:val="003A056A"/>
    <w:rsid w:val="003A109B"/>
    <w:rsid w:val="003A2CB1"/>
    <w:rsid w:val="003A2E5D"/>
    <w:rsid w:val="003A34D6"/>
    <w:rsid w:val="003A45E9"/>
    <w:rsid w:val="003A49F2"/>
    <w:rsid w:val="003A52F0"/>
    <w:rsid w:val="003A54A1"/>
    <w:rsid w:val="003A573F"/>
    <w:rsid w:val="003A5892"/>
    <w:rsid w:val="003A6E0A"/>
    <w:rsid w:val="003A78E5"/>
    <w:rsid w:val="003A7B3D"/>
    <w:rsid w:val="003A7DFC"/>
    <w:rsid w:val="003B04DD"/>
    <w:rsid w:val="003B0581"/>
    <w:rsid w:val="003B092A"/>
    <w:rsid w:val="003B0A2B"/>
    <w:rsid w:val="003B1032"/>
    <w:rsid w:val="003B26FD"/>
    <w:rsid w:val="003B2E5A"/>
    <w:rsid w:val="003B349D"/>
    <w:rsid w:val="003B3733"/>
    <w:rsid w:val="003B38A6"/>
    <w:rsid w:val="003B4E92"/>
    <w:rsid w:val="003B6603"/>
    <w:rsid w:val="003B6A41"/>
    <w:rsid w:val="003B75A5"/>
    <w:rsid w:val="003B7810"/>
    <w:rsid w:val="003B79C2"/>
    <w:rsid w:val="003C0631"/>
    <w:rsid w:val="003C0B7B"/>
    <w:rsid w:val="003C23DE"/>
    <w:rsid w:val="003C334C"/>
    <w:rsid w:val="003C3CC1"/>
    <w:rsid w:val="003C4274"/>
    <w:rsid w:val="003C4781"/>
    <w:rsid w:val="003C6701"/>
    <w:rsid w:val="003C75F1"/>
    <w:rsid w:val="003D01B6"/>
    <w:rsid w:val="003D060A"/>
    <w:rsid w:val="003D0A83"/>
    <w:rsid w:val="003D0F3F"/>
    <w:rsid w:val="003D1432"/>
    <w:rsid w:val="003D2B38"/>
    <w:rsid w:val="003D2BCC"/>
    <w:rsid w:val="003D3B8B"/>
    <w:rsid w:val="003D44EB"/>
    <w:rsid w:val="003D4EA3"/>
    <w:rsid w:val="003D54FA"/>
    <w:rsid w:val="003E1282"/>
    <w:rsid w:val="003E33AA"/>
    <w:rsid w:val="003E441F"/>
    <w:rsid w:val="003E61AA"/>
    <w:rsid w:val="003E6461"/>
    <w:rsid w:val="003E6973"/>
    <w:rsid w:val="003E7022"/>
    <w:rsid w:val="003E7272"/>
    <w:rsid w:val="003E7C6F"/>
    <w:rsid w:val="003F13D2"/>
    <w:rsid w:val="003F36BD"/>
    <w:rsid w:val="003F3B4B"/>
    <w:rsid w:val="003F66BA"/>
    <w:rsid w:val="003F6D28"/>
    <w:rsid w:val="003F7011"/>
    <w:rsid w:val="003F79F2"/>
    <w:rsid w:val="00401994"/>
    <w:rsid w:val="00402418"/>
    <w:rsid w:val="00403FF3"/>
    <w:rsid w:val="00404694"/>
    <w:rsid w:val="00404F5B"/>
    <w:rsid w:val="0040770F"/>
    <w:rsid w:val="004102E1"/>
    <w:rsid w:val="00411062"/>
    <w:rsid w:val="004112F6"/>
    <w:rsid w:val="00414539"/>
    <w:rsid w:val="004145BC"/>
    <w:rsid w:val="00415155"/>
    <w:rsid w:val="00415222"/>
    <w:rsid w:val="00416594"/>
    <w:rsid w:val="00417B51"/>
    <w:rsid w:val="004205E5"/>
    <w:rsid w:val="00420FBC"/>
    <w:rsid w:val="004211C3"/>
    <w:rsid w:val="004219D9"/>
    <w:rsid w:val="004227BF"/>
    <w:rsid w:val="0042288E"/>
    <w:rsid w:val="00422A4A"/>
    <w:rsid w:val="0042536D"/>
    <w:rsid w:val="004259E7"/>
    <w:rsid w:val="00427F19"/>
    <w:rsid w:val="004301B0"/>
    <w:rsid w:val="004301FD"/>
    <w:rsid w:val="0043058B"/>
    <w:rsid w:val="004312D7"/>
    <w:rsid w:val="00432A18"/>
    <w:rsid w:val="004330C0"/>
    <w:rsid w:val="004331D7"/>
    <w:rsid w:val="004354F4"/>
    <w:rsid w:val="00435AF2"/>
    <w:rsid w:val="004374E1"/>
    <w:rsid w:val="004375D6"/>
    <w:rsid w:val="00437B90"/>
    <w:rsid w:val="00437ED7"/>
    <w:rsid w:val="0044114F"/>
    <w:rsid w:val="004423C2"/>
    <w:rsid w:val="00442CE7"/>
    <w:rsid w:val="0044345C"/>
    <w:rsid w:val="00443584"/>
    <w:rsid w:val="0044409A"/>
    <w:rsid w:val="00445ADC"/>
    <w:rsid w:val="00447A69"/>
    <w:rsid w:val="00451AA2"/>
    <w:rsid w:val="00453810"/>
    <w:rsid w:val="00453EBE"/>
    <w:rsid w:val="00454184"/>
    <w:rsid w:val="00454A33"/>
    <w:rsid w:val="00455DB6"/>
    <w:rsid w:val="00455E14"/>
    <w:rsid w:val="00456A76"/>
    <w:rsid w:val="00457050"/>
    <w:rsid w:val="00457274"/>
    <w:rsid w:val="004575C8"/>
    <w:rsid w:val="004578CA"/>
    <w:rsid w:val="00460018"/>
    <w:rsid w:val="00460206"/>
    <w:rsid w:val="00460692"/>
    <w:rsid w:val="004616ED"/>
    <w:rsid w:val="00461B7E"/>
    <w:rsid w:val="0046347C"/>
    <w:rsid w:val="00464289"/>
    <w:rsid w:val="004659A5"/>
    <w:rsid w:val="00465B61"/>
    <w:rsid w:val="00465E45"/>
    <w:rsid w:val="00465FF2"/>
    <w:rsid w:val="00466231"/>
    <w:rsid w:val="0046629A"/>
    <w:rsid w:val="004666D2"/>
    <w:rsid w:val="00466ED9"/>
    <w:rsid w:val="0046744E"/>
    <w:rsid w:val="00472403"/>
    <w:rsid w:val="004730DE"/>
    <w:rsid w:val="0047312C"/>
    <w:rsid w:val="004731E8"/>
    <w:rsid w:val="004735A6"/>
    <w:rsid w:val="004755E3"/>
    <w:rsid w:val="00475EDA"/>
    <w:rsid w:val="004768DA"/>
    <w:rsid w:val="0047723B"/>
    <w:rsid w:val="00477EC4"/>
    <w:rsid w:val="00480D03"/>
    <w:rsid w:val="004823A4"/>
    <w:rsid w:val="00482726"/>
    <w:rsid w:val="00483AAB"/>
    <w:rsid w:val="004850D0"/>
    <w:rsid w:val="00486207"/>
    <w:rsid w:val="00486873"/>
    <w:rsid w:val="00487021"/>
    <w:rsid w:val="00487E59"/>
    <w:rsid w:val="004901AB"/>
    <w:rsid w:val="004901AE"/>
    <w:rsid w:val="00490210"/>
    <w:rsid w:val="00490301"/>
    <w:rsid w:val="00490321"/>
    <w:rsid w:val="00491250"/>
    <w:rsid w:val="00492C3D"/>
    <w:rsid w:val="00492EF7"/>
    <w:rsid w:val="004931BD"/>
    <w:rsid w:val="00493B58"/>
    <w:rsid w:val="00494EFE"/>
    <w:rsid w:val="00495BA1"/>
    <w:rsid w:val="00496C5A"/>
    <w:rsid w:val="004A0544"/>
    <w:rsid w:val="004A0CBE"/>
    <w:rsid w:val="004A11E5"/>
    <w:rsid w:val="004A2319"/>
    <w:rsid w:val="004A2544"/>
    <w:rsid w:val="004A3084"/>
    <w:rsid w:val="004A3D2E"/>
    <w:rsid w:val="004A475C"/>
    <w:rsid w:val="004A4C07"/>
    <w:rsid w:val="004A569C"/>
    <w:rsid w:val="004A5A51"/>
    <w:rsid w:val="004A61B6"/>
    <w:rsid w:val="004A7DDE"/>
    <w:rsid w:val="004B0A68"/>
    <w:rsid w:val="004B1253"/>
    <w:rsid w:val="004B19F2"/>
    <w:rsid w:val="004B1B2B"/>
    <w:rsid w:val="004B1DFC"/>
    <w:rsid w:val="004B2EAD"/>
    <w:rsid w:val="004B436E"/>
    <w:rsid w:val="004B4AB4"/>
    <w:rsid w:val="004B6D0F"/>
    <w:rsid w:val="004B71C5"/>
    <w:rsid w:val="004C14B7"/>
    <w:rsid w:val="004C1702"/>
    <w:rsid w:val="004C194F"/>
    <w:rsid w:val="004C350B"/>
    <w:rsid w:val="004C3A8E"/>
    <w:rsid w:val="004C4605"/>
    <w:rsid w:val="004C46EB"/>
    <w:rsid w:val="004C54EA"/>
    <w:rsid w:val="004C65A2"/>
    <w:rsid w:val="004C7530"/>
    <w:rsid w:val="004D065E"/>
    <w:rsid w:val="004D304F"/>
    <w:rsid w:val="004D4AD0"/>
    <w:rsid w:val="004D5535"/>
    <w:rsid w:val="004D58F5"/>
    <w:rsid w:val="004D6BA4"/>
    <w:rsid w:val="004E221B"/>
    <w:rsid w:val="004E3489"/>
    <w:rsid w:val="004E3ACE"/>
    <w:rsid w:val="004E3B23"/>
    <w:rsid w:val="004E47BB"/>
    <w:rsid w:val="004E50FB"/>
    <w:rsid w:val="004E6040"/>
    <w:rsid w:val="004F0E14"/>
    <w:rsid w:val="004F1AC7"/>
    <w:rsid w:val="004F3E34"/>
    <w:rsid w:val="004F4142"/>
    <w:rsid w:val="004F49B0"/>
    <w:rsid w:val="004F52D4"/>
    <w:rsid w:val="00500B88"/>
    <w:rsid w:val="00500BC6"/>
    <w:rsid w:val="005030F2"/>
    <w:rsid w:val="005035C5"/>
    <w:rsid w:val="00505E66"/>
    <w:rsid w:val="005073CF"/>
    <w:rsid w:val="00510869"/>
    <w:rsid w:val="00510D7E"/>
    <w:rsid w:val="00511881"/>
    <w:rsid w:val="00512AE5"/>
    <w:rsid w:val="00513331"/>
    <w:rsid w:val="005151B9"/>
    <w:rsid w:val="00515B86"/>
    <w:rsid w:val="00515CD9"/>
    <w:rsid w:val="00516B5D"/>
    <w:rsid w:val="005202F0"/>
    <w:rsid w:val="00520CC2"/>
    <w:rsid w:val="00520D65"/>
    <w:rsid w:val="00521BF2"/>
    <w:rsid w:val="0052228E"/>
    <w:rsid w:val="00523370"/>
    <w:rsid w:val="00524107"/>
    <w:rsid w:val="005244FD"/>
    <w:rsid w:val="00525523"/>
    <w:rsid w:val="00526746"/>
    <w:rsid w:val="005269CF"/>
    <w:rsid w:val="00530682"/>
    <w:rsid w:val="0053116E"/>
    <w:rsid w:val="00531672"/>
    <w:rsid w:val="005328E2"/>
    <w:rsid w:val="00532F48"/>
    <w:rsid w:val="005339BC"/>
    <w:rsid w:val="005354BD"/>
    <w:rsid w:val="005357A0"/>
    <w:rsid w:val="00536F23"/>
    <w:rsid w:val="00543F56"/>
    <w:rsid w:val="00544C3D"/>
    <w:rsid w:val="0054545F"/>
    <w:rsid w:val="0054551E"/>
    <w:rsid w:val="0054637F"/>
    <w:rsid w:val="005478B2"/>
    <w:rsid w:val="00550D8B"/>
    <w:rsid w:val="00551936"/>
    <w:rsid w:val="005530CB"/>
    <w:rsid w:val="00553BC6"/>
    <w:rsid w:val="005544D1"/>
    <w:rsid w:val="00557125"/>
    <w:rsid w:val="00560081"/>
    <w:rsid w:val="0056262E"/>
    <w:rsid w:val="00563200"/>
    <w:rsid w:val="005638F3"/>
    <w:rsid w:val="00563A2F"/>
    <w:rsid w:val="00564C7B"/>
    <w:rsid w:val="005650AA"/>
    <w:rsid w:val="0056553D"/>
    <w:rsid w:val="00565B71"/>
    <w:rsid w:val="005661DE"/>
    <w:rsid w:val="0057083E"/>
    <w:rsid w:val="00573174"/>
    <w:rsid w:val="00573927"/>
    <w:rsid w:val="00574FA1"/>
    <w:rsid w:val="0057514F"/>
    <w:rsid w:val="0057586C"/>
    <w:rsid w:val="0057798E"/>
    <w:rsid w:val="005808FD"/>
    <w:rsid w:val="00580926"/>
    <w:rsid w:val="00581E9D"/>
    <w:rsid w:val="00583E34"/>
    <w:rsid w:val="0058661B"/>
    <w:rsid w:val="00586929"/>
    <w:rsid w:val="00586996"/>
    <w:rsid w:val="00591D4B"/>
    <w:rsid w:val="00592128"/>
    <w:rsid w:val="0059237F"/>
    <w:rsid w:val="005924D8"/>
    <w:rsid w:val="00592848"/>
    <w:rsid w:val="00594AC1"/>
    <w:rsid w:val="00596029"/>
    <w:rsid w:val="00597A62"/>
    <w:rsid w:val="005A0311"/>
    <w:rsid w:val="005A1B7F"/>
    <w:rsid w:val="005A2176"/>
    <w:rsid w:val="005A225A"/>
    <w:rsid w:val="005A30EB"/>
    <w:rsid w:val="005A34DF"/>
    <w:rsid w:val="005A385D"/>
    <w:rsid w:val="005A4235"/>
    <w:rsid w:val="005A5375"/>
    <w:rsid w:val="005A6A59"/>
    <w:rsid w:val="005B1640"/>
    <w:rsid w:val="005B25A9"/>
    <w:rsid w:val="005B2B9F"/>
    <w:rsid w:val="005B3F58"/>
    <w:rsid w:val="005B4FE4"/>
    <w:rsid w:val="005B7D3D"/>
    <w:rsid w:val="005C1237"/>
    <w:rsid w:val="005C3626"/>
    <w:rsid w:val="005C408F"/>
    <w:rsid w:val="005C65F3"/>
    <w:rsid w:val="005C6FA5"/>
    <w:rsid w:val="005C7269"/>
    <w:rsid w:val="005C7766"/>
    <w:rsid w:val="005D1409"/>
    <w:rsid w:val="005D2649"/>
    <w:rsid w:val="005D27AC"/>
    <w:rsid w:val="005D3307"/>
    <w:rsid w:val="005D3369"/>
    <w:rsid w:val="005D3955"/>
    <w:rsid w:val="005D3B72"/>
    <w:rsid w:val="005D4060"/>
    <w:rsid w:val="005D57C4"/>
    <w:rsid w:val="005D591A"/>
    <w:rsid w:val="005E17B2"/>
    <w:rsid w:val="005E19E7"/>
    <w:rsid w:val="005E3ABB"/>
    <w:rsid w:val="005E5819"/>
    <w:rsid w:val="005E599F"/>
    <w:rsid w:val="005E5F32"/>
    <w:rsid w:val="005E6648"/>
    <w:rsid w:val="005E6726"/>
    <w:rsid w:val="005E75C5"/>
    <w:rsid w:val="005E7FA4"/>
    <w:rsid w:val="005F0161"/>
    <w:rsid w:val="005F0E8D"/>
    <w:rsid w:val="005F1938"/>
    <w:rsid w:val="005F4C5E"/>
    <w:rsid w:val="005F6D89"/>
    <w:rsid w:val="005F6EE0"/>
    <w:rsid w:val="005F7B10"/>
    <w:rsid w:val="00601B7B"/>
    <w:rsid w:val="00601BAA"/>
    <w:rsid w:val="00601C98"/>
    <w:rsid w:val="00602A37"/>
    <w:rsid w:val="00602C65"/>
    <w:rsid w:val="00604270"/>
    <w:rsid w:val="00604B70"/>
    <w:rsid w:val="00605CE0"/>
    <w:rsid w:val="00606235"/>
    <w:rsid w:val="006063EA"/>
    <w:rsid w:val="00606670"/>
    <w:rsid w:val="00606D68"/>
    <w:rsid w:val="00606E15"/>
    <w:rsid w:val="0060701E"/>
    <w:rsid w:val="006079D2"/>
    <w:rsid w:val="00610055"/>
    <w:rsid w:val="006104D7"/>
    <w:rsid w:val="006105E4"/>
    <w:rsid w:val="00612B35"/>
    <w:rsid w:val="00612DC2"/>
    <w:rsid w:val="006141C3"/>
    <w:rsid w:val="0061553F"/>
    <w:rsid w:val="00615B6A"/>
    <w:rsid w:val="00615C43"/>
    <w:rsid w:val="00620486"/>
    <w:rsid w:val="006208C6"/>
    <w:rsid w:val="00620B60"/>
    <w:rsid w:val="006211BC"/>
    <w:rsid w:val="00622260"/>
    <w:rsid w:val="00622956"/>
    <w:rsid w:val="00623786"/>
    <w:rsid w:val="0062422E"/>
    <w:rsid w:val="00624CF0"/>
    <w:rsid w:val="00631636"/>
    <w:rsid w:val="00632186"/>
    <w:rsid w:val="006324D7"/>
    <w:rsid w:val="006379D2"/>
    <w:rsid w:val="00637EF6"/>
    <w:rsid w:val="00637F39"/>
    <w:rsid w:val="006406FE"/>
    <w:rsid w:val="00641FF6"/>
    <w:rsid w:val="00642451"/>
    <w:rsid w:val="0064245C"/>
    <w:rsid w:val="00645316"/>
    <w:rsid w:val="00646821"/>
    <w:rsid w:val="00650505"/>
    <w:rsid w:val="00652A9A"/>
    <w:rsid w:val="00653769"/>
    <w:rsid w:val="0065383A"/>
    <w:rsid w:val="00653A17"/>
    <w:rsid w:val="00654789"/>
    <w:rsid w:val="00655830"/>
    <w:rsid w:val="00661354"/>
    <w:rsid w:val="00662345"/>
    <w:rsid w:val="00663882"/>
    <w:rsid w:val="00663892"/>
    <w:rsid w:val="006645B6"/>
    <w:rsid w:val="00664B6B"/>
    <w:rsid w:val="00666D6B"/>
    <w:rsid w:val="00666D92"/>
    <w:rsid w:val="006703BA"/>
    <w:rsid w:val="0067061C"/>
    <w:rsid w:val="00671988"/>
    <w:rsid w:val="00672384"/>
    <w:rsid w:val="00672A84"/>
    <w:rsid w:val="00672B4A"/>
    <w:rsid w:val="006732C1"/>
    <w:rsid w:val="00673B89"/>
    <w:rsid w:val="00673CE6"/>
    <w:rsid w:val="00676B55"/>
    <w:rsid w:val="00676CEF"/>
    <w:rsid w:val="006805ED"/>
    <w:rsid w:val="006827FB"/>
    <w:rsid w:val="006840A1"/>
    <w:rsid w:val="00684549"/>
    <w:rsid w:val="006857B5"/>
    <w:rsid w:val="00687B9D"/>
    <w:rsid w:val="006900B7"/>
    <w:rsid w:val="00690F5B"/>
    <w:rsid w:val="00691465"/>
    <w:rsid w:val="0069174C"/>
    <w:rsid w:val="00692B30"/>
    <w:rsid w:val="00693926"/>
    <w:rsid w:val="00694410"/>
    <w:rsid w:val="00696029"/>
    <w:rsid w:val="0069675F"/>
    <w:rsid w:val="00696B83"/>
    <w:rsid w:val="00697598"/>
    <w:rsid w:val="006975DC"/>
    <w:rsid w:val="00697E83"/>
    <w:rsid w:val="006A0C5C"/>
    <w:rsid w:val="006A0F98"/>
    <w:rsid w:val="006A215D"/>
    <w:rsid w:val="006A26DB"/>
    <w:rsid w:val="006A37FD"/>
    <w:rsid w:val="006A4F99"/>
    <w:rsid w:val="006A5A3B"/>
    <w:rsid w:val="006A671B"/>
    <w:rsid w:val="006B0292"/>
    <w:rsid w:val="006B085F"/>
    <w:rsid w:val="006B2E43"/>
    <w:rsid w:val="006B4B14"/>
    <w:rsid w:val="006B7517"/>
    <w:rsid w:val="006B7744"/>
    <w:rsid w:val="006B7A30"/>
    <w:rsid w:val="006C086F"/>
    <w:rsid w:val="006C0A05"/>
    <w:rsid w:val="006C0CEE"/>
    <w:rsid w:val="006C0D10"/>
    <w:rsid w:val="006C17C8"/>
    <w:rsid w:val="006C1CF5"/>
    <w:rsid w:val="006C21CF"/>
    <w:rsid w:val="006C452F"/>
    <w:rsid w:val="006C531E"/>
    <w:rsid w:val="006C5878"/>
    <w:rsid w:val="006C5DE1"/>
    <w:rsid w:val="006D07A4"/>
    <w:rsid w:val="006D22AB"/>
    <w:rsid w:val="006D2D19"/>
    <w:rsid w:val="006D3397"/>
    <w:rsid w:val="006D38BA"/>
    <w:rsid w:val="006D38F0"/>
    <w:rsid w:val="006D4545"/>
    <w:rsid w:val="006D4DF0"/>
    <w:rsid w:val="006D5448"/>
    <w:rsid w:val="006D618B"/>
    <w:rsid w:val="006D6D3F"/>
    <w:rsid w:val="006E24B0"/>
    <w:rsid w:val="006E32C1"/>
    <w:rsid w:val="006E335D"/>
    <w:rsid w:val="006E540C"/>
    <w:rsid w:val="006E5856"/>
    <w:rsid w:val="006E5963"/>
    <w:rsid w:val="006E596E"/>
    <w:rsid w:val="006E59F2"/>
    <w:rsid w:val="006E5A7A"/>
    <w:rsid w:val="006F0BC6"/>
    <w:rsid w:val="006F0BE0"/>
    <w:rsid w:val="006F4262"/>
    <w:rsid w:val="006F6671"/>
    <w:rsid w:val="006F7859"/>
    <w:rsid w:val="00701180"/>
    <w:rsid w:val="0070182A"/>
    <w:rsid w:val="00702047"/>
    <w:rsid w:val="00702CFF"/>
    <w:rsid w:val="007035D9"/>
    <w:rsid w:val="007044F6"/>
    <w:rsid w:val="0070457C"/>
    <w:rsid w:val="00704BD7"/>
    <w:rsid w:val="007057F7"/>
    <w:rsid w:val="00705971"/>
    <w:rsid w:val="007063C6"/>
    <w:rsid w:val="00707292"/>
    <w:rsid w:val="00710E09"/>
    <w:rsid w:val="00712BB7"/>
    <w:rsid w:val="007136E0"/>
    <w:rsid w:val="007144C4"/>
    <w:rsid w:val="007144E9"/>
    <w:rsid w:val="0071506B"/>
    <w:rsid w:val="00716DB3"/>
    <w:rsid w:val="007170F9"/>
    <w:rsid w:val="007207F8"/>
    <w:rsid w:val="0072155C"/>
    <w:rsid w:val="00721C67"/>
    <w:rsid w:val="0072260D"/>
    <w:rsid w:val="00722985"/>
    <w:rsid w:val="00723013"/>
    <w:rsid w:val="0072393D"/>
    <w:rsid w:val="00724392"/>
    <w:rsid w:val="00724811"/>
    <w:rsid w:val="00724C09"/>
    <w:rsid w:val="00725437"/>
    <w:rsid w:val="007254C2"/>
    <w:rsid w:val="00726FCA"/>
    <w:rsid w:val="007272CD"/>
    <w:rsid w:val="00727FE9"/>
    <w:rsid w:val="00730D26"/>
    <w:rsid w:val="00731736"/>
    <w:rsid w:val="007321DA"/>
    <w:rsid w:val="007325AD"/>
    <w:rsid w:val="007325F0"/>
    <w:rsid w:val="00733D19"/>
    <w:rsid w:val="00734234"/>
    <w:rsid w:val="0073469D"/>
    <w:rsid w:val="007347D5"/>
    <w:rsid w:val="00734E0B"/>
    <w:rsid w:val="00735A73"/>
    <w:rsid w:val="007362CE"/>
    <w:rsid w:val="00737580"/>
    <w:rsid w:val="0074028C"/>
    <w:rsid w:val="007416FB"/>
    <w:rsid w:val="0074245E"/>
    <w:rsid w:val="00744B57"/>
    <w:rsid w:val="0074529F"/>
    <w:rsid w:val="007453D1"/>
    <w:rsid w:val="00745EFD"/>
    <w:rsid w:val="007460BD"/>
    <w:rsid w:val="00746A01"/>
    <w:rsid w:val="00747028"/>
    <w:rsid w:val="00747B00"/>
    <w:rsid w:val="00747B22"/>
    <w:rsid w:val="00747CBF"/>
    <w:rsid w:val="00750F28"/>
    <w:rsid w:val="0075176B"/>
    <w:rsid w:val="00751E40"/>
    <w:rsid w:val="0075256B"/>
    <w:rsid w:val="00753BD5"/>
    <w:rsid w:val="00754982"/>
    <w:rsid w:val="007566FE"/>
    <w:rsid w:val="0076285C"/>
    <w:rsid w:val="00763238"/>
    <w:rsid w:val="00764184"/>
    <w:rsid w:val="00764280"/>
    <w:rsid w:val="007650B2"/>
    <w:rsid w:val="00765F0B"/>
    <w:rsid w:val="00766409"/>
    <w:rsid w:val="007668ED"/>
    <w:rsid w:val="00771FDA"/>
    <w:rsid w:val="00772DE7"/>
    <w:rsid w:val="00772E42"/>
    <w:rsid w:val="007736C1"/>
    <w:rsid w:val="007745DA"/>
    <w:rsid w:val="00777B4A"/>
    <w:rsid w:val="00777D07"/>
    <w:rsid w:val="00781577"/>
    <w:rsid w:val="007831AF"/>
    <w:rsid w:val="00783D0B"/>
    <w:rsid w:val="00783F03"/>
    <w:rsid w:val="007843B8"/>
    <w:rsid w:val="007844FC"/>
    <w:rsid w:val="00785BD5"/>
    <w:rsid w:val="00786388"/>
    <w:rsid w:val="00786A29"/>
    <w:rsid w:val="00787E08"/>
    <w:rsid w:val="00791707"/>
    <w:rsid w:val="00791C0C"/>
    <w:rsid w:val="00792F3D"/>
    <w:rsid w:val="00793532"/>
    <w:rsid w:val="0079396D"/>
    <w:rsid w:val="00793BD9"/>
    <w:rsid w:val="00794292"/>
    <w:rsid w:val="0079441D"/>
    <w:rsid w:val="007945B6"/>
    <w:rsid w:val="00794993"/>
    <w:rsid w:val="007953D8"/>
    <w:rsid w:val="00795A77"/>
    <w:rsid w:val="007A2285"/>
    <w:rsid w:val="007A26A3"/>
    <w:rsid w:val="007A2826"/>
    <w:rsid w:val="007A29B9"/>
    <w:rsid w:val="007A3788"/>
    <w:rsid w:val="007A3F37"/>
    <w:rsid w:val="007A42D1"/>
    <w:rsid w:val="007A4FB2"/>
    <w:rsid w:val="007A5466"/>
    <w:rsid w:val="007A5556"/>
    <w:rsid w:val="007A63AD"/>
    <w:rsid w:val="007A6740"/>
    <w:rsid w:val="007A688D"/>
    <w:rsid w:val="007B041D"/>
    <w:rsid w:val="007B0AB3"/>
    <w:rsid w:val="007B153A"/>
    <w:rsid w:val="007B2A60"/>
    <w:rsid w:val="007B2AE3"/>
    <w:rsid w:val="007B3ED7"/>
    <w:rsid w:val="007B6DB9"/>
    <w:rsid w:val="007C1A8A"/>
    <w:rsid w:val="007C21F8"/>
    <w:rsid w:val="007C23EB"/>
    <w:rsid w:val="007C5515"/>
    <w:rsid w:val="007C5953"/>
    <w:rsid w:val="007C59F8"/>
    <w:rsid w:val="007C6545"/>
    <w:rsid w:val="007C6D8D"/>
    <w:rsid w:val="007C71A5"/>
    <w:rsid w:val="007D03DE"/>
    <w:rsid w:val="007D03FD"/>
    <w:rsid w:val="007D11DE"/>
    <w:rsid w:val="007D4DD0"/>
    <w:rsid w:val="007D6B90"/>
    <w:rsid w:val="007D7101"/>
    <w:rsid w:val="007D7ACB"/>
    <w:rsid w:val="007E231D"/>
    <w:rsid w:val="007E27DF"/>
    <w:rsid w:val="007E2EFA"/>
    <w:rsid w:val="007E5869"/>
    <w:rsid w:val="007E5FD2"/>
    <w:rsid w:val="007E6775"/>
    <w:rsid w:val="007E6922"/>
    <w:rsid w:val="007E70B9"/>
    <w:rsid w:val="007E7F62"/>
    <w:rsid w:val="007F0539"/>
    <w:rsid w:val="007F06A2"/>
    <w:rsid w:val="007F0FAB"/>
    <w:rsid w:val="007F1186"/>
    <w:rsid w:val="007F19D1"/>
    <w:rsid w:val="007F33E4"/>
    <w:rsid w:val="007F3475"/>
    <w:rsid w:val="007F542E"/>
    <w:rsid w:val="007F5754"/>
    <w:rsid w:val="007F58C0"/>
    <w:rsid w:val="007F7517"/>
    <w:rsid w:val="007F77A7"/>
    <w:rsid w:val="007F7D0A"/>
    <w:rsid w:val="00801E1C"/>
    <w:rsid w:val="00802224"/>
    <w:rsid w:val="0080237A"/>
    <w:rsid w:val="00802839"/>
    <w:rsid w:val="00802D88"/>
    <w:rsid w:val="00803B7E"/>
    <w:rsid w:val="008054B7"/>
    <w:rsid w:val="00805AFD"/>
    <w:rsid w:val="0080605A"/>
    <w:rsid w:val="0080648C"/>
    <w:rsid w:val="00807283"/>
    <w:rsid w:val="00812338"/>
    <w:rsid w:val="008127AA"/>
    <w:rsid w:val="00812BDF"/>
    <w:rsid w:val="00813959"/>
    <w:rsid w:val="008147ED"/>
    <w:rsid w:val="00814BFA"/>
    <w:rsid w:val="008153E3"/>
    <w:rsid w:val="008157CB"/>
    <w:rsid w:val="0081591D"/>
    <w:rsid w:val="0082219F"/>
    <w:rsid w:val="0082244A"/>
    <w:rsid w:val="00823D1E"/>
    <w:rsid w:val="0082624A"/>
    <w:rsid w:val="00826ECD"/>
    <w:rsid w:val="008272B7"/>
    <w:rsid w:val="0082796D"/>
    <w:rsid w:val="00831245"/>
    <w:rsid w:val="0083414A"/>
    <w:rsid w:val="00834C53"/>
    <w:rsid w:val="00835CAA"/>
    <w:rsid w:val="0083666A"/>
    <w:rsid w:val="008372BF"/>
    <w:rsid w:val="00840FB2"/>
    <w:rsid w:val="0084187F"/>
    <w:rsid w:val="00841B98"/>
    <w:rsid w:val="00842324"/>
    <w:rsid w:val="008425FE"/>
    <w:rsid w:val="0084281E"/>
    <w:rsid w:val="0084283C"/>
    <w:rsid w:val="0084332D"/>
    <w:rsid w:val="00844650"/>
    <w:rsid w:val="008458B3"/>
    <w:rsid w:val="00845E3E"/>
    <w:rsid w:val="00845FB9"/>
    <w:rsid w:val="00847B13"/>
    <w:rsid w:val="008513A6"/>
    <w:rsid w:val="008513BA"/>
    <w:rsid w:val="008515CC"/>
    <w:rsid w:val="00855AC7"/>
    <w:rsid w:val="00856724"/>
    <w:rsid w:val="00856DE2"/>
    <w:rsid w:val="0086020D"/>
    <w:rsid w:val="00862779"/>
    <w:rsid w:val="008654F4"/>
    <w:rsid w:val="0086667E"/>
    <w:rsid w:val="00867AC0"/>
    <w:rsid w:val="00867EEF"/>
    <w:rsid w:val="00870805"/>
    <w:rsid w:val="00871704"/>
    <w:rsid w:val="00871B4C"/>
    <w:rsid w:val="00871FD7"/>
    <w:rsid w:val="008722A8"/>
    <w:rsid w:val="008724A5"/>
    <w:rsid w:val="008739A5"/>
    <w:rsid w:val="00874DC3"/>
    <w:rsid w:val="00877E70"/>
    <w:rsid w:val="008806BD"/>
    <w:rsid w:val="00880987"/>
    <w:rsid w:val="008812DF"/>
    <w:rsid w:val="008826E2"/>
    <w:rsid w:val="00882D83"/>
    <w:rsid w:val="008853DB"/>
    <w:rsid w:val="008857BA"/>
    <w:rsid w:val="008868E9"/>
    <w:rsid w:val="00887E86"/>
    <w:rsid w:val="008902B8"/>
    <w:rsid w:val="008905C7"/>
    <w:rsid w:val="0089167F"/>
    <w:rsid w:val="00891B9C"/>
    <w:rsid w:val="008926B3"/>
    <w:rsid w:val="00892B21"/>
    <w:rsid w:val="00894437"/>
    <w:rsid w:val="00894DCB"/>
    <w:rsid w:val="00895CC5"/>
    <w:rsid w:val="008969FE"/>
    <w:rsid w:val="00896E27"/>
    <w:rsid w:val="008A02C1"/>
    <w:rsid w:val="008A13E3"/>
    <w:rsid w:val="008A36B4"/>
    <w:rsid w:val="008A44AB"/>
    <w:rsid w:val="008A4B61"/>
    <w:rsid w:val="008A6EA3"/>
    <w:rsid w:val="008A6F37"/>
    <w:rsid w:val="008A7EA5"/>
    <w:rsid w:val="008B007D"/>
    <w:rsid w:val="008B2188"/>
    <w:rsid w:val="008B53FE"/>
    <w:rsid w:val="008B5603"/>
    <w:rsid w:val="008B57B9"/>
    <w:rsid w:val="008C02F8"/>
    <w:rsid w:val="008C347B"/>
    <w:rsid w:val="008C49D1"/>
    <w:rsid w:val="008C58AF"/>
    <w:rsid w:val="008C5B5D"/>
    <w:rsid w:val="008D0E58"/>
    <w:rsid w:val="008D15F2"/>
    <w:rsid w:val="008D2DF7"/>
    <w:rsid w:val="008D3041"/>
    <w:rsid w:val="008D3BC7"/>
    <w:rsid w:val="008D6772"/>
    <w:rsid w:val="008D6E64"/>
    <w:rsid w:val="008D7521"/>
    <w:rsid w:val="008E1F4E"/>
    <w:rsid w:val="008E32DC"/>
    <w:rsid w:val="008E37EF"/>
    <w:rsid w:val="008E5304"/>
    <w:rsid w:val="008E5708"/>
    <w:rsid w:val="008E7711"/>
    <w:rsid w:val="008E7CE0"/>
    <w:rsid w:val="008F0822"/>
    <w:rsid w:val="008F0877"/>
    <w:rsid w:val="008F1826"/>
    <w:rsid w:val="008F1F8F"/>
    <w:rsid w:val="008F1FF5"/>
    <w:rsid w:val="008F3009"/>
    <w:rsid w:val="008F32C9"/>
    <w:rsid w:val="008F35B9"/>
    <w:rsid w:val="008F5D45"/>
    <w:rsid w:val="008F6DD8"/>
    <w:rsid w:val="00900CAC"/>
    <w:rsid w:val="009010C0"/>
    <w:rsid w:val="00901A5C"/>
    <w:rsid w:val="00903996"/>
    <w:rsid w:val="00903F3A"/>
    <w:rsid w:val="00903FD1"/>
    <w:rsid w:val="00904B44"/>
    <w:rsid w:val="009078D1"/>
    <w:rsid w:val="009115A8"/>
    <w:rsid w:val="00914F09"/>
    <w:rsid w:val="0091531A"/>
    <w:rsid w:val="00916B1E"/>
    <w:rsid w:val="00917C66"/>
    <w:rsid w:val="0092097D"/>
    <w:rsid w:val="00921C61"/>
    <w:rsid w:val="00923FD5"/>
    <w:rsid w:val="009246EF"/>
    <w:rsid w:val="009246FE"/>
    <w:rsid w:val="0092492F"/>
    <w:rsid w:val="00924B86"/>
    <w:rsid w:val="00924E9F"/>
    <w:rsid w:val="009258DB"/>
    <w:rsid w:val="00925CE4"/>
    <w:rsid w:val="00926B63"/>
    <w:rsid w:val="00926BD3"/>
    <w:rsid w:val="00926EB5"/>
    <w:rsid w:val="00931CF6"/>
    <w:rsid w:val="0093286C"/>
    <w:rsid w:val="00932CC2"/>
    <w:rsid w:val="00933717"/>
    <w:rsid w:val="00933C23"/>
    <w:rsid w:val="0093498C"/>
    <w:rsid w:val="00936630"/>
    <w:rsid w:val="00937B38"/>
    <w:rsid w:val="00940B8B"/>
    <w:rsid w:val="009427A8"/>
    <w:rsid w:val="00944921"/>
    <w:rsid w:val="00945F4B"/>
    <w:rsid w:val="00946373"/>
    <w:rsid w:val="00947136"/>
    <w:rsid w:val="00947550"/>
    <w:rsid w:val="00947770"/>
    <w:rsid w:val="00950049"/>
    <w:rsid w:val="00952AEA"/>
    <w:rsid w:val="009535DF"/>
    <w:rsid w:val="00953C39"/>
    <w:rsid w:val="00953FD6"/>
    <w:rsid w:val="00954504"/>
    <w:rsid w:val="00954644"/>
    <w:rsid w:val="00955D3B"/>
    <w:rsid w:val="00955E85"/>
    <w:rsid w:val="00956191"/>
    <w:rsid w:val="00962146"/>
    <w:rsid w:val="009625F3"/>
    <w:rsid w:val="009633D4"/>
    <w:rsid w:val="0097009F"/>
    <w:rsid w:val="00971ED4"/>
    <w:rsid w:val="00971F75"/>
    <w:rsid w:val="00972754"/>
    <w:rsid w:val="00973260"/>
    <w:rsid w:val="00973502"/>
    <w:rsid w:val="009768C7"/>
    <w:rsid w:val="0098076F"/>
    <w:rsid w:val="00982F6A"/>
    <w:rsid w:val="00983C7C"/>
    <w:rsid w:val="00984B3D"/>
    <w:rsid w:val="009862CD"/>
    <w:rsid w:val="00986FBB"/>
    <w:rsid w:val="00987DC7"/>
    <w:rsid w:val="00987DD2"/>
    <w:rsid w:val="00991577"/>
    <w:rsid w:val="00993E5C"/>
    <w:rsid w:val="009A34C0"/>
    <w:rsid w:val="009A35BD"/>
    <w:rsid w:val="009A35FA"/>
    <w:rsid w:val="009A457F"/>
    <w:rsid w:val="009A4A2D"/>
    <w:rsid w:val="009B0195"/>
    <w:rsid w:val="009B09C2"/>
    <w:rsid w:val="009B16A0"/>
    <w:rsid w:val="009B1C88"/>
    <w:rsid w:val="009B2777"/>
    <w:rsid w:val="009B2A95"/>
    <w:rsid w:val="009B2AFC"/>
    <w:rsid w:val="009B2BE9"/>
    <w:rsid w:val="009B2F87"/>
    <w:rsid w:val="009B3D60"/>
    <w:rsid w:val="009B4A0E"/>
    <w:rsid w:val="009B4B75"/>
    <w:rsid w:val="009B4F34"/>
    <w:rsid w:val="009B5C08"/>
    <w:rsid w:val="009B67B5"/>
    <w:rsid w:val="009B7CEF"/>
    <w:rsid w:val="009C05C1"/>
    <w:rsid w:val="009C0657"/>
    <w:rsid w:val="009C0FF8"/>
    <w:rsid w:val="009C124E"/>
    <w:rsid w:val="009C22F3"/>
    <w:rsid w:val="009C30F9"/>
    <w:rsid w:val="009C33F9"/>
    <w:rsid w:val="009C5108"/>
    <w:rsid w:val="009C6F25"/>
    <w:rsid w:val="009C7A5C"/>
    <w:rsid w:val="009C7B3C"/>
    <w:rsid w:val="009D09DA"/>
    <w:rsid w:val="009D1517"/>
    <w:rsid w:val="009D1C09"/>
    <w:rsid w:val="009D265B"/>
    <w:rsid w:val="009D308C"/>
    <w:rsid w:val="009D35F8"/>
    <w:rsid w:val="009D6236"/>
    <w:rsid w:val="009D6E04"/>
    <w:rsid w:val="009D7405"/>
    <w:rsid w:val="009D7622"/>
    <w:rsid w:val="009D79C9"/>
    <w:rsid w:val="009D7D06"/>
    <w:rsid w:val="009E0A33"/>
    <w:rsid w:val="009E1F68"/>
    <w:rsid w:val="009E3758"/>
    <w:rsid w:val="009E490D"/>
    <w:rsid w:val="009E6174"/>
    <w:rsid w:val="009E680C"/>
    <w:rsid w:val="009E6E7C"/>
    <w:rsid w:val="009F0761"/>
    <w:rsid w:val="009F0EC6"/>
    <w:rsid w:val="009F1177"/>
    <w:rsid w:val="009F2642"/>
    <w:rsid w:val="009F3291"/>
    <w:rsid w:val="009F4032"/>
    <w:rsid w:val="009F4599"/>
    <w:rsid w:val="009F47CB"/>
    <w:rsid w:val="009F5B8E"/>
    <w:rsid w:val="009F66A7"/>
    <w:rsid w:val="00A013AB"/>
    <w:rsid w:val="00A01A43"/>
    <w:rsid w:val="00A035CD"/>
    <w:rsid w:val="00A03AC5"/>
    <w:rsid w:val="00A042AF"/>
    <w:rsid w:val="00A06E07"/>
    <w:rsid w:val="00A07031"/>
    <w:rsid w:val="00A07423"/>
    <w:rsid w:val="00A121DC"/>
    <w:rsid w:val="00A134BA"/>
    <w:rsid w:val="00A1410F"/>
    <w:rsid w:val="00A17223"/>
    <w:rsid w:val="00A175AF"/>
    <w:rsid w:val="00A20645"/>
    <w:rsid w:val="00A22623"/>
    <w:rsid w:val="00A22775"/>
    <w:rsid w:val="00A22D26"/>
    <w:rsid w:val="00A2352E"/>
    <w:rsid w:val="00A2491E"/>
    <w:rsid w:val="00A25470"/>
    <w:rsid w:val="00A25F55"/>
    <w:rsid w:val="00A261A9"/>
    <w:rsid w:val="00A26464"/>
    <w:rsid w:val="00A30024"/>
    <w:rsid w:val="00A30DBD"/>
    <w:rsid w:val="00A32EDE"/>
    <w:rsid w:val="00A33843"/>
    <w:rsid w:val="00A35264"/>
    <w:rsid w:val="00A40B74"/>
    <w:rsid w:val="00A40D21"/>
    <w:rsid w:val="00A40FD5"/>
    <w:rsid w:val="00A415A5"/>
    <w:rsid w:val="00A41DC0"/>
    <w:rsid w:val="00A424CB"/>
    <w:rsid w:val="00A42C2C"/>
    <w:rsid w:val="00A4387E"/>
    <w:rsid w:val="00A45260"/>
    <w:rsid w:val="00A459E7"/>
    <w:rsid w:val="00A47FB3"/>
    <w:rsid w:val="00A50703"/>
    <w:rsid w:val="00A50800"/>
    <w:rsid w:val="00A50815"/>
    <w:rsid w:val="00A50992"/>
    <w:rsid w:val="00A515CF"/>
    <w:rsid w:val="00A527C2"/>
    <w:rsid w:val="00A542B4"/>
    <w:rsid w:val="00A54D8E"/>
    <w:rsid w:val="00A55612"/>
    <w:rsid w:val="00A55AA2"/>
    <w:rsid w:val="00A60550"/>
    <w:rsid w:val="00A6164B"/>
    <w:rsid w:val="00A634B8"/>
    <w:rsid w:val="00A63E4C"/>
    <w:rsid w:val="00A64263"/>
    <w:rsid w:val="00A64E21"/>
    <w:rsid w:val="00A658AD"/>
    <w:rsid w:val="00A671A5"/>
    <w:rsid w:val="00A674AD"/>
    <w:rsid w:val="00A67C6C"/>
    <w:rsid w:val="00A7097B"/>
    <w:rsid w:val="00A7121C"/>
    <w:rsid w:val="00A71632"/>
    <w:rsid w:val="00A719E9"/>
    <w:rsid w:val="00A72123"/>
    <w:rsid w:val="00A737AB"/>
    <w:rsid w:val="00A73C80"/>
    <w:rsid w:val="00A75400"/>
    <w:rsid w:val="00A76C39"/>
    <w:rsid w:val="00A77217"/>
    <w:rsid w:val="00A773CF"/>
    <w:rsid w:val="00A77882"/>
    <w:rsid w:val="00A82793"/>
    <w:rsid w:val="00A832FB"/>
    <w:rsid w:val="00A832FE"/>
    <w:rsid w:val="00A83760"/>
    <w:rsid w:val="00A83A3B"/>
    <w:rsid w:val="00A84EE3"/>
    <w:rsid w:val="00A8755F"/>
    <w:rsid w:val="00A87C54"/>
    <w:rsid w:val="00A917AE"/>
    <w:rsid w:val="00A91D19"/>
    <w:rsid w:val="00A93C08"/>
    <w:rsid w:val="00A94B11"/>
    <w:rsid w:val="00A9575F"/>
    <w:rsid w:val="00AA162B"/>
    <w:rsid w:val="00AA1DA9"/>
    <w:rsid w:val="00AA270F"/>
    <w:rsid w:val="00AA2718"/>
    <w:rsid w:val="00AA2823"/>
    <w:rsid w:val="00AA2A6C"/>
    <w:rsid w:val="00AA5C05"/>
    <w:rsid w:val="00AA62C3"/>
    <w:rsid w:val="00AA6455"/>
    <w:rsid w:val="00AA6907"/>
    <w:rsid w:val="00AA6C68"/>
    <w:rsid w:val="00AA71D9"/>
    <w:rsid w:val="00AA747E"/>
    <w:rsid w:val="00AB17B5"/>
    <w:rsid w:val="00AB2048"/>
    <w:rsid w:val="00AB2DDB"/>
    <w:rsid w:val="00AB5EE3"/>
    <w:rsid w:val="00AB7372"/>
    <w:rsid w:val="00AB79A9"/>
    <w:rsid w:val="00AB7AEF"/>
    <w:rsid w:val="00AC0000"/>
    <w:rsid w:val="00AC20CA"/>
    <w:rsid w:val="00AC24E0"/>
    <w:rsid w:val="00AC26C3"/>
    <w:rsid w:val="00AC3AE7"/>
    <w:rsid w:val="00AC5400"/>
    <w:rsid w:val="00AC5AB3"/>
    <w:rsid w:val="00AC5ABE"/>
    <w:rsid w:val="00AC69B4"/>
    <w:rsid w:val="00AC6FA6"/>
    <w:rsid w:val="00AC7C6E"/>
    <w:rsid w:val="00AD04A1"/>
    <w:rsid w:val="00AD0B26"/>
    <w:rsid w:val="00AD202A"/>
    <w:rsid w:val="00AD29E6"/>
    <w:rsid w:val="00AD3A16"/>
    <w:rsid w:val="00AD3AA4"/>
    <w:rsid w:val="00AD48F0"/>
    <w:rsid w:val="00AD5472"/>
    <w:rsid w:val="00AE2FEA"/>
    <w:rsid w:val="00AE363A"/>
    <w:rsid w:val="00AE3991"/>
    <w:rsid w:val="00AE452F"/>
    <w:rsid w:val="00AE4F32"/>
    <w:rsid w:val="00AE4FBA"/>
    <w:rsid w:val="00AE586D"/>
    <w:rsid w:val="00AE58C9"/>
    <w:rsid w:val="00AE5C22"/>
    <w:rsid w:val="00AE6220"/>
    <w:rsid w:val="00AE6A52"/>
    <w:rsid w:val="00AE700E"/>
    <w:rsid w:val="00AE730A"/>
    <w:rsid w:val="00AF256A"/>
    <w:rsid w:val="00AF3998"/>
    <w:rsid w:val="00AF4F8F"/>
    <w:rsid w:val="00AF5DF1"/>
    <w:rsid w:val="00AF6510"/>
    <w:rsid w:val="00B02D9A"/>
    <w:rsid w:val="00B0458B"/>
    <w:rsid w:val="00B049CF"/>
    <w:rsid w:val="00B06117"/>
    <w:rsid w:val="00B0675C"/>
    <w:rsid w:val="00B06E0F"/>
    <w:rsid w:val="00B07313"/>
    <w:rsid w:val="00B10403"/>
    <w:rsid w:val="00B12325"/>
    <w:rsid w:val="00B154F5"/>
    <w:rsid w:val="00B1567F"/>
    <w:rsid w:val="00B173D0"/>
    <w:rsid w:val="00B17F33"/>
    <w:rsid w:val="00B20682"/>
    <w:rsid w:val="00B20803"/>
    <w:rsid w:val="00B20AA6"/>
    <w:rsid w:val="00B21800"/>
    <w:rsid w:val="00B21A2E"/>
    <w:rsid w:val="00B227E9"/>
    <w:rsid w:val="00B22B65"/>
    <w:rsid w:val="00B2329B"/>
    <w:rsid w:val="00B23FFB"/>
    <w:rsid w:val="00B24332"/>
    <w:rsid w:val="00B24796"/>
    <w:rsid w:val="00B26ABB"/>
    <w:rsid w:val="00B27B85"/>
    <w:rsid w:val="00B30B72"/>
    <w:rsid w:val="00B31D1D"/>
    <w:rsid w:val="00B3254C"/>
    <w:rsid w:val="00B32717"/>
    <w:rsid w:val="00B336F4"/>
    <w:rsid w:val="00B33C2E"/>
    <w:rsid w:val="00B3734B"/>
    <w:rsid w:val="00B37C9A"/>
    <w:rsid w:val="00B37E50"/>
    <w:rsid w:val="00B40277"/>
    <w:rsid w:val="00B4157A"/>
    <w:rsid w:val="00B43CAD"/>
    <w:rsid w:val="00B44949"/>
    <w:rsid w:val="00B45502"/>
    <w:rsid w:val="00B45F73"/>
    <w:rsid w:val="00B5050B"/>
    <w:rsid w:val="00B50FEB"/>
    <w:rsid w:val="00B5134B"/>
    <w:rsid w:val="00B52153"/>
    <w:rsid w:val="00B53073"/>
    <w:rsid w:val="00B53296"/>
    <w:rsid w:val="00B53353"/>
    <w:rsid w:val="00B55F46"/>
    <w:rsid w:val="00B574E0"/>
    <w:rsid w:val="00B57912"/>
    <w:rsid w:val="00B57BF0"/>
    <w:rsid w:val="00B6073F"/>
    <w:rsid w:val="00B61DA2"/>
    <w:rsid w:val="00B61E4E"/>
    <w:rsid w:val="00B6211E"/>
    <w:rsid w:val="00B62C3D"/>
    <w:rsid w:val="00B63051"/>
    <w:rsid w:val="00B64002"/>
    <w:rsid w:val="00B6757E"/>
    <w:rsid w:val="00B67C69"/>
    <w:rsid w:val="00B7238C"/>
    <w:rsid w:val="00B73280"/>
    <w:rsid w:val="00B736FB"/>
    <w:rsid w:val="00B755C2"/>
    <w:rsid w:val="00B769AF"/>
    <w:rsid w:val="00B77233"/>
    <w:rsid w:val="00B80182"/>
    <w:rsid w:val="00B80A4D"/>
    <w:rsid w:val="00B80A9A"/>
    <w:rsid w:val="00B81678"/>
    <w:rsid w:val="00B82321"/>
    <w:rsid w:val="00B82B7F"/>
    <w:rsid w:val="00B82BB5"/>
    <w:rsid w:val="00B85B4E"/>
    <w:rsid w:val="00B86248"/>
    <w:rsid w:val="00B86D57"/>
    <w:rsid w:val="00B86FE7"/>
    <w:rsid w:val="00B87211"/>
    <w:rsid w:val="00B879CC"/>
    <w:rsid w:val="00B9122A"/>
    <w:rsid w:val="00B923AB"/>
    <w:rsid w:val="00B9306F"/>
    <w:rsid w:val="00B9418C"/>
    <w:rsid w:val="00B94B46"/>
    <w:rsid w:val="00B94BD5"/>
    <w:rsid w:val="00B9597C"/>
    <w:rsid w:val="00B95E95"/>
    <w:rsid w:val="00B961B5"/>
    <w:rsid w:val="00B969C7"/>
    <w:rsid w:val="00B97057"/>
    <w:rsid w:val="00BA0606"/>
    <w:rsid w:val="00BA0906"/>
    <w:rsid w:val="00BA12A1"/>
    <w:rsid w:val="00BA1F67"/>
    <w:rsid w:val="00BA2285"/>
    <w:rsid w:val="00BA23D6"/>
    <w:rsid w:val="00BA3559"/>
    <w:rsid w:val="00BA6F41"/>
    <w:rsid w:val="00BA7D0F"/>
    <w:rsid w:val="00BA7DDA"/>
    <w:rsid w:val="00BB1882"/>
    <w:rsid w:val="00BB224F"/>
    <w:rsid w:val="00BB2457"/>
    <w:rsid w:val="00BB2526"/>
    <w:rsid w:val="00BB3060"/>
    <w:rsid w:val="00BB3D46"/>
    <w:rsid w:val="00BB465E"/>
    <w:rsid w:val="00BB47C4"/>
    <w:rsid w:val="00BB4B03"/>
    <w:rsid w:val="00BB72A5"/>
    <w:rsid w:val="00BB7CA7"/>
    <w:rsid w:val="00BC1230"/>
    <w:rsid w:val="00BC1458"/>
    <w:rsid w:val="00BC1572"/>
    <w:rsid w:val="00BC16B6"/>
    <w:rsid w:val="00BC3076"/>
    <w:rsid w:val="00BC3D31"/>
    <w:rsid w:val="00BC43CB"/>
    <w:rsid w:val="00BC506F"/>
    <w:rsid w:val="00BC5A5D"/>
    <w:rsid w:val="00BC7193"/>
    <w:rsid w:val="00BD09DA"/>
    <w:rsid w:val="00BD1219"/>
    <w:rsid w:val="00BD1FB4"/>
    <w:rsid w:val="00BD4CA2"/>
    <w:rsid w:val="00BE09E7"/>
    <w:rsid w:val="00BE109E"/>
    <w:rsid w:val="00BE169A"/>
    <w:rsid w:val="00BE23C9"/>
    <w:rsid w:val="00BE23EA"/>
    <w:rsid w:val="00BE2A94"/>
    <w:rsid w:val="00BE42D5"/>
    <w:rsid w:val="00BE64BB"/>
    <w:rsid w:val="00BE7C3C"/>
    <w:rsid w:val="00BF0A69"/>
    <w:rsid w:val="00BF1908"/>
    <w:rsid w:val="00BF1DA1"/>
    <w:rsid w:val="00BF200B"/>
    <w:rsid w:val="00BF3A68"/>
    <w:rsid w:val="00BF539C"/>
    <w:rsid w:val="00BF5789"/>
    <w:rsid w:val="00C002E3"/>
    <w:rsid w:val="00C00461"/>
    <w:rsid w:val="00C01D06"/>
    <w:rsid w:val="00C03137"/>
    <w:rsid w:val="00C03C33"/>
    <w:rsid w:val="00C04F86"/>
    <w:rsid w:val="00C05343"/>
    <w:rsid w:val="00C1011F"/>
    <w:rsid w:val="00C11413"/>
    <w:rsid w:val="00C1226D"/>
    <w:rsid w:val="00C12652"/>
    <w:rsid w:val="00C134DD"/>
    <w:rsid w:val="00C1428F"/>
    <w:rsid w:val="00C172FA"/>
    <w:rsid w:val="00C20C12"/>
    <w:rsid w:val="00C22104"/>
    <w:rsid w:val="00C228A3"/>
    <w:rsid w:val="00C22CF8"/>
    <w:rsid w:val="00C22E1C"/>
    <w:rsid w:val="00C25613"/>
    <w:rsid w:val="00C256F3"/>
    <w:rsid w:val="00C30222"/>
    <w:rsid w:val="00C30F51"/>
    <w:rsid w:val="00C315F6"/>
    <w:rsid w:val="00C32E89"/>
    <w:rsid w:val="00C330C1"/>
    <w:rsid w:val="00C3352F"/>
    <w:rsid w:val="00C3378F"/>
    <w:rsid w:val="00C33878"/>
    <w:rsid w:val="00C338E6"/>
    <w:rsid w:val="00C34F86"/>
    <w:rsid w:val="00C3514C"/>
    <w:rsid w:val="00C35601"/>
    <w:rsid w:val="00C35BC9"/>
    <w:rsid w:val="00C3612A"/>
    <w:rsid w:val="00C3702D"/>
    <w:rsid w:val="00C37FBE"/>
    <w:rsid w:val="00C40745"/>
    <w:rsid w:val="00C41C74"/>
    <w:rsid w:val="00C41F31"/>
    <w:rsid w:val="00C42633"/>
    <w:rsid w:val="00C429CE"/>
    <w:rsid w:val="00C42F4A"/>
    <w:rsid w:val="00C43F97"/>
    <w:rsid w:val="00C43FB1"/>
    <w:rsid w:val="00C443D4"/>
    <w:rsid w:val="00C44D73"/>
    <w:rsid w:val="00C4573D"/>
    <w:rsid w:val="00C4623D"/>
    <w:rsid w:val="00C46F18"/>
    <w:rsid w:val="00C53166"/>
    <w:rsid w:val="00C5396B"/>
    <w:rsid w:val="00C54F31"/>
    <w:rsid w:val="00C55C2C"/>
    <w:rsid w:val="00C5694D"/>
    <w:rsid w:val="00C571EC"/>
    <w:rsid w:val="00C6049E"/>
    <w:rsid w:val="00C61315"/>
    <w:rsid w:val="00C626BD"/>
    <w:rsid w:val="00C65769"/>
    <w:rsid w:val="00C65D74"/>
    <w:rsid w:val="00C710B6"/>
    <w:rsid w:val="00C72363"/>
    <w:rsid w:val="00C73A84"/>
    <w:rsid w:val="00C74808"/>
    <w:rsid w:val="00C74B80"/>
    <w:rsid w:val="00C7568D"/>
    <w:rsid w:val="00C75743"/>
    <w:rsid w:val="00C77A87"/>
    <w:rsid w:val="00C8021A"/>
    <w:rsid w:val="00C80554"/>
    <w:rsid w:val="00C814B6"/>
    <w:rsid w:val="00C81A4C"/>
    <w:rsid w:val="00C82775"/>
    <w:rsid w:val="00C82E8B"/>
    <w:rsid w:val="00C842F7"/>
    <w:rsid w:val="00C84EB6"/>
    <w:rsid w:val="00C85097"/>
    <w:rsid w:val="00C8575D"/>
    <w:rsid w:val="00C86BC8"/>
    <w:rsid w:val="00C87AD5"/>
    <w:rsid w:val="00C9290D"/>
    <w:rsid w:val="00C92C21"/>
    <w:rsid w:val="00C933DB"/>
    <w:rsid w:val="00C93578"/>
    <w:rsid w:val="00C935FA"/>
    <w:rsid w:val="00C943A4"/>
    <w:rsid w:val="00C944BA"/>
    <w:rsid w:val="00C95C88"/>
    <w:rsid w:val="00C96BF9"/>
    <w:rsid w:val="00C97473"/>
    <w:rsid w:val="00CA0676"/>
    <w:rsid w:val="00CA0A9B"/>
    <w:rsid w:val="00CA1794"/>
    <w:rsid w:val="00CA2397"/>
    <w:rsid w:val="00CA2F2D"/>
    <w:rsid w:val="00CA3233"/>
    <w:rsid w:val="00CA3459"/>
    <w:rsid w:val="00CA3706"/>
    <w:rsid w:val="00CA43BF"/>
    <w:rsid w:val="00CA6036"/>
    <w:rsid w:val="00CA7464"/>
    <w:rsid w:val="00CA75D9"/>
    <w:rsid w:val="00CA7901"/>
    <w:rsid w:val="00CB2150"/>
    <w:rsid w:val="00CB2D07"/>
    <w:rsid w:val="00CB47FD"/>
    <w:rsid w:val="00CB5D9D"/>
    <w:rsid w:val="00CB7456"/>
    <w:rsid w:val="00CC11E4"/>
    <w:rsid w:val="00CC1B6A"/>
    <w:rsid w:val="00CC25F9"/>
    <w:rsid w:val="00CC276E"/>
    <w:rsid w:val="00CC3F10"/>
    <w:rsid w:val="00CC50EF"/>
    <w:rsid w:val="00CC55B3"/>
    <w:rsid w:val="00CC72A3"/>
    <w:rsid w:val="00CC7465"/>
    <w:rsid w:val="00CC7B8B"/>
    <w:rsid w:val="00CD0505"/>
    <w:rsid w:val="00CD1F5D"/>
    <w:rsid w:val="00CD1F9A"/>
    <w:rsid w:val="00CD380D"/>
    <w:rsid w:val="00CD4907"/>
    <w:rsid w:val="00CD4C29"/>
    <w:rsid w:val="00CD4D7C"/>
    <w:rsid w:val="00CD55AC"/>
    <w:rsid w:val="00CD5933"/>
    <w:rsid w:val="00CE20BA"/>
    <w:rsid w:val="00CE42B4"/>
    <w:rsid w:val="00CE4CF2"/>
    <w:rsid w:val="00CE63F1"/>
    <w:rsid w:val="00CE770D"/>
    <w:rsid w:val="00CE7AE7"/>
    <w:rsid w:val="00CF1099"/>
    <w:rsid w:val="00CF1CE8"/>
    <w:rsid w:val="00CF6124"/>
    <w:rsid w:val="00CF6BB5"/>
    <w:rsid w:val="00CF6C00"/>
    <w:rsid w:val="00CF7883"/>
    <w:rsid w:val="00D00E78"/>
    <w:rsid w:val="00D02C40"/>
    <w:rsid w:val="00D02E92"/>
    <w:rsid w:val="00D0309F"/>
    <w:rsid w:val="00D04D70"/>
    <w:rsid w:val="00D05C47"/>
    <w:rsid w:val="00D065B6"/>
    <w:rsid w:val="00D0718D"/>
    <w:rsid w:val="00D11331"/>
    <w:rsid w:val="00D129E9"/>
    <w:rsid w:val="00D13673"/>
    <w:rsid w:val="00D14459"/>
    <w:rsid w:val="00D1447F"/>
    <w:rsid w:val="00D14AF2"/>
    <w:rsid w:val="00D154BD"/>
    <w:rsid w:val="00D1600A"/>
    <w:rsid w:val="00D16137"/>
    <w:rsid w:val="00D17707"/>
    <w:rsid w:val="00D2100C"/>
    <w:rsid w:val="00D2188C"/>
    <w:rsid w:val="00D219E4"/>
    <w:rsid w:val="00D22D68"/>
    <w:rsid w:val="00D22F72"/>
    <w:rsid w:val="00D258BF"/>
    <w:rsid w:val="00D3019A"/>
    <w:rsid w:val="00D3042C"/>
    <w:rsid w:val="00D30629"/>
    <w:rsid w:val="00D30B1A"/>
    <w:rsid w:val="00D324FD"/>
    <w:rsid w:val="00D333C6"/>
    <w:rsid w:val="00D34711"/>
    <w:rsid w:val="00D36B5A"/>
    <w:rsid w:val="00D3749B"/>
    <w:rsid w:val="00D37B7D"/>
    <w:rsid w:val="00D37E97"/>
    <w:rsid w:val="00D37FA9"/>
    <w:rsid w:val="00D44002"/>
    <w:rsid w:val="00D446CA"/>
    <w:rsid w:val="00D44C38"/>
    <w:rsid w:val="00D44D3B"/>
    <w:rsid w:val="00D450F3"/>
    <w:rsid w:val="00D45546"/>
    <w:rsid w:val="00D52134"/>
    <w:rsid w:val="00D52582"/>
    <w:rsid w:val="00D5488E"/>
    <w:rsid w:val="00D54B5C"/>
    <w:rsid w:val="00D54F1E"/>
    <w:rsid w:val="00D565F6"/>
    <w:rsid w:val="00D566E1"/>
    <w:rsid w:val="00D5683B"/>
    <w:rsid w:val="00D568BD"/>
    <w:rsid w:val="00D56F1B"/>
    <w:rsid w:val="00D57928"/>
    <w:rsid w:val="00D57DFB"/>
    <w:rsid w:val="00D6024A"/>
    <w:rsid w:val="00D603B7"/>
    <w:rsid w:val="00D61593"/>
    <w:rsid w:val="00D61AE4"/>
    <w:rsid w:val="00D628E7"/>
    <w:rsid w:val="00D638CA"/>
    <w:rsid w:val="00D6450B"/>
    <w:rsid w:val="00D646BC"/>
    <w:rsid w:val="00D65028"/>
    <w:rsid w:val="00D65727"/>
    <w:rsid w:val="00D66523"/>
    <w:rsid w:val="00D66B12"/>
    <w:rsid w:val="00D71E32"/>
    <w:rsid w:val="00D72409"/>
    <w:rsid w:val="00D736A0"/>
    <w:rsid w:val="00D736B9"/>
    <w:rsid w:val="00D74C78"/>
    <w:rsid w:val="00D7505C"/>
    <w:rsid w:val="00D77048"/>
    <w:rsid w:val="00D80185"/>
    <w:rsid w:val="00D8055A"/>
    <w:rsid w:val="00D806FE"/>
    <w:rsid w:val="00D81B2A"/>
    <w:rsid w:val="00D82C5A"/>
    <w:rsid w:val="00D8360F"/>
    <w:rsid w:val="00D836F4"/>
    <w:rsid w:val="00D837AB"/>
    <w:rsid w:val="00D83A45"/>
    <w:rsid w:val="00D84BFC"/>
    <w:rsid w:val="00D85166"/>
    <w:rsid w:val="00D85790"/>
    <w:rsid w:val="00D85791"/>
    <w:rsid w:val="00D85DD8"/>
    <w:rsid w:val="00D8689F"/>
    <w:rsid w:val="00D86F11"/>
    <w:rsid w:val="00D86FDC"/>
    <w:rsid w:val="00D870BC"/>
    <w:rsid w:val="00D91AD7"/>
    <w:rsid w:val="00D93546"/>
    <w:rsid w:val="00D9395F"/>
    <w:rsid w:val="00D93C6B"/>
    <w:rsid w:val="00D93E5B"/>
    <w:rsid w:val="00D95FD5"/>
    <w:rsid w:val="00D96AB3"/>
    <w:rsid w:val="00D96B56"/>
    <w:rsid w:val="00D97A41"/>
    <w:rsid w:val="00DA092D"/>
    <w:rsid w:val="00DA2E35"/>
    <w:rsid w:val="00DA36CB"/>
    <w:rsid w:val="00DA4BF9"/>
    <w:rsid w:val="00DA626B"/>
    <w:rsid w:val="00DA69D3"/>
    <w:rsid w:val="00DA70FA"/>
    <w:rsid w:val="00DB0409"/>
    <w:rsid w:val="00DB0EFE"/>
    <w:rsid w:val="00DB2444"/>
    <w:rsid w:val="00DB28FC"/>
    <w:rsid w:val="00DB30E6"/>
    <w:rsid w:val="00DB62A2"/>
    <w:rsid w:val="00DB6805"/>
    <w:rsid w:val="00DB7C3D"/>
    <w:rsid w:val="00DC0141"/>
    <w:rsid w:val="00DC0E7A"/>
    <w:rsid w:val="00DC0FA7"/>
    <w:rsid w:val="00DC0FC0"/>
    <w:rsid w:val="00DC10A1"/>
    <w:rsid w:val="00DC1652"/>
    <w:rsid w:val="00DC2B21"/>
    <w:rsid w:val="00DC3D10"/>
    <w:rsid w:val="00DC4226"/>
    <w:rsid w:val="00DC46F8"/>
    <w:rsid w:val="00DC50FB"/>
    <w:rsid w:val="00DC6A6B"/>
    <w:rsid w:val="00DC7D51"/>
    <w:rsid w:val="00DC7E99"/>
    <w:rsid w:val="00DD0728"/>
    <w:rsid w:val="00DD12F2"/>
    <w:rsid w:val="00DD2493"/>
    <w:rsid w:val="00DD2C81"/>
    <w:rsid w:val="00DD32AB"/>
    <w:rsid w:val="00DD39EC"/>
    <w:rsid w:val="00DD3AE8"/>
    <w:rsid w:val="00DD4379"/>
    <w:rsid w:val="00DD485C"/>
    <w:rsid w:val="00DD4DD0"/>
    <w:rsid w:val="00DD543F"/>
    <w:rsid w:val="00DD57C4"/>
    <w:rsid w:val="00DD68BB"/>
    <w:rsid w:val="00DD7362"/>
    <w:rsid w:val="00DD78BD"/>
    <w:rsid w:val="00DD7FB9"/>
    <w:rsid w:val="00DE0DD5"/>
    <w:rsid w:val="00DE1324"/>
    <w:rsid w:val="00DE1933"/>
    <w:rsid w:val="00DE1F41"/>
    <w:rsid w:val="00DE24E6"/>
    <w:rsid w:val="00DE3914"/>
    <w:rsid w:val="00DE3B95"/>
    <w:rsid w:val="00DE4EEC"/>
    <w:rsid w:val="00DE6104"/>
    <w:rsid w:val="00DE7C6F"/>
    <w:rsid w:val="00DE7D92"/>
    <w:rsid w:val="00DF0B9B"/>
    <w:rsid w:val="00DF0C5A"/>
    <w:rsid w:val="00DF1E77"/>
    <w:rsid w:val="00DF4C01"/>
    <w:rsid w:val="00DF693C"/>
    <w:rsid w:val="00DF69CD"/>
    <w:rsid w:val="00DF7881"/>
    <w:rsid w:val="00E00A05"/>
    <w:rsid w:val="00E029DC"/>
    <w:rsid w:val="00E0308B"/>
    <w:rsid w:val="00E03E24"/>
    <w:rsid w:val="00E047BD"/>
    <w:rsid w:val="00E0592E"/>
    <w:rsid w:val="00E107C2"/>
    <w:rsid w:val="00E120F5"/>
    <w:rsid w:val="00E129DE"/>
    <w:rsid w:val="00E14394"/>
    <w:rsid w:val="00E14416"/>
    <w:rsid w:val="00E15CFC"/>
    <w:rsid w:val="00E16E46"/>
    <w:rsid w:val="00E17854"/>
    <w:rsid w:val="00E22B43"/>
    <w:rsid w:val="00E25EF0"/>
    <w:rsid w:val="00E2698A"/>
    <w:rsid w:val="00E309DB"/>
    <w:rsid w:val="00E30FEA"/>
    <w:rsid w:val="00E32820"/>
    <w:rsid w:val="00E32FB3"/>
    <w:rsid w:val="00E331D9"/>
    <w:rsid w:val="00E34348"/>
    <w:rsid w:val="00E347DC"/>
    <w:rsid w:val="00E35176"/>
    <w:rsid w:val="00E35347"/>
    <w:rsid w:val="00E35613"/>
    <w:rsid w:val="00E36248"/>
    <w:rsid w:val="00E36656"/>
    <w:rsid w:val="00E36758"/>
    <w:rsid w:val="00E40521"/>
    <w:rsid w:val="00E4064A"/>
    <w:rsid w:val="00E407A6"/>
    <w:rsid w:val="00E42B29"/>
    <w:rsid w:val="00E42BEC"/>
    <w:rsid w:val="00E440CC"/>
    <w:rsid w:val="00E456C2"/>
    <w:rsid w:val="00E4650E"/>
    <w:rsid w:val="00E4740D"/>
    <w:rsid w:val="00E47823"/>
    <w:rsid w:val="00E47CFF"/>
    <w:rsid w:val="00E519F6"/>
    <w:rsid w:val="00E51B20"/>
    <w:rsid w:val="00E52617"/>
    <w:rsid w:val="00E5279F"/>
    <w:rsid w:val="00E54415"/>
    <w:rsid w:val="00E56539"/>
    <w:rsid w:val="00E60D47"/>
    <w:rsid w:val="00E61CD3"/>
    <w:rsid w:val="00E61E7F"/>
    <w:rsid w:val="00E621B5"/>
    <w:rsid w:val="00E62DC2"/>
    <w:rsid w:val="00E63B38"/>
    <w:rsid w:val="00E64BE8"/>
    <w:rsid w:val="00E64CC9"/>
    <w:rsid w:val="00E6539D"/>
    <w:rsid w:val="00E7043B"/>
    <w:rsid w:val="00E70655"/>
    <w:rsid w:val="00E7116F"/>
    <w:rsid w:val="00E71F6E"/>
    <w:rsid w:val="00E72052"/>
    <w:rsid w:val="00E7213D"/>
    <w:rsid w:val="00E72859"/>
    <w:rsid w:val="00E72FBB"/>
    <w:rsid w:val="00E75EF4"/>
    <w:rsid w:val="00E77251"/>
    <w:rsid w:val="00E7751F"/>
    <w:rsid w:val="00E808FA"/>
    <w:rsid w:val="00E81D38"/>
    <w:rsid w:val="00E83BE1"/>
    <w:rsid w:val="00E863C1"/>
    <w:rsid w:val="00E86CD0"/>
    <w:rsid w:val="00E87B7F"/>
    <w:rsid w:val="00E91332"/>
    <w:rsid w:val="00E915D8"/>
    <w:rsid w:val="00E91DD6"/>
    <w:rsid w:val="00E922C9"/>
    <w:rsid w:val="00E92FBB"/>
    <w:rsid w:val="00E93CCC"/>
    <w:rsid w:val="00E93EBF"/>
    <w:rsid w:val="00E95A1C"/>
    <w:rsid w:val="00E96F65"/>
    <w:rsid w:val="00E972A5"/>
    <w:rsid w:val="00E976A8"/>
    <w:rsid w:val="00E97D10"/>
    <w:rsid w:val="00EA01B7"/>
    <w:rsid w:val="00EA0AA1"/>
    <w:rsid w:val="00EA5AF0"/>
    <w:rsid w:val="00EA647D"/>
    <w:rsid w:val="00EA6E1F"/>
    <w:rsid w:val="00EA7840"/>
    <w:rsid w:val="00EA79B5"/>
    <w:rsid w:val="00EA7CE9"/>
    <w:rsid w:val="00EA7DFA"/>
    <w:rsid w:val="00EB3D58"/>
    <w:rsid w:val="00EB5340"/>
    <w:rsid w:val="00EB59A6"/>
    <w:rsid w:val="00EB7476"/>
    <w:rsid w:val="00EB770C"/>
    <w:rsid w:val="00EB7E2F"/>
    <w:rsid w:val="00EC09FF"/>
    <w:rsid w:val="00EC1884"/>
    <w:rsid w:val="00EC1D7D"/>
    <w:rsid w:val="00EC2421"/>
    <w:rsid w:val="00EC3244"/>
    <w:rsid w:val="00EC436D"/>
    <w:rsid w:val="00EC5C6D"/>
    <w:rsid w:val="00EC5CF6"/>
    <w:rsid w:val="00EC5F6A"/>
    <w:rsid w:val="00EC6940"/>
    <w:rsid w:val="00ED18BD"/>
    <w:rsid w:val="00ED1A36"/>
    <w:rsid w:val="00ED2533"/>
    <w:rsid w:val="00ED2BA6"/>
    <w:rsid w:val="00ED4354"/>
    <w:rsid w:val="00ED47A2"/>
    <w:rsid w:val="00ED4B9A"/>
    <w:rsid w:val="00ED5482"/>
    <w:rsid w:val="00ED5CE9"/>
    <w:rsid w:val="00ED704D"/>
    <w:rsid w:val="00ED76E7"/>
    <w:rsid w:val="00EE0367"/>
    <w:rsid w:val="00EE08F2"/>
    <w:rsid w:val="00EE1791"/>
    <w:rsid w:val="00EE1DF8"/>
    <w:rsid w:val="00EE4439"/>
    <w:rsid w:val="00EE5120"/>
    <w:rsid w:val="00EE62C9"/>
    <w:rsid w:val="00EE6821"/>
    <w:rsid w:val="00EE6A43"/>
    <w:rsid w:val="00EE703E"/>
    <w:rsid w:val="00EE79F9"/>
    <w:rsid w:val="00EE7A10"/>
    <w:rsid w:val="00EF0391"/>
    <w:rsid w:val="00EF0AEF"/>
    <w:rsid w:val="00EF3810"/>
    <w:rsid w:val="00EF4662"/>
    <w:rsid w:val="00EF59BC"/>
    <w:rsid w:val="00EF649D"/>
    <w:rsid w:val="00F000F2"/>
    <w:rsid w:val="00F0017C"/>
    <w:rsid w:val="00F00792"/>
    <w:rsid w:val="00F02530"/>
    <w:rsid w:val="00F0388F"/>
    <w:rsid w:val="00F0424A"/>
    <w:rsid w:val="00F04934"/>
    <w:rsid w:val="00F055F7"/>
    <w:rsid w:val="00F05C1E"/>
    <w:rsid w:val="00F063CD"/>
    <w:rsid w:val="00F06731"/>
    <w:rsid w:val="00F06BD3"/>
    <w:rsid w:val="00F06F75"/>
    <w:rsid w:val="00F0744A"/>
    <w:rsid w:val="00F07A47"/>
    <w:rsid w:val="00F10ECC"/>
    <w:rsid w:val="00F11F04"/>
    <w:rsid w:val="00F12C97"/>
    <w:rsid w:val="00F13CD5"/>
    <w:rsid w:val="00F14324"/>
    <w:rsid w:val="00F14899"/>
    <w:rsid w:val="00F150E8"/>
    <w:rsid w:val="00F15658"/>
    <w:rsid w:val="00F1693C"/>
    <w:rsid w:val="00F17E87"/>
    <w:rsid w:val="00F17F41"/>
    <w:rsid w:val="00F20C2B"/>
    <w:rsid w:val="00F21238"/>
    <w:rsid w:val="00F22E2B"/>
    <w:rsid w:val="00F23764"/>
    <w:rsid w:val="00F2404A"/>
    <w:rsid w:val="00F24B46"/>
    <w:rsid w:val="00F24EA3"/>
    <w:rsid w:val="00F25087"/>
    <w:rsid w:val="00F257CD"/>
    <w:rsid w:val="00F25C14"/>
    <w:rsid w:val="00F25DB5"/>
    <w:rsid w:val="00F30EC2"/>
    <w:rsid w:val="00F31252"/>
    <w:rsid w:val="00F31469"/>
    <w:rsid w:val="00F32F89"/>
    <w:rsid w:val="00F3373D"/>
    <w:rsid w:val="00F33E7E"/>
    <w:rsid w:val="00F3426F"/>
    <w:rsid w:val="00F34996"/>
    <w:rsid w:val="00F35A2C"/>
    <w:rsid w:val="00F36073"/>
    <w:rsid w:val="00F36426"/>
    <w:rsid w:val="00F3699C"/>
    <w:rsid w:val="00F36C1A"/>
    <w:rsid w:val="00F36CAA"/>
    <w:rsid w:val="00F36EDB"/>
    <w:rsid w:val="00F37457"/>
    <w:rsid w:val="00F37C02"/>
    <w:rsid w:val="00F37F07"/>
    <w:rsid w:val="00F40BA6"/>
    <w:rsid w:val="00F41063"/>
    <w:rsid w:val="00F41BED"/>
    <w:rsid w:val="00F420B1"/>
    <w:rsid w:val="00F42820"/>
    <w:rsid w:val="00F42F75"/>
    <w:rsid w:val="00F43706"/>
    <w:rsid w:val="00F445C5"/>
    <w:rsid w:val="00F45E46"/>
    <w:rsid w:val="00F463F9"/>
    <w:rsid w:val="00F506A8"/>
    <w:rsid w:val="00F52299"/>
    <w:rsid w:val="00F53800"/>
    <w:rsid w:val="00F54268"/>
    <w:rsid w:val="00F545F5"/>
    <w:rsid w:val="00F549D7"/>
    <w:rsid w:val="00F5735D"/>
    <w:rsid w:val="00F57474"/>
    <w:rsid w:val="00F57646"/>
    <w:rsid w:val="00F57ADF"/>
    <w:rsid w:val="00F57C5F"/>
    <w:rsid w:val="00F6061A"/>
    <w:rsid w:val="00F6189F"/>
    <w:rsid w:val="00F6212C"/>
    <w:rsid w:val="00F63446"/>
    <w:rsid w:val="00F637FC"/>
    <w:rsid w:val="00F64D68"/>
    <w:rsid w:val="00F659C2"/>
    <w:rsid w:val="00F65C49"/>
    <w:rsid w:val="00F67A38"/>
    <w:rsid w:val="00F716DE"/>
    <w:rsid w:val="00F7326F"/>
    <w:rsid w:val="00F73DA2"/>
    <w:rsid w:val="00F73FEE"/>
    <w:rsid w:val="00F745BD"/>
    <w:rsid w:val="00F74C45"/>
    <w:rsid w:val="00F751DC"/>
    <w:rsid w:val="00F7582D"/>
    <w:rsid w:val="00F80243"/>
    <w:rsid w:val="00F8025E"/>
    <w:rsid w:val="00F808B8"/>
    <w:rsid w:val="00F80EE3"/>
    <w:rsid w:val="00F81417"/>
    <w:rsid w:val="00F81974"/>
    <w:rsid w:val="00F83057"/>
    <w:rsid w:val="00F834AF"/>
    <w:rsid w:val="00F862D8"/>
    <w:rsid w:val="00F86FB1"/>
    <w:rsid w:val="00F8701B"/>
    <w:rsid w:val="00F8714D"/>
    <w:rsid w:val="00F87166"/>
    <w:rsid w:val="00F871B7"/>
    <w:rsid w:val="00F8750A"/>
    <w:rsid w:val="00F91A12"/>
    <w:rsid w:val="00F920A9"/>
    <w:rsid w:val="00F92D75"/>
    <w:rsid w:val="00F940A0"/>
    <w:rsid w:val="00F94FDE"/>
    <w:rsid w:val="00F95114"/>
    <w:rsid w:val="00F97113"/>
    <w:rsid w:val="00FA0E45"/>
    <w:rsid w:val="00FA16AB"/>
    <w:rsid w:val="00FA3255"/>
    <w:rsid w:val="00FA3C97"/>
    <w:rsid w:val="00FA5560"/>
    <w:rsid w:val="00FB2179"/>
    <w:rsid w:val="00FB29F5"/>
    <w:rsid w:val="00FB2E9B"/>
    <w:rsid w:val="00FB3320"/>
    <w:rsid w:val="00FB485F"/>
    <w:rsid w:val="00FB50DD"/>
    <w:rsid w:val="00FB5A82"/>
    <w:rsid w:val="00FB6CD1"/>
    <w:rsid w:val="00FB7C1E"/>
    <w:rsid w:val="00FC0551"/>
    <w:rsid w:val="00FC2759"/>
    <w:rsid w:val="00FC3D35"/>
    <w:rsid w:val="00FC4DDE"/>
    <w:rsid w:val="00FC52B3"/>
    <w:rsid w:val="00FC57A7"/>
    <w:rsid w:val="00FC5B76"/>
    <w:rsid w:val="00FC5F8D"/>
    <w:rsid w:val="00FC6F4E"/>
    <w:rsid w:val="00FC70A0"/>
    <w:rsid w:val="00FC7A36"/>
    <w:rsid w:val="00FD129E"/>
    <w:rsid w:val="00FD32D0"/>
    <w:rsid w:val="00FD39A7"/>
    <w:rsid w:val="00FD4153"/>
    <w:rsid w:val="00FD43BB"/>
    <w:rsid w:val="00FD49D8"/>
    <w:rsid w:val="00FD612A"/>
    <w:rsid w:val="00FD7D4F"/>
    <w:rsid w:val="00FE3F13"/>
    <w:rsid w:val="00FE5D08"/>
    <w:rsid w:val="00FE5D69"/>
    <w:rsid w:val="00FE6607"/>
    <w:rsid w:val="00FE7791"/>
    <w:rsid w:val="00FF1884"/>
    <w:rsid w:val="00FF20DF"/>
    <w:rsid w:val="00FF2D3C"/>
    <w:rsid w:val="00FF3D0A"/>
    <w:rsid w:val="00FF422B"/>
    <w:rsid w:val="00FF4588"/>
    <w:rsid w:val="00FF5FBB"/>
    <w:rsid w:val="00FF738E"/>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201A6A9"/>
  <w14:defaultImageDpi w14:val="300"/>
  <w15:docId w15:val="{FBE8003D-639E-4A9D-A6A4-6F36CA80BD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4410"/>
    <w:pPr>
      <w:ind w:firstLine="360"/>
      <w:jc w:val="both"/>
    </w:pPr>
    <w:rPr>
      <w:rFonts w:ascii="CMU Serif Roman" w:eastAsia="Times New Roman" w:hAnsi="CMU Serif Roman" w:cs="CMU Serif Roman"/>
      <w:color w:val="000000"/>
      <w:sz w:val="18"/>
      <w:szCs w:val="18"/>
    </w:rPr>
  </w:style>
  <w:style w:type="paragraph" w:styleId="Heading1">
    <w:name w:val="heading 1"/>
    <w:basedOn w:val="Normal"/>
    <w:next w:val="Normal"/>
    <w:link w:val="Heading1Char"/>
    <w:uiPriority w:val="9"/>
    <w:qFormat/>
    <w:rsid w:val="00034410"/>
    <w:pPr>
      <w:ind w:firstLine="0"/>
      <w:jc w:val="center"/>
      <w:outlineLvl w:val="0"/>
    </w:pPr>
    <w:rPr>
      <w:b/>
      <w:bCs/>
    </w:rPr>
  </w:style>
  <w:style w:type="paragraph" w:styleId="Heading2">
    <w:name w:val="heading 2"/>
    <w:basedOn w:val="Normal"/>
    <w:next w:val="Normal"/>
    <w:link w:val="Heading2Char"/>
    <w:uiPriority w:val="9"/>
    <w:unhideWhenUsed/>
    <w:qFormat/>
    <w:rsid w:val="00034410"/>
    <w:pPr>
      <w:ind w:firstLine="0"/>
      <w:outlineLvl w:val="1"/>
    </w:pPr>
    <w:rPr>
      <w:b/>
      <w:bCs/>
    </w:rPr>
  </w:style>
  <w:style w:type="paragraph" w:styleId="Heading3">
    <w:name w:val="heading 3"/>
    <w:basedOn w:val="Heading2"/>
    <w:next w:val="Normal"/>
    <w:link w:val="Heading3Char"/>
    <w:uiPriority w:val="9"/>
    <w:unhideWhenUsed/>
    <w:qFormat/>
    <w:rsid w:val="00034410"/>
    <w:pPr>
      <w:ind w:firstLine="360"/>
      <w:outlineLvl w:val="2"/>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167923"/>
    <w:rPr>
      <w:color w:val="0000FF" w:themeColor="hyperlink"/>
      <w:u w:val="single"/>
    </w:rPr>
  </w:style>
  <w:style w:type="paragraph" w:styleId="ListParagraph">
    <w:name w:val="List Paragraph"/>
    <w:basedOn w:val="Normal"/>
    <w:uiPriority w:val="34"/>
    <w:qFormat/>
    <w:rsid w:val="00167923"/>
    <w:pPr>
      <w:ind w:left="720"/>
      <w:contextualSpacing/>
    </w:pPr>
  </w:style>
  <w:style w:type="paragraph" w:customStyle="1" w:styleId="UPSectionHeading">
    <w:name w:val="UP Section Heading"/>
    <w:basedOn w:val="Normal"/>
    <w:qFormat/>
    <w:rsid w:val="00167923"/>
    <w:rPr>
      <w:rFonts w:ascii="Arial" w:eastAsiaTheme="minorEastAsia" w:hAnsi="Arial" w:cs="Times New Roman"/>
      <w:b/>
      <w:color w:val="auto"/>
      <w:sz w:val="26"/>
    </w:rPr>
  </w:style>
  <w:style w:type="paragraph" w:styleId="CommentText">
    <w:name w:val="annotation text"/>
    <w:basedOn w:val="Normal"/>
    <w:link w:val="CommentTextChar"/>
    <w:uiPriority w:val="99"/>
    <w:unhideWhenUsed/>
    <w:rsid w:val="000D2430"/>
  </w:style>
  <w:style w:type="character" w:customStyle="1" w:styleId="CommentTextChar">
    <w:name w:val="Comment Text Char"/>
    <w:basedOn w:val="DefaultParagraphFont"/>
    <w:link w:val="CommentText"/>
    <w:uiPriority w:val="99"/>
    <w:rsid w:val="000D2430"/>
    <w:rPr>
      <w:rFonts w:ascii="Cambria" w:eastAsia="Times New Roman" w:hAnsi="Cambria" w:cs="Cambria"/>
      <w:color w:val="000000"/>
      <w:sz w:val="20"/>
      <w:szCs w:val="20"/>
      <w:lang w:val="en-US"/>
    </w:rPr>
  </w:style>
  <w:style w:type="character" w:styleId="CommentReference">
    <w:name w:val="annotation reference"/>
    <w:basedOn w:val="DefaultParagraphFont"/>
    <w:uiPriority w:val="99"/>
    <w:semiHidden/>
    <w:unhideWhenUsed/>
    <w:rsid w:val="000D2430"/>
    <w:rPr>
      <w:sz w:val="16"/>
      <w:szCs w:val="16"/>
    </w:rPr>
  </w:style>
  <w:style w:type="paragraph" w:styleId="Bibliography">
    <w:name w:val="Bibliography"/>
    <w:basedOn w:val="Normal"/>
    <w:next w:val="Normal"/>
    <w:uiPriority w:val="37"/>
    <w:unhideWhenUsed/>
    <w:rsid w:val="003A109B"/>
    <w:pPr>
      <w:ind w:left="284" w:hanging="284"/>
      <w:jc w:val="left"/>
    </w:pPr>
  </w:style>
  <w:style w:type="character" w:customStyle="1" w:styleId="Heading1Char">
    <w:name w:val="Heading 1 Char"/>
    <w:basedOn w:val="DefaultParagraphFont"/>
    <w:link w:val="Heading1"/>
    <w:uiPriority w:val="9"/>
    <w:rsid w:val="00034410"/>
    <w:rPr>
      <w:rFonts w:ascii="CMU Serif Roman" w:eastAsia="Times New Roman" w:hAnsi="CMU Serif Roman" w:cs="CMU Serif Roman"/>
      <w:b/>
      <w:bCs/>
      <w:color w:val="000000"/>
      <w:sz w:val="18"/>
      <w:szCs w:val="18"/>
    </w:rPr>
  </w:style>
  <w:style w:type="character" w:customStyle="1" w:styleId="Heading2Char">
    <w:name w:val="Heading 2 Char"/>
    <w:basedOn w:val="DefaultParagraphFont"/>
    <w:link w:val="Heading2"/>
    <w:uiPriority w:val="9"/>
    <w:rsid w:val="00034410"/>
    <w:rPr>
      <w:rFonts w:ascii="CMU Serif Roman" w:eastAsia="Times New Roman" w:hAnsi="CMU Serif Roman" w:cs="CMU Serif Roman"/>
      <w:b/>
      <w:bCs/>
      <w:color w:val="000000"/>
      <w:sz w:val="18"/>
      <w:szCs w:val="18"/>
    </w:rPr>
  </w:style>
  <w:style w:type="paragraph" w:styleId="CommentSubject">
    <w:name w:val="annotation subject"/>
    <w:basedOn w:val="CommentText"/>
    <w:next w:val="CommentText"/>
    <w:link w:val="CommentSubjectChar"/>
    <w:uiPriority w:val="99"/>
    <w:semiHidden/>
    <w:unhideWhenUsed/>
    <w:rsid w:val="00AE700E"/>
    <w:rPr>
      <w:b/>
      <w:bCs/>
    </w:rPr>
  </w:style>
  <w:style w:type="character" w:customStyle="1" w:styleId="CommentSubjectChar">
    <w:name w:val="Comment Subject Char"/>
    <w:basedOn w:val="CommentTextChar"/>
    <w:link w:val="CommentSubject"/>
    <w:uiPriority w:val="99"/>
    <w:semiHidden/>
    <w:rsid w:val="00AE700E"/>
    <w:rPr>
      <w:rFonts w:ascii="Cambria" w:eastAsia="Times New Roman" w:hAnsi="Cambria" w:cs="Cambria"/>
      <w:b/>
      <w:bCs/>
      <w:color w:val="000000"/>
      <w:sz w:val="20"/>
      <w:szCs w:val="20"/>
      <w:lang w:val="en-US"/>
    </w:rPr>
  </w:style>
  <w:style w:type="table" w:styleId="TableGrid">
    <w:name w:val="Table Grid"/>
    <w:basedOn w:val="TableNormal"/>
    <w:uiPriority w:val="59"/>
    <w:rsid w:val="00B62C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027CD4"/>
    <w:rPr>
      <w:rFonts w:ascii="Times New Roman" w:hAnsi="Times New Roman" w:cs="Times New Roman"/>
      <w:sz w:val="24"/>
      <w:szCs w:val="24"/>
    </w:rPr>
  </w:style>
  <w:style w:type="character" w:styleId="PlaceholderText">
    <w:name w:val="Placeholder Text"/>
    <w:basedOn w:val="DefaultParagraphFont"/>
    <w:uiPriority w:val="99"/>
    <w:semiHidden/>
    <w:rsid w:val="00364AB9"/>
    <w:rPr>
      <w:color w:val="808080"/>
    </w:rPr>
  </w:style>
  <w:style w:type="paragraph" w:styleId="Caption">
    <w:name w:val="caption"/>
    <w:basedOn w:val="Normal"/>
    <w:next w:val="Normal"/>
    <w:uiPriority w:val="35"/>
    <w:unhideWhenUsed/>
    <w:qFormat/>
    <w:rsid w:val="0059237F"/>
    <w:pPr>
      <w:spacing w:after="200"/>
    </w:pPr>
    <w:rPr>
      <w:i/>
      <w:iCs/>
      <w:color w:val="1F497D" w:themeColor="text2"/>
    </w:rPr>
  </w:style>
  <w:style w:type="character" w:customStyle="1" w:styleId="Heading3Char">
    <w:name w:val="Heading 3 Char"/>
    <w:basedOn w:val="DefaultParagraphFont"/>
    <w:link w:val="Heading3"/>
    <w:uiPriority w:val="9"/>
    <w:rsid w:val="00034410"/>
    <w:rPr>
      <w:rFonts w:ascii="CMU Serif Roman" w:eastAsia="Times New Roman" w:hAnsi="CMU Serif Roman" w:cs="CMU Serif Roman"/>
      <w:b/>
      <w:bCs/>
      <w:color w:val="000000"/>
      <w:sz w:val="18"/>
      <w:szCs w:val="18"/>
    </w:rPr>
  </w:style>
  <w:style w:type="character" w:styleId="UnresolvedMention">
    <w:name w:val="Unresolved Mention"/>
    <w:basedOn w:val="DefaultParagraphFont"/>
    <w:uiPriority w:val="99"/>
    <w:semiHidden/>
    <w:unhideWhenUsed/>
    <w:rsid w:val="000B4D42"/>
    <w:rPr>
      <w:color w:val="605E5C"/>
      <w:shd w:val="clear" w:color="auto" w:fill="E1DFDD"/>
    </w:rPr>
  </w:style>
  <w:style w:type="character" w:styleId="FollowedHyperlink">
    <w:name w:val="FollowedHyperlink"/>
    <w:basedOn w:val="DefaultParagraphFont"/>
    <w:uiPriority w:val="99"/>
    <w:semiHidden/>
    <w:unhideWhenUsed/>
    <w:rsid w:val="000B4D42"/>
    <w:rPr>
      <w:color w:val="800080" w:themeColor="followedHyperlink"/>
      <w:u w:val="single"/>
    </w:rPr>
  </w:style>
  <w:style w:type="paragraph" w:styleId="FootnoteText">
    <w:name w:val="footnote text"/>
    <w:basedOn w:val="Normal"/>
    <w:link w:val="FootnoteTextChar"/>
    <w:uiPriority w:val="99"/>
    <w:unhideWhenUsed/>
    <w:rsid w:val="007D7ACB"/>
    <w:rPr>
      <w:sz w:val="16"/>
      <w:szCs w:val="16"/>
    </w:rPr>
  </w:style>
  <w:style w:type="character" w:customStyle="1" w:styleId="FootnoteTextChar">
    <w:name w:val="Footnote Text Char"/>
    <w:basedOn w:val="DefaultParagraphFont"/>
    <w:link w:val="FootnoteText"/>
    <w:uiPriority w:val="99"/>
    <w:rsid w:val="007D7ACB"/>
    <w:rPr>
      <w:rFonts w:ascii="CMU Serif Roman" w:eastAsia="Times New Roman" w:hAnsi="CMU Serif Roman" w:cs="CMU Serif Roman"/>
      <w:color w:val="000000"/>
      <w:sz w:val="16"/>
      <w:szCs w:val="16"/>
    </w:rPr>
  </w:style>
  <w:style w:type="character" w:styleId="FootnoteReference">
    <w:name w:val="footnote reference"/>
    <w:basedOn w:val="DefaultParagraphFont"/>
    <w:uiPriority w:val="99"/>
    <w:semiHidden/>
    <w:unhideWhenUsed/>
    <w:rsid w:val="007C23EB"/>
    <w:rPr>
      <w:vertAlign w:val="superscript"/>
    </w:rPr>
  </w:style>
  <w:style w:type="character" w:styleId="EndnoteReference">
    <w:name w:val="endnote reference"/>
    <w:basedOn w:val="DefaultParagraphFont"/>
    <w:uiPriority w:val="99"/>
    <w:semiHidden/>
    <w:unhideWhenUsed/>
    <w:rsid w:val="006C1CF5"/>
    <w:rPr>
      <w:vertAlign w:val="superscript"/>
    </w:rPr>
  </w:style>
  <w:style w:type="character" w:customStyle="1" w:styleId="mord">
    <w:name w:val="mord"/>
    <w:basedOn w:val="DefaultParagraphFont"/>
    <w:rsid w:val="001475A4"/>
  </w:style>
  <w:style w:type="character" w:customStyle="1" w:styleId="mrel">
    <w:name w:val="mrel"/>
    <w:basedOn w:val="DefaultParagraphFont"/>
    <w:rsid w:val="001475A4"/>
  </w:style>
  <w:style w:type="character" w:customStyle="1" w:styleId="mbin">
    <w:name w:val="mbin"/>
    <w:basedOn w:val="DefaultParagraphFont"/>
    <w:rsid w:val="001475A4"/>
  </w:style>
  <w:style w:type="character" w:customStyle="1" w:styleId="vlist-s">
    <w:name w:val="vlist-s"/>
    <w:basedOn w:val="DefaultParagraphFont"/>
    <w:rsid w:val="001475A4"/>
  </w:style>
  <w:style w:type="paragraph" w:customStyle="1" w:styleId="abstract">
    <w:name w:val="abstract"/>
    <w:basedOn w:val="Normal"/>
    <w:qFormat/>
    <w:rsid w:val="00043D43"/>
    <w:pPr>
      <w:ind w:left="720" w:right="740" w:firstLine="0"/>
    </w:pPr>
    <w:rPr>
      <w:sz w:val="20"/>
      <w:szCs w:val="20"/>
    </w:rPr>
  </w:style>
  <w:style w:type="paragraph" w:customStyle="1" w:styleId="authors">
    <w:name w:val="authors"/>
    <w:basedOn w:val="Normal"/>
    <w:qFormat/>
    <w:rsid w:val="00043D43"/>
    <w:pPr>
      <w:ind w:firstLine="0"/>
      <w:jc w:val="center"/>
    </w:pPr>
    <w:rPr>
      <w:sz w:val="24"/>
      <w:szCs w:val="24"/>
    </w:rPr>
  </w:style>
  <w:style w:type="paragraph" w:customStyle="1" w:styleId="Title1">
    <w:name w:val="Title1"/>
    <w:basedOn w:val="Normal"/>
    <w:qFormat/>
    <w:rsid w:val="00043D43"/>
    <w:pPr>
      <w:ind w:firstLine="0"/>
      <w:jc w:val="center"/>
    </w:pPr>
    <w:rPr>
      <w:sz w:val="28"/>
      <w:szCs w:val="28"/>
    </w:rPr>
  </w:style>
  <w:style w:type="paragraph" w:styleId="Header">
    <w:name w:val="header"/>
    <w:basedOn w:val="Normal"/>
    <w:link w:val="HeaderChar"/>
    <w:uiPriority w:val="99"/>
    <w:unhideWhenUsed/>
    <w:rsid w:val="008153E3"/>
    <w:pPr>
      <w:tabs>
        <w:tab w:val="center" w:pos="4513"/>
        <w:tab w:val="right" w:pos="9026"/>
      </w:tabs>
    </w:pPr>
  </w:style>
  <w:style w:type="character" w:customStyle="1" w:styleId="HeaderChar">
    <w:name w:val="Header Char"/>
    <w:basedOn w:val="DefaultParagraphFont"/>
    <w:link w:val="Header"/>
    <w:uiPriority w:val="99"/>
    <w:rsid w:val="008153E3"/>
    <w:rPr>
      <w:rFonts w:ascii="CMU Serif Roman" w:eastAsia="Times New Roman" w:hAnsi="CMU Serif Roman" w:cs="CMU Serif Roman"/>
      <w:color w:val="000000"/>
      <w:sz w:val="18"/>
      <w:szCs w:val="18"/>
    </w:rPr>
  </w:style>
  <w:style w:type="paragraph" w:styleId="Footer">
    <w:name w:val="footer"/>
    <w:basedOn w:val="Normal"/>
    <w:link w:val="FooterChar"/>
    <w:uiPriority w:val="99"/>
    <w:unhideWhenUsed/>
    <w:rsid w:val="008153E3"/>
    <w:pPr>
      <w:tabs>
        <w:tab w:val="center" w:pos="4513"/>
        <w:tab w:val="right" w:pos="9026"/>
      </w:tabs>
    </w:pPr>
  </w:style>
  <w:style w:type="character" w:customStyle="1" w:styleId="FooterChar">
    <w:name w:val="Footer Char"/>
    <w:basedOn w:val="DefaultParagraphFont"/>
    <w:link w:val="Footer"/>
    <w:uiPriority w:val="99"/>
    <w:rsid w:val="008153E3"/>
    <w:rPr>
      <w:rFonts w:ascii="CMU Serif Roman" w:eastAsia="Times New Roman" w:hAnsi="CMU Serif Roman" w:cs="CMU Serif Roman"/>
      <w:color w:val="000000"/>
      <w:sz w:val="18"/>
      <w:szCs w:val="18"/>
    </w:rPr>
  </w:style>
  <w:style w:type="character" w:styleId="PageNumber">
    <w:name w:val="page number"/>
    <w:basedOn w:val="DefaultParagraphFont"/>
    <w:uiPriority w:val="99"/>
    <w:semiHidden/>
    <w:unhideWhenUsed/>
    <w:rsid w:val="008153E3"/>
  </w:style>
  <w:style w:type="paragraph" w:customStyle="1" w:styleId="table">
    <w:name w:val="table"/>
    <w:basedOn w:val="Normal"/>
    <w:qFormat/>
    <w:rsid w:val="000967B0"/>
    <w:pPr>
      <w:ind w:firstLine="14"/>
    </w:pPr>
    <w:rPr>
      <w:sz w:val="16"/>
      <w:szCs w:val="16"/>
    </w:rPr>
  </w:style>
  <w:style w:type="table" w:customStyle="1" w:styleId="TableGrid1">
    <w:name w:val="Table Grid1"/>
    <w:basedOn w:val="TableNormal"/>
    <w:next w:val="TableGrid"/>
    <w:uiPriority w:val="39"/>
    <w:rsid w:val="00601B7B"/>
    <w:rPr>
      <w:rFonts w:eastAsia="MS Mincho"/>
      <w:kern w:val="2"/>
      <w:lang w:val=""/>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00176747">
      <w:bodyDiv w:val="1"/>
      <w:marLeft w:val="0"/>
      <w:marRight w:val="0"/>
      <w:marTop w:val="0"/>
      <w:marBottom w:val="0"/>
      <w:divBdr>
        <w:top w:val="none" w:sz="0" w:space="0" w:color="auto"/>
        <w:left w:val="none" w:sz="0" w:space="0" w:color="auto"/>
        <w:bottom w:val="none" w:sz="0" w:space="0" w:color="auto"/>
        <w:right w:val="none" w:sz="0" w:space="0" w:color="auto"/>
      </w:divBdr>
      <w:divsChild>
        <w:div w:id="1587035385">
          <w:marLeft w:val="0"/>
          <w:marRight w:val="0"/>
          <w:marTop w:val="0"/>
          <w:marBottom w:val="0"/>
          <w:divBdr>
            <w:top w:val="none" w:sz="0" w:space="0" w:color="auto"/>
            <w:left w:val="none" w:sz="0" w:space="0" w:color="auto"/>
            <w:bottom w:val="none" w:sz="0" w:space="0" w:color="auto"/>
            <w:right w:val="none" w:sz="0" w:space="0" w:color="auto"/>
          </w:divBdr>
          <w:divsChild>
            <w:div w:id="1584027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70048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osf.io/jg8td/" TargetMode="Externa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5.emf"/><Relationship Id="rId2" Type="http://schemas.openxmlformats.org/officeDocument/2006/relationships/numbering" Target="numbering.xml"/><Relationship Id="rId16" Type="http://schemas.openxmlformats.org/officeDocument/2006/relationships/image" Target="media/image4.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osf.io/jg8td/" TargetMode="External"/><Relationship Id="rId5" Type="http://schemas.openxmlformats.org/officeDocument/2006/relationships/webSettings" Target="webSettings.xml"/><Relationship Id="rId15" Type="http://schemas.openxmlformats.org/officeDocument/2006/relationships/image" Target="media/image3.emf"/><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discoveringstatistics.com/repository/fieldgillett/how_to_do_a_meta_analysi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494F73-804E-7F47-8C61-7355FF5C85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411</TotalTime>
  <Pages>20</Pages>
  <Words>34219</Words>
  <Characters>195049</Characters>
  <Application>Microsoft Office Word</Application>
  <DocSecurity>0</DocSecurity>
  <Lines>1625</Lines>
  <Paragraphs>457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Imogen</dc:creator>
  <cp:lastModifiedBy>Hussey, Ian (PSY)</cp:lastModifiedBy>
  <cp:revision>1262</cp:revision>
  <cp:lastPrinted>2024-08-01T11:55:00Z</cp:lastPrinted>
  <dcterms:created xsi:type="dcterms:W3CDTF">2024-08-01T11:55:00Z</dcterms:created>
  <dcterms:modified xsi:type="dcterms:W3CDTF">2024-10-17T18:42:00Z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zotero-version="6.0.37"&gt;&lt;session id="KF6fLWg1"/&gt;&lt;style id="http://www.zotero.org/styles/apa" locale="en-GB"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