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F84A7" w14:textId="77777777" w:rsidR="00C240F1" w:rsidRPr="00832F7C" w:rsidRDefault="00C240F1" w:rsidP="00805BE0">
      <w:pPr>
        <w:ind w:firstLine="0"/>
        <w:sectPr w:rsidR="00C240F1" w:rsidRPr="00832F7C" w:rsidSect="00D77465">
          <w:headerReference w:type="even" r:id="rId8"/>
          <w:headerReference w:type="default" r:id="rId9"/>
          <w:footerReference w:type="even" r:id="rId10"/>
          <w:footerReference w:type="default" r:id="rId11"/>
          <w:pgSz w:w="11900" w:h="16840"/>
          <w:pgMar w:top="1440" w:right="1440" w:bottom="1440" w:left="1440" w:header="709" w:footer="709" w:gutter="0"/>
          <w:cols w:space="708"/>
          <w:docGrid w:linePitch="360"/>
          <w15:footnoteColumns w:val="1"/>
        </w:sectPr>
      </w:pPr>
    </w:p>
    <w:p w14:paraId="2DDFE060" w14:textId="7E6FE495" w:rsidR="00D77465" w:rsidRPr="00832F7C" w:rsidRDefault="00D77465" w:rsidP="00C240F1">
      <w:pPr>
        <w:pStyle w:val="Title1"/>
        <w:jc w:val="left"/>
      </w:pPr>
      <w:r w:rsidRPr="00832F7C">
        <w:t>Verification Report: A critical reanalysis of Vahey et al. (2015) “A meta-analysis of criterion effects for the Implicit Relational Assessment Procedure (IRAP) in the clinical domain”</w:t>
      </w:r>
    </w:p>
    <w:p w14:paraId="09B4F2AD" w14:textId="77777777" w:rsidR="00D77465" w:rsidRPr="00832F7C" w:rsidRDefault="00D77465" w:rsidP="00D77465"/>
    <w:p w14:paraId="2AB0CFA3" w14:textId="4BDA1DC5" w:rsidR="0080605A" w:rsidRPr="00832F7C" w:rsidRDefault="00000000" w:rsidP="00D77465">
      <w:r w:rsidRPr="00832F7C">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rsidRPr="00832F7C">
        <w:fldChar w:fldCharType="begin"/>
      </w:r>
      <w:r w:rsidRPr="00832F7C">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32F7C">
        <w:fldChar w:fldCharType="separate"/>
      </w:r>
      <w:r w:rsidRPr="00832F7C">
        <w:t>(e.g., Gøtzsche et al., 2007; Lakens et al., 2017; Maassen et al., 2020)</w:t>
      </w:r>
      <w:r w:rsidRPr="00832F7C">
        <w:fldChar w:fldCharType="end"/>
      </w:r>
      <w:r w:rsidRPr="00832F7C">
        <w:t xml:space="preserve">, or indicators of reproducibility such as the reproducibility of the systematic search strategy, specification of the exact method to compute effect sizes, choice of weightings and estimator function, and sharing of data and code </w:t>
      </w:r>
      <w:r w:rsidRPr="00832F7C">
        <w:fldChar w:fldCharType="begin"/>
      </w:r>
      <w:r w:rsidRPr="00832F7C">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832F7C">
        <w:fldChar w:fldCharType="separate"/>
      </w:r>
      <w:r w:rsidRPr="00832F7C">
        <w:t>(López-Nicolás et al., 2022)</w:t>
      </w:r>
      <w:r w:rsidRPr="00832F7C">
        <w:fldChar w:fldCharType="end"/>
      </w:r>
      <w:r w:rsidRPr="00832F7C">
        <w:t>. More recently, this has been supplemented with</w:t>
      </w:r>
      <w:r w:rsidR="00224408" w:rsidRPr="00832F7C">
        <w:t xml:space="preserve"> work that is explicitly focused on</w:t>
      </w:r>
      <w:r w:rsidRPr="00832F7C">
        <w:t xml:space="preserve"> error detection that has the goal of examining what features of a meta-analysis can be checked and how, and where meta-analyses tend to make errors </w:t>
      </w:r>
      <w:r w:rsidRPr="00832F7C">
        <w:fldChar w:fldCharType="begin"/>
      </w:r>
      <w:r w:rsidRPr="00832F7C">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rsidRPr="00832F7C">
        <w:fldChar w:fldCharType="separate"/>
      </w:r>
      <w:r w:rsidRPr="00832F7C">
        <w:rPr>
          <w:noProof/>
        </w:rPr>
        <w:t>(Kadlec et al., 2023)</w:t>
      </w:r>
      <w:r w:rsidRPr="00832F7C">
        <w:fldChar w:fldCharType="end"/>
      </w:r>
      <w:r w:rsidRPr="00832F7C">
        <w:t>. Th</w:t>
      </w:r>
      <w:r w:rsidR="00F063CD" w:rsidRPr="00832F7C">
        <w:t>is</w:t>
      </w:r>
      <w:r w:rsidRPr="00832F7C">
        <w:t xml:space="preserve"> article continues in this vein: following the logic of error detection tools for original research articles </w:t>
      </w:r>
      <w:r w:rsidRPr="00832F7C">
        <w:fldChar w:fldCharType="begin"/>
      </w:r>
      <w:r w:rsidRPr="00832F7C">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rsidRPr="00832F7C">
        <w:fldChar w:fldCharType="separate"/>
      </w:r>
      <w:r w:rsidRPr="00832F7C">
        <w:rPr>
          <w:noProof/>
        </w:rPr>
        <w:t>(e.g., Heathers et al., 2018)</w:t>
      </w:r>
      <w:r w:rsidRPr="00832F7C">
        <w:fldChar w:fldCharType="end"/>
      </w:r>
      <w:r w:rsidRPr="00832F7C">
        <w:t xml:space="preserve">, it focuses on features of meta-analyses that are either informative but often overlooked or that repeat information. Both provide vectors for error detection. </w:t>
      </w:r>
      <w:r w:rsidR="0074245E" w:rsidRPr="00832F7C">
        <w:t xml:space="preserve">Indeed, these principles of examining overlooked repeated information to assess the trustworthiness of published work are now being integrated into Cochrane’s systematic review process </w:t>
      </w:r>
      <w:r w:rsidR="0074245E" w:rsidRPr="00832F7C">
        <w:fldChar w:fldCharType="begin"/>
      </w:r>
      <w:r w:rsidR="0074245E" w:rsidRPr="00832F7C">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rsidRPr="00832F7C">
        <w:fldChar w:fldCharType="separate"/>
      </w:r>
      <w:r w:rsidR="0074245E" w:rsidRPr="00832F7C">
        <w:rPr>
          <w:noProof/>
        </w:rPr>
        <w:t>(Wilkinson et al., 2023)</w:t>
      </w:r>
      <w:r w:rsidR="0074245E" w:rsidRPr="00832F7C">
        <w:fldChar w:fldCharType="end"/>
      </w:r>
      <w:r w:rsidR="0074245E" w:rsidRPr="00832F7C">
        <w:t xml:space="preserve">. </w:t>
      </w:r>
      <w:r w:rsidRPr="00832F7C">
        <w:t>The intended meta-scientific utility of this manuscript is therefore to provide a relatively fine-grain description of what information was inspected for errors and how, in the hope that some of these methods of verification allow other meta-analyses to be more efficiently and effectively inspected for errors.</w:t>
      </w:r>
    </w:p>
    <w:p w14:paraId="3EB539E4" w14:textId="707283B6" w:rsidR="00BC1572" w:rsidRPr="00832F7C" w:rsidRDefault="00DA092D" w:rsidP="00D77465">
      <w:r w:rsidRPr="00832F7C">
        <w:t xml:space="preserve">Briefly, </w:t>
      </w:r>
      <w:r w:rsidR="00BC1572" w:rsidRPr="00832F7C">
        <w:t xml:space="preserve">Implicit Relational Assessment Procedure </w:t>
      </w:r>
      <w:r w:rsidR="007F3475" w:rsidRPr="00832F7C">
        <w:fldChar w:fldCharType="begin"/>
      </w:r>
      <w:r w:rsidR="007F3475" w:rsidRPr="00832F7C">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832F7C">
        <w:fldChar w:fldCharType="separate"/>
      </w:r>
      <w:r w:rsidR="007F3475" w:rsidRPr="00832F7C">
        <w:t>(IRAP: Barnes-Holmes et al., 2006, 2010)</w:t>
      </w:r>
      <w:r w:rsidR="007F3475" w:rsidRPr="00832F7C">
        <w:fldChar w:fldCharType="end"/>
      </w:r>
      <w:r w:rsidR="007F3475" w:rsidRPr="00832F7C">
        <w:t xml:space="preserve"> is a reaction-time based measure that has been used in over 150 publications </w:t>
      </w:r>
      <w:r w:rsidR="007F3475" w:rsidRPr="00832F7C">
        <w:lastRenderedPageBreak/>
        <w:fldChar w:fldCharType="begin"/>
      </w:r>
      <w:r w:rsidR="007F3475" w:rsidRPr="00832F7C">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rsidRPr="00832F7C">
        <w:fldChar w:fldCharType="separate"/>
      </w:r>
      <w:r w:rsidR="007F3475" w:rsidRPr="00832F7C">
        <w:rPr>
          <w:noProof/>
        </w:rPr>
        <w:t>(Hussey, 2023)</w:t>
      </w:r>
      <w:r w:rsidR="007F3475" w:rsidRPr="00832F7C">
        <w:fldChar w:fldCharType="end"/>
      </w:r>
      <w:r w:rsidR="007F3475" w:rsidRPr="00832F7C">
        <w:t>. Typical implementations of the IRAP</w:t>
      </w:r>
      <w:r w:rsidR="0023388C" w:rsidRPr="00832F7C">
        <w:t xml:space="preserve"> </w:t>
      </w:r>
      <w:r w:rsidR="007F3475" w:rsidRPr="00832F7C">
        <w:t>involve presenting “sample” words</w:t>
      </w:r>
      <w:r w:rsidR="00C93578" w:rsidRPr="00832F7C">
        <w:t xml:space="preserve"> or images</w:t>
      </w:r>
      <w:r w:rsidR="007F3475" w:rsidRPr="00832F7C">
        <w:t xml:space="preserve"> at the top of the screen and “target” words</w:t>
      </w:r>
      <w:r w:rsidR="00C93578" w:rsidRPr="00832F7C">
        <w:t xml:space="preserve"> or images</w:t>
      </w:r>
      <w:r w:rsidR="007F3475" w:rsidRPr="00832F7C">
        <w:t xml:space="preserve"> in the middle of the screen. Participants must respond with one of two response options that involve opposing relational terms, such as True/False or (</w:t>
      </w:r>
      <w:r w:rsidR="006B4B14" w:rsidRPr="00832F7C">
        <w:t xml:space="preserve">more rarely) similar/different, which are assigned to a left vs. right response key on the keyboard. </w:t>
      </w:r>
      <w:r w:rsidR="00C93578" w:rsidRPr="00832F7C">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rsidRPr="00832F7C">
        <w:t>Participants are instructed and trained to maintain accuracy and speed criteria in practice blocks (e.g., median reaction time &lt; 2000ms and percentage accuracy &gt; 80%)</w:t>
      </w:r>
      <w:r w:rsidR="00982F6A" w:rsidRPr="00832F7C">
        <w:t xml:space="preserve"> before being presented with a fixed number of test blocks. </w:t>
      </w:r>
      <w:r w:rsidR="00BB7CA7" w:rsidRPr="00832F7C">
        <w:t>Reaction time d</w:t>
      </w:r>
      <w:r w:rsidR="00982F6A" w:rsidRPr="00832F7C">
        <w:t xml:space="preserve">ata from the test blocks are typically scored using a version of the Greenwald </w:t>
      </w:r>
      <w:r w:rsidR="00982F6A" w:rsidRPr="00832F7C">
        <w:rPr>
          <w:i/>
          <w:iCs/>
        </w:rPr>
        <w:t>D</w:t>
      </w:r>
      <w:r w:rsidR="00982F6A" w:rsidRPr="00832F7C">
        <w:t xml:space="preserve"> metric developed for the Implicit Association Test </w:t>
      </w:r>
      <w:r w:rsidR="00982F6A" w:rsidRPr="00832F7C">
        <w:fldChar w:fldCharType="begin"/>
      </w:r>
      <w:r w:rsidR="00475EDA" w:rsidRPr="00832F7C">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rsidRPr="00832F7C">
        <w:fldChar w:fldCharType="separate"/>
      </w:r>
      <w:r w:rsidR="00475EDA" w:rsidRPr="00832F7C">
        <w:rPr>
          <w:noProof/>
        </w:rPr>
        <w:t xml:space="preserve">(Greenwald et al., 2003; Hussey et al., 2015; although for issues with </w:t>
      </w:r>
      <w:r w:rsidR="00475EDA" w:rsidRPr="00832F7C">
        <w:rPr>
          <w:i/>
          <w:iCs/>
          <w:noProof/>
        </w:rPr>
        <w:t>D</w:t>
      </w:r>
      <w:r w:rsidR="00475EDA" w:rsidRPr="00832F7C">
        <w:rPr>
          <w:noProof/>
        </w:rPr>
        <w:t xml:space="preserve"> and a more robust alterantive see De Schryver et al., 2018)</w:t>
      </w:r>
      <w:r w:rsidR="00982F6A" w:rsidRPr="00832F7C">
        <w:fldChar w:fldCharType="end"/>
      </w:r>
      <w:r w:rsidR="00F80EE3" w:rsidRPr="00832F7C">
        <w:t xml:space="preserve"> to quantify the IRAP effect: the relative speed at which participants emit one pattern of relational responses relative to the other. This </w:t>
      </w:r>
      <w:r w:rsidR="00D2188C" w:rsidRPr="00832F7C">
        <w:t>effect is sometimes used as a metric of (relational) implicit attitudes or beliefs and at other times is used in the study of the dynamics of relational responding</w:t>
      </w:r>
      <w:r w:rsidR="00DF0C5A" w:rsidRPr="00832F7C">
        <w:t xml:space="preserve">. </w:t>
      </w:r>
    </w:p>
    <w:p w14:paraId="5C1A794E" w14:textId="651147EE" w:rsidR="00C842F7" w:rsidRPr="00832F7C" w:rsidRDefault="00000000" w:rsidP="00D77465">
      <w:r w:rsidRPr="00832F7C">
        <w:t xml:space="preserve">Vahey et al.’s </w:t>
      </w:r>
      <w:r w:rsidRPr="00832F7C">
        <w:fldChar w:fldCharType="begin"/>
      </w:r>
      <w:r w:rsidRPr="00832F7C">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832F7C">
        <w:fldChar w:fldCharType="separate"/>
      </w:r>
      <w:r w:rsidRPr="00832F7C">
        <w:t>(2015)</w:t>
      </w:r>
      <w:r w:rsidRPr="00832F7C">
        <w:fldChar w:fldCharType="end"/>
      </w:r>
      <w:r w:rsidR="000D2430" w:rsidRPr="00832F7C">
        <w:t xml:space="preserve"> meta-analysis concluded that </w:t>
      </w:r>
      <w:r w:rsidR="007F3475" w:rsidRPr="00832F7C">
        <w:t xml:space="preserve">the IRAP </w:t>
      </w:r>
      <w:r w:rsidR="000D2430" w:rsidRPr="00832F7C">
        <w:t xml:space="preserve">possesses good </w:t>
      </w:r>
      <w:r w:rsidR="007F3475" w:rsidRPr="00832F7C">
        <w:t xml:space="preserve">clinical </w:t>
      </w:r>
      <w:r w:rsidR="000D2430" w:rsidRPr="00832F7C">
        <w:t xml:space="preserve">criterion validity </w:t>
      </w:r>
      <w:r w:rsidRPr="00832F7C">
        <w:t xml:space="preserve">and that </w:t>
      </w:r>
      <w:r w:rsidR="007F3475" w:rsidRPr="00832F7C">
        <w:t xml:space="preserve">results </w:t>
      </w:r>
      <w:r w:rsidR="00150CC4" w:rsidRPr="00832F7C">
        <w:t>“</w:t>
      </w:r>
      <w:r w:rsidR="00457274" w:rsidRPr="00832F7C">
        <w:t>demonstrates the potential of the IRAP as a tool for clinical assessment”</w:t>
      </w:r>
      <w:r w:rsidR="00150CC4" w:rsidRPr="00832F7C">
        <w:t xml:space="preserve"> (p. 64)</w:t>
      </w:r>
      <w:r w:rsidRPr="00832F7C">
        <w:t xml:space="preserve">. </w:t>
      </w:r>
      <w:r w:rsidR="008513BA" w:rsidRPr="00832F7C">
        <w:t>Based on a non-systematic review</w:t>
      </w:r>
      <w:r w:rsidR="0038777F" w:rsidRPr="00832F7C">
        <w:t xml:space="preserve"> followed by a meta-analysis</w:t>
      </w:r>
      <w:r w:rsidR="008513BA" w:rsidRPr="00832F7C">
        <w:t>, th</w:t>
      </w:r>
      <w:r w:rsidR="00702047" w:rsidRPr="00832F7C">
        <w:t>ose</w:t>
      </w:r>
      <w:r w:rsidR="008513BA" w:rsidRPr="00832F7C">
        <w:t xml:space="preserve"> </w:t>
      </w:r>
      <w:r w:rsidR="008513BA" w:rsidRPr="00832F7C">
        <w:lastRenderedPageBreak/>
        <w:t xml:space="preserve">authors </w:t>
      </w:r>
      <w:r w:rsidR="000D2430" w:rsidRPr="00832F7C">
        <w:t xml:space="preserve">(a) provided an estimate of the association between IRAP effects and clinically relevant criterion variables, (b) reported that the IRAP compares </w:t>
      </w:r>
      <w:r w:rsidR="00EB7476" w:rsidRPr="00832F7C">
        <w:t>favorably</w:t>
      </w:r>
      <w:r w:rsidR="000D2430" w:rsidRPr="00832F7C">
        <w:t xml:space="preserve"> to other popular implicit measures, including the Implicit Association Test </w:t>
      </w:r>
      <w:r w:rsidR="000D2430" w:rsidRPr="00832F7C">
        <w:fldChar w:fldCharType="begin"/>
      </w:r>
      <w:r w:rsidR="007C23EB" w:rsidRPr="00832F7C">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832F7C">
        <w:fldChar w:fldCharType="separate"/>
      </w:r>
      <w:r w:rsidR="000D2430" w:rsidRPr="00832F7C">
        <w:t>(Greenwald et al., 1998)</w:t>
      </w:r>
      <w:r w:rsidR="000D2430" w:rsidRPr="00832F7C">
        <w:fldChar w:fldCharType="end"/>
      </w:r>
      <w:r w:rsidR="000D2430" w:rsidRPr="00832F7C">
        <w:t>, and (c) used the</w:t>
      </w:r>
      <w:r w:rsidR="00457274" w:rsidRPr="00832F7C">
        <w:t>ir meta-</w:t>
      </w:r>
      <w:r w:rsidR="00EB7476" w:rsidRPr="00832F7C">
        <w:t>analyzed</w:t>
      </w:r>
      <w:r w:rsidR="000D2430" w:rsidRPr="00832F7C">
        <w:t xml:space="preserve"> estimate of effect size to conduct power analyses </w:t>
      </w:r>
      <w:r w:rsidR="008425FE" w:rsidRPr="00832F7C">
        <w:t xml:space="preserve">and </w:t>
      </w:r>
      <w:r w:rsidR="000D2430" w:rsidRPr="00832F7C">
        <w:t>make sample size recommendations for future research</w:t>
      </w:r>
      <w:r w:rsidR="00802224" w:rsidRPr="00832F7C">
        <w:t xml:space="preserve"> using the IRAP</w:t>
      </w:r>
      <w:r w:rsidR="000D2430" w:rsidRPr="00832F7C">
        <w:t>.</w:t>
      </w:r>
      <w:r w:rsidRPr="00832F7C">
        <w:t xml:space="preserve"> While there has been a subsequent debate about the degree to which the IRAP is or is not an “implicit” measure </w:t>
      </w:r>
      <w:r w:rsidRPr="00832F7C">
        <w:fldChar w:fldCharType="begin"/>
      </w:r>
      <w:r w:rsidR="008D3041" w:rsidRPr="00832F7C">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832F7C">
        <w:fldChar w:fldCharType="separate"/>
      </w:r>
      <w:r w:rsidR="008D3041" w:rsidRPr="00832F7C">
        <w:rPr>
          <w:noProof/>
        </w:rPr>
        <w:t>(Barnes-Holmes &amp; Harte, 2022a; Hussey, 2022)</w:t>
      </w:r>
      <w:r w:rsidRPr="00832F7C">
        <w:fldChar w:fldCharType="end"/>
      </w:r>
      <w:r w:rsidRPr="00832F7C">
        <w:t xml:space="preserve">, and indeed what the term even means </w:t>
      </w:r>
      <w:r w:rsidRPr="00832F7C">
        <w:fldChar w:fldCharType="begin"/>
      </w:r>
      <w:r w:rsidRPr="00832F7C">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832F7C">
        <w:fldChar w:fldCharType="separate"/>
      </w:r>
      <w:r w:rsidRPr="00832F7C">
        <w:t>(Corneille &amp; Hütter, 2020)</w:t>
      </w:r>
      <w:r w:rsidRPr="00832F7C">
        <w:fldChar w:fldCharType="end"/>
      </w:r>
      <w:r w:rsidRPr="00832F7C">
        <w:t xml:space="preserve">, these debates are secondary to the fact that the IRAP, and tasks like it, are claimed to be valid measures of individual differences based on sources of evidence such as Vahey et al. (2015). </w:t>
      </w:r>
    </w:p>
    <w:p w14:paraId="7EAC7E0C" w14:textId="77777777" w:rsidR="001537F8" w:rsidRPr="00832F7C" w:rsidRDefault="00000000" w:rsidP="00D77465">
      <w:pPr>
        <w:pStyle w:val="Heading2"/>
      </w:pPr>
      <w:r w:rsidRPr="00832F7C">
        <w:t xml:space="preserve">Rationale for </w:t>
      </w:r>
      <w:r w:rsidR="00223420" w:rsidRPr="00832F7C">
        <w:t>verification</w:t>
      </w:r>
    </w:p>
    <w:p w14:paraId="3A6C94F6" w14:textId="1C82FF77" w:rsidR="00C9290D" w:rsidRPr="00832F7C" w:rsidRDefault="00000000" w:rsidP="00D77465">
      <w:r w:rsidRPr="00832F7C">
        <w:t>In addition to the meta-scientific utility of doing so discussed previously, t</w:t>
      </w:r>
      <w:r w:rsidR="0093498C" w:rsidRPr="00832F7C">
        <w:t xml:space="preserve">here are </w:t>
      </w:r>
      <w:r w:rsidR="005924D8" w:rsidRPr="00832F7C">
        <w:t xml:space="preserve">at least </w:t>
      </w:r>
      <w:r w:rsidR="008A44AB" w:rsidRPr="00832F7C">
        <w:t>four</w:t>
      </w:r>
      <w:r w:rsidRPr="00832F7C">
        <w:t xml:space="preserve"> </w:t>
      </w:r>
      <w:r w:rsidR="00D96AB3" w:rsidRPr="00832F7C">
        <w:t xml:space="preserve">rationales for performing a verification of </w:t>
      </w:r>
      <w:r w:rsidR="0014262C">
        <w:t xml:space="preserve">the results presented in </w:t>
      </w:r>
      <w:r w:rsidR="00D96AB3" w:rsidRPr="00832F7C">
        <w:t>Vahey et al. (201</w:t>
      </w:r>
      <w:r w:rsidR="00500BC6" w:rsidRPr="00832F7C">
        <w:t>5)</w:t>
      </w:r>
      <w:r w:rsidR="00B80A9A" w:rsidRPr="00832F7C">
        <w:t>.</w:t>
      </w:r>
      <w:r w:rsidR="00500BC6" w:rsidRPr="00832F7C">
        <w:t xml:space="preserve"> </w:t>
      </w:r>
      <w:r w:rsidR="0001350A" w:rsidRPr="00832F7C">
        <w:t xml:space="preserve">First, there is good a priori reason to believe that meta-analyses in general often contain non-replicable results. Lakens et al. </w:t>
      </w:r>
      <w:r w:rsidR="0001350A" w:rsidRPr="00832F7C">
        <w:fldChar w:fldCharType="begin"/>
      </w:r>
      <w:r w:rsidR="007C23EB" w:rsidRPr="00832F7C">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832F7C">
        <w:fldChar w:fldCharType="separate"/>
      </w:r>
      <w:r w:rsidR="0001350A" w:rsidRPr="00832F7C">
        <w:t>(2017)</w:t>
      </w:r>
      <w:r w:rsidR="0001350A" w:rsidRPr="00832F7C">
        <w:fldChar w:fldCharType="end"/>
      </w:r>
      <w:r w:rsidR="0001350A" w:rsidRPr="00832F7C">
        <w:t xml:space="preserve"> recently demonstrated that the results of the majority of a random sample of meta-analyses published in psychology cannot be </w:t>
      </w:r>
      <w:r w:rsidR="00A658AD" w:rsidRPr="00832F7C">
        <w:t xml:space="preserve">computationally </w:t>
      </w:r>
      <w:r w:rsidR="0001350A" w:rsidRPr="00832F7C">
        <w:t>reproduced</w:t>
      </w:r>
      <w:r w:rsidR="00B67C69" w:rsidRPr="00832F7C">
        <w:t xml:space="preserve">, </w:t>
      </w:r>
      <w:r w:rsidR="00104D58" w:rsidRPr="00832F7C">
        <w:t>often because of differences in individual effect sizes between those reported in meta-analyses and those reproduced from the original studies</w:t>
      </w:r>
      <w:r w:rsidR="0001350A" w:rsidRPr="00832F7C">
        <w:t xml:space="preserve">. </w:t>
      </w:r>
      <w:r w:rsidR="00104D58" w:rsidRPr="00832F7C">
        <w:t xml:space="preserve">Similarly, </w:t>
      </w:r>
      <w:r w:rsidR="0001350A" w:rsidRPr="00832F7C">
        <w:t xml:space="preserve">Maassen et al. </w:t>
      </w:r>
      <w:r w:rsidR="0001350A" w:rsidRPr="00832F7C">
        <w:fldChar w:fldCharType="begin"/>
      </w:r>
      <w:r w:rsidR="007C23EB" w:rsidRPr="00832F7C">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832F7C">
        <w:fldChar w:fldCharType="separate"/>
      </w:r>
      <w:r w:rsidR="0001350A" w:rsidRPr="00832F7C">
        <w:t>(2020)</w:t>
      </w:r>
      <w:r w:rsidR="0001350A" w:rsidRPr="00832F7C">
        <w:fldChar w:fldCharType="end"/>
      </w:r>
      <w:r w:rsidR="0001350A" w:rsidRPr="00832F7C">
        <w:t xml:space="preserve"> found that almost half of </w:t>
      </w:r>
      <w:r w:rsidR="00B67C69" w:rsidRPr="00832F7C">
        <w:t xml:space="preserve">the individual </w:t>
      </w:r>
      <w:r w:rsidR="0001350A" w:rsidRPr="00832F7C">
        <w:t xml:space="preserve">effect sizes reported in meta-analyses of psychology research could not be reproduced from the original articles. This was attributed to to a variety of issues </w:t>
      </w:r>
      <w:r w:rsidR="006379D2" w:rsidRPr="00832F7C">
        <w:t xml:space="preserve">including </w:t>
      </w:r>
      <w:r w:rsidR="0001350A" w:rsidRPr="00832F7C">
        <w:t xml:space="preserve">errors in the extraction of effect sizes from original studies, insufficient details regarding data processing and transformation of effect sizes, </w:t>
      </w:r>
      <w:r w:rsidR="006379D2" w:rsidRPr="00832F7C">
        <w:t xml:space="preserve">and </w:t>
      </w:r>
      <w:r w:rsidR="0001350A" w:rsidRPr="00832F7C">
        <w:t>insufficient details of the specific meta-analytic approach employed.</w:t>
      </w:r>
      <w:r w:rsidR="00620486" w:rsidRPr="00832F7C">
        <w:t xml:space="preserve"> </w:t>
      </w:r>
      <w:r w:rsidR="007A688D" w:rsidRPr="00832F7C">
        <w:t>Comparable errors in meta-analyses have also been reported by others</w:t>
      </w:r>
      <w:r w:rsidR="003221C9" w:rsidRPr="00832F7C">
        <w:t xml:space="preserve"> </w:t>
      </w:r>
      <w:r w:rsidR="003221C9" w:rsidRPr="00832F7C">
        <w:fldChar w:fldCharType="begin"/>
      </w:r>
      <w:r w:rsidR="003221C9" w:rsidRPr="00832F7C">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832F7C">
        <w:fldChar w:fldCharType="separate"/>
      </w:r>
      <w:r w:rsidR="003221C9" w:rsidRPr="00832F7C">
        <w:t>(e.g., Kadlec et al., 2023; Lakens et al., 2017)</w:t>
      </w:r>
      <w:r w:rsidR="003221C9" w:rsidRPr="00832F7C">
        <w:fldChar w:fldCharType="end"/>
      </w:r>
      <w:r w:rsidR="003221C9" w:rsidRPr="00832F7C">
        <w:t>.</w:t>
      </w:r>
    </w:p>
    <w:p w14:paraId="729B6BEB" w14:textId="1B92C7EB" w:rsidR="00167923" w:rsidRPr="00832F7C" w:rsidRDefault="00000000" w:rsidP="00D77465">
      <w:r w:rsidRPr="00832F7C">
        <w:lastRenderedPageBreak/>
        <w:t xml:space="preserve">Second, </w:t>
      </w:r>
      <w:r w:rsidR="00A22623" w:rsidRPr="00832F7C">
        <w:t>Vahey et al. (2015) has been well-cited and used to guide subsequent work</w:t>
      </w:r>
      <w:r w:rsidR="00166356" w:rsidRPr="00832F7C">
        <w:t>.</w:t>
      </w:r>
      <w:r w:rsidR="00A22623" w:rsidRPr="00832F7C">
        <w:t xml:space="preserve"> </w:t>
      </w:r>
      <w:r w:rsidR="00166356" w:rsidRPr="00832F7C">
        <w:t>A</w:t>
      </w:r>
      <w:r w:rsidR="00A22623" w:rsidRPr="00832F7C">
        <w:t>t the time of writing</w:t>
      </w:r>
      <w:r w:rsidR="00612B35" w:rsidRPr="00832F7C">
        <w:t xml:space="preserve"> in </w:t>
      </w:r>
      <w:r w:rsidR="00D77465" w:rsidRPr="00832F7C">
        <w:t>August</w:t>
      </w:r>
      <w:r w:rsidR="00612B35" w:rsidRPr="00832F7C">
        <w:t xml:space="preserve"> 2024</w:t>
      </w:r>
      <w:r w:rsidR="000954F4" w:rsidRPr="00832F7C">
        <w:t>,</w:t>
      </w:r>
      <w:r w:rsidR="00A22623" w:rsidRPr="00832F7C">
        <w:t xml:space="preserve"> it has been cited </w:t>
      </w:r>
      <w:r w:rsidR="00D17707" w:rsidRPr="00832F7C">
        <w:t>1</w:t>
      </w:r>
      <w:r w:rsidR="00F57646" w:rsidRPr="00832F7C">
        <w:t>4</w:t>
      </w:r>
      <w:r w:rsidR="00D77465" w:rsidRPr="00832F7C">
        <w:t>7</w:t>
      </w:r>
      <w:r w:rsidR="00A22623" w:rsidRPr="00832F7C">
        <w:t xml:space="preserve"> times </w:t>
      </w:r>
      <w:r w:rsidR="00F57646" w:rsidRPr="00832F7C">
        <w:t xml:space="preserve">on Google Scholar, </w:t>
      </w:r>
      <w:r w:rsidR="00A22623" w:rsidRPr="00832F7C">
        <w:t xml:space="preserve">with </w:t>
      </w:r>
      <w:r w:rsidR="00E500EE" w:rsidRPr="00832F7C">
        <w:t xml:space="preserve">many </w:t>
      </w:r>
      <w:r w:rsidR="00A22623" w:rsidRPr="00832F7C">
        <w:t>articles citing it to justify sample size decisions</w:t>
      </w:r>
      <w:r w:rsidR="00AE586D" w:rsidRPr="00832F7C">
        <w:t xml:space="preserve"> in lieu of a power analysis</w:t>
      </w:r>
      <w:r w:rsidR="008D0E58" w:rsidRPr="00832F7C">
        <w:t xml:space="preserve"> for that study</w:t>
      </w:r>
      <w:r w:rsidR="00486207" w:rsidRPr="00832F7C">
        <w:t xml:space="preserve"> </w:t>
      </w:r>
      <w:r w:rsidR="00486207" w:rsidRPr="00832F7C">
        <w:fldChar w:fldCharType="begin"/>
      </w:r>
      <w:r w:rsidR="00486207" w:rsidRPr="00832F7C">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rsidRPr="00832F7C">
        <w:fldChar w:fldCharType="separate"/>
      </w:r>
      <w:r w:rsidR="00486207" w:rsidRPr="00832F7C">
        <w:rPr>
          <w:noProof/>
        </w:rPr>
        <w:t>(e.g., Bast &amp; Barnes-Holmes, 2015; Farrell &amp; McHugh, 2017; Leech et al., 2018; Maloney &amp; Barnes-Holmes, 2016; Power et al., 2017; see supplementary materials for supporting quotes from each)</w:t>
      </w:r>
      <w:r w:rsidR="00486207" w:rsidRPr="00832F7C">
        <w:fldChar w:fldCharType="end"/>
      </w:r>
      <w:r w:rsidR="00A22623" w:rsidRPr="00832F7C">
        <w:t>.</w:t>
      </w:r>
      <w:r w:rsidR="007453D1" w:rsidRPr="00832F7C">
        <w:t xml:space="preserve"> Studies employing the</w:t>
      </w:r>
      <w:r w:rsidR="00A22623" w:rsidRPr="00832F7C">
        <w:t xml:space="preserve"> IRAP have typically involved small sample sizes</w:t>
      </w:r>
      <w:r w:rsidR="00494EFE" w:rsidRPr="00832F7C">
        <w:t xml:space="preserve"> of around 40 </w:t>
      </w:r>
      <w:r w:rsidR="00A50703" w:rsidRPr="00832F7C">
        <w:t xml:space="preserve">participants. </w:t>
      </w:r>
      <w:r w:rsidR="0009015C" w:rsidRPr="00832F7C">
        <w:t>T</w:t>
      </w:r>
      <w:r w:rsidR="00A50703" w:rsidRPr="00832F7C">
        <w:t xml:space="preserve">his </w:t>
      </w:r>
      <w:r w:rsidR="00347726" w:rsidRPr="00832F7C">
        <w:t xml:space="preserve">is </w:t>
      </w:r>
      <w:r w:rsidR="0009015C" w:rsidRPr="00832F7C">
        <w:t xml:space="preserve">frequently argued to be </w:t>
      </w:r>
      <w:r w:rsidR="00347726" w:rsidRPr="00832F7C">
        <w:t xml:space="preserve">acceptable because it </w:t>
      </w:r>
      <w:r w:rsidR="004D304F" w:rsidRPr="00832F7C">
        <w:t xml:space="preserve">is in line with </w:t>
      </w:r>
      <w:r w:rsidR="004A542F">
        <w:t xml:space="preserve">the </w:t>
      </w:r>
      <w:r w:rsidR="00A22623" w:rsidRPr="00832F7C">
        <w:t>sample size recommendation</w:t>
      </w:r>
      <w:r w:rsidR="004A542F">
        <w:t xml:space="preserve"> presented in </w:t>
      </w:r>
      <w:r w:rsidR="004A542F" w:rsidRPr="00832F7C">
        <w:t>Vahey et al. (2015)</w:t>
      </w:r>
      <w:r w:rsidR="002F1558" w:rsidRPr="00832F7C">
        <w:t xml:space="preserve">: “a sample size of at least </w:t>
      </w:r>
      <w:r w:rsidR="002F1558" w:rsidRPr="00832F7C">
        <w:rPr>
          <w:i/>
          <w:iCs/>
        </w:rPr>
        <w:t>N</w:t>
      </w:r>
      <w:r w:rsidR="002F1558" w:rsidRPr="00832F7C">
        <w:t xml:space="preserve"> = 37 would be required in order to achieve a statistical power of .80 when testing a continuous first-order correlation between a </w:t>
      </w:r>
      <w:proofErr w:type="gramStart"/>
      <w:r w:rsidR="002F1558" w:rsidRPr="00832F7C">
        <w:t>clinically-focused</w:t>
      </w:r>
      <w:proofErr w:type="gramEnd"/>
      <w:r w:rsidR="002F1558" w:rsidRPr="00832F7C">
        <w:t xml:space="preserve"> IRAP effect and a given criterion variable” (p. 63).</w:t>
      </w:r>
      <w:r w:rsidR="00126622" w:rsidRPr="00832F7C">
        <w:t xml:space="preserve"> </w:t>
      </w:r>
      <w:r w:rsidR="004A475C" w:rsidRPr="00832F7C">
        <w:t xml:space="preserve">Kavanagh et al. </w:t>
      </w:r>
      <w:r w:rsidR="003D3B8B" w:rsidRPr="00832F7C">
        <w:fldChar w:fldCharType="begin"/>
      </w:r>
      <w:r w:rsidR="007C23EB" w:rsidRPr="00832F7C">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832F7C">
        <w:fldChar w:fldCharType="separate"/>
      </w:r>
      <w:r w:rsidR="003D3B8B" w:rsidRPr="00832F7C">
        <w:rPr>
          <w:noProof/>
        </w:rPr>
        <w:t>(2022, p. 528)</w:t>
      </w:r>
      <w:r w:rsidR="003D3B8B" w:rsidRPr="00832F7C">
        <w:fldChar w:fldCharType="end"/>
      </w:r>
      <w:r w:rsidR="00A22623" w:rsidRPr="00832F7C">
        <w:t xml:space="preserve"> provide</w:t>
      </w:r>
      <w:r w:rsidR="009B4B75" w:rsidRPr="00832F7C">
        <w:t>d</w:t>
      </w:r>
      <w:r w:rsidR="00A22623" w:rsidRPr="00832F7C">
        <w:t xml:space="preserve"> a particularly clear characterization of the </w:t>
      </w:r>
      <w:r w:rsidR="00FF422B" w:rsidRPr="00832F7C">
        <w:t xml:space="preserve">ongoing </w:t>
      </w:r>
      <w:r w:rsidR="00A22623" w:rsidRPr="00832F7C">
        <w:t xml:space="preserve">importance of Vahey et al. </w:t>
      </w:r>
      <w:r w:rsidR="00A22623" w:rsidRPr="00832F7C">
        <w:fldChar w:fldCharType="begin"/>
      </w:r>
      <w:r w:rsidR="007C23EB" w:rsidRPr="00832F7C">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832F7C">
        <w:fldChar w:fldCharType="separate"/>
      </w:r>
      <w:r w:rsidR="00A22623" w:rsidRPr="00832F7C">
        <w:t>(2015)</w:t>
      </w:r>
      <w:r w:rsidR="00A22623" w:rsidRPr="00832F7C">
        <w:fldChar w:fldCharType="end"/>
      </w:r>
      <w:r w:rsidR="00A22623" w:rsidRPr="00832F7C">
        <w:t xml:space="preserve"> for </w:t>
      </w:r>
      <w:r w:rsidR="00CA1794" w:rsidRPr="00832F7C">
        <w:t xml:space="preserve">practices in </w:t>
      </w:r>
      <w:r w:rsidR="00A22623" w:rsidRPr="00832F7C">
        <w:t xml:space="preserve">the broader IRAP literature: </w:t>
      </w:r>
      <w:r w:rsidR="009C05C1" w:rsidRPr="00832F7C">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832F7C">
        <w:t xml:space="preserve">Given that </w:t>
      </w:r>
      <w:r w:rsidR="005B1640" w:rsidRPr="00832F7C">
        <w:t xml:space="preserve">research </w:t>
      </w:r>
      <w:r w:rsidR="00A22623" w:rsidRPr="00832F7C">
        <w:t>continue</w:t>
      </w:r>
      <w:r w:rsidR="005B1640" w:rsidRPr="00832F7C">
        <w:t>s</w:t>
      </w:r>
      <w:r w:rsidR="00A22623" w:rsidRPr="00832F7C">
        <w:t xml:space="preserve"> to rely on the conclusions of </w:t>
      </w:r>
      <w:r w:rsidR="00967B72">
        <w:t xml:space="preserve">the </w:t>
      </w:r>
      <w:r w:rsidR="00A22623" w:rsidRPr="00832F7C">
        <w:t xml:space="preserve">Vahey et al. </w:t>
      </w:r>
      <w:r w:rsidR="00A22623" w:rsidRPr="00832F7C">
        <w:fldChar w:fldCharType="begin"/>
      </w:r>
      <w:r w:rsidR="007C23EB" w:rsidRPr="00832F7C">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832F7C">
        <w:fldChar w:fldCharType="separate"/>
      </w:r>
      <w:r w:rsidR="00A22623" w:rsidRPr="00832F7C">
        <w:t>(2015)</w:t>
      </w:r>
      <w:r w:rsidR="00A22623" w:rsidRPr="00832F7C">
        <w:fldChar w:fldCharType="end"/>
      </w:r>
      <w:r w:rsidR="00A22623" w:rsidRPr="00832F7C">
        <w:t xml:space="preserve"> meta-analysis, </w:t>
      </w:r>
      <w:r w:rsidR="00945F4B" w:rsidRPr="00832F7C">
        <w:t xml:space="preserve">and that meta-analyses in general have been shown to have poor computational reproducibility, </w:t>
      </w:r>
      <w:r w:rsidR="00A22623" w:rsidRPr="00832F7C">
        <w:t xml:space="preserve">it is therefore </w:t>
      </w:r>
      <w:r w:rsidR="00842324" w:rsidRPr="00832F7C">
        <w:t>useful</w:t>
      </w:r>
      <w:r w:rsidR="008B007D" w:rsidRPr="00832F7C">
        <w:t xml:space="preserve"> </w:t>
      </w:r>
      <w:r w:rsidR="00842324" w:rsidRPr="00832F7C">
        <w:t xml:space="preserve">to verify </w:t>
      </w:r>
      <w:r w:rsidR="00967B72">
        <w:t xml:space="preserve">the results presented in </w:t>
      </w:r>
      <w:r w:rsidR="00ED5CE9" w:rsidRPr="00832F7C">
        <w:t>Vahey et al. (2015)</w:t>
      </w:r>
      <w:r w:rsidR="00A22623" w:rsidRPr="00832F7C">
        <w:t xml:space="preserve">. </w:t>
      </w:r>
    </w:p>
    <w:p w14:paraId="3021EFC0" w14:textId="5BC17A84" w:rsidR="00663892" w:rsidRPr="00832F7C" w:rsidRDefault="00663892" w:rsidP="00D77465">
      <w:r w:rsidRPr="00832F7C">
        <w:t xml:space="preserve">Third, Vahey et al. (2015) may have been modest when they reported that </w:t>
      </w:r>
      <w:r w:rsidR="00665A62">
        <w:t>the</w:t>
      </w:r>
      <w:r w:rsidRPr="00832F7C">
        <w:t xml:space="preserve"> results imply the IRAP compares “</w:t>
      </w:r>
      <w:proofErr w:type="spellStart"/>
      <w:r w:rsidRPr="00832F7C">
        <w:t>favorably</w:t>
      </w:r>
      <w:proofErr w:type="spellEnd"/>
      <w:r w:rsidRPr="00832F7C">
        <w:t xml:space="preserve">” with other implicit measures. In fact, Vahey et al.’s (2015) reported meta-analytic effect size of </w:t>
      </w:r>
      <m:oMath>
        <m:acc>
          <m:accPr>
            <m:chr m:val="̅"/>
            <m:ctrlPr>
              <w:rPr>
                <w:rFonts w:ascii="Cambria Math" w:hAnsi="Cambria Math"/>
                <w:i/>
              </w:rPr>
            </m:ctrlPr>
          </m:accPr>
          <m:e>
            <m:r>
              <w:rPr>
                <w:rFonts w:ascii="Cambria Math" w:hAnsi="Cambria Math"/>
              </w:rPr>
              <m:t>r</m:t>
            </m:r>
          </m:e>
        </m:acc>
      </m:oMath>
      <w:r w:rsidRPr="00832F7C">
        <w:t xml:space="preserve"> = .46 would place it in &gt;90</w:t>
      </w:r>
      <w:r w:rsidRPr="00832F7C">
        <w:rPr>
          <w:vertAlign w:val="superscript"/>
        </w:rPr>
        <w:t>th</w:t>
      </w:r>
      <w:r w:rsidRPr="00832F7C">
        <w:t xml:space="preserve"> percentile of all meta-analytic effect sizes reported in psychology (Richard et al., 2003). Given that the IRAP is a reaction-time-based measure, which and such measures are inherently prone to noise and therefore poor reliability (as I discuss in the next section), the original result implies that the </w:t>
      </w:r>
      <w:r w:rsidRPr="00832F7C">
        <w:lastRenderedPageBreak/>
        <w:t xml:space="preserve">IRAP is a truly remarkable measure to be able to correlate so highly with a range of clinical criterion measures. </w:t>
      </w:r>
      <w:proofErr w:type="gramStart"/>
      <w:r w:rsidRPr="00832F7C">
        <w:t>Or,</w:t>
      </w:r>
      <w:proofErr w:type="gramEnd"/>
      <w:r w:rsidRPr="00832F7C">
        <w:t xml:space="preserve"> something is amiss with </w:t>
      </w:r>
      <w:r w:rsidR="00F94C14" w:rsidRPr="00832F7C">
        <w:t xml:space="preserve">the results reported in </w:t>
      </w:r>
      <w:r w:rsidRPr="00832F7C">
        <w:t>Vahey et al. (2015).</w:t>
      </w:r>
    </w:p>
    <w:p w14:paraId="20F75405" w14:textId="77777777" w:rsidR="00663892" w:rsidRPr="00832F7C" w:rsidRDefault="00663892" w:rsidP="00D77465">
      <w:r w:rsidRPr="00832F7C">
        <w:t xml:space="preserve">Fourth, in light of estimates of the IRAP’s low reliability </w:t>
      </w:r>
      <w:r w:rsidRPr="00832F7C">
        <w:fldChar w:fldCharType="begin"/>
      </w:r>
      <w:r w:rsidRPr="00832F7C">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832F7C">
        <w:fldChar w:fldCharType="separate"/>
      </w:r>
      <w:r w:rsidRPr="00832F7C">
        <w:rPr>
          <w:noProof/>
        </w:rPr>
        <w:t>(Hussey &amp; Drake, 2020)</w:t>
      </w:r>
      <w:r w:rsidRPr="00832F7C">
        <w:fldChar w:fldCharType="end"/>
      </w:r>
      <w:r w:rsidRPr="00832F7C">
        <w:t xml:space="preserve">, there is good reason to believe that Vahey et al.’s (2015) meta-analytic estimate of </w:t>
      </w:r>
      <m:oMath>
        <m:acc>
          <m:accPr>
            <m:chr m:val="̅"/>
            <m:ctrlPr>
              <w:rPr>
                <w:rFonts w:ascii="Cambria Math" w:hAnsi="Cambria Math"/>
                <w:i/>
              </w:rPr>
            </m:ctrlPr>
          </m:accPr>
          <m:e>
            <m:r>
              <w:rPr>
                <w:rFonts w:ascii="Cambria Math" w:hAnsi="Cambria Math"/>
              </w:rPr>
              <m:t>r</m:t>
            </m:r>
          </m:e>
        </m:acc>
      </m:oMath>
      <w:r w:rsidRPr="00832F7C">
        <w:t xml:space="preserve"> = .45 is implausibly large. According to classical test theory, a measure's reliability refers to the proportion of the variance that is caused by the construct rather than noise </w:t>
      </w:r>
      <w:r w:rsidRPr="00832F7C">
        <w:fldChar w:fldCharType="begin"/>
      </w:r>
      <w:r w:rsidRPr="00832F7C">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832F7C">
        <w:fldChar w:fldCharType="separate"/>
      </w:r>
      <w:r w:rsidRPr="00832F7C">
        <w:rPr>
          <w:noProof/>
        </w:rPr>
        <w:t>(Allen &amp; Yen, 2002, p.73)</w:t>
      </w:r>
      <w:r w:rsidRPr="00832F7C">
        <w:fldChar w:fldCharType="end"/>
      </w:r>
      <w:r w:rsidRPr="00832F7C">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Pr="00832F7C">
        <w:t xml:space="preserve"> and </w:t>
      </w:r>
      <m:oMath>
        <m:r>
          <w:rPr>
            <w:rFonts w:ascii="Cambria Math" w:hAnsi="Cambria Math"/>
          </w:rPr>
          <m:t>y</m:t>
        </m:r>
      </m:oMath>
      <w:r w:rsidRPr="00832F7C">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Pr="00832F7C">
        <w:t>) is a function of the true 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832F7C">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Pr="00832F7C">
        <w:t xml:space="preserve">). This can be quantified via </w:t>
      </w:r>
      <w:r w:rsidRPr="00832F7C">
        <w:rPr>
          <w:lang w:val="en-US"/>
        </w:rPr>
        <w:t xml:space="preserve">the Attenuation Formula derived from classical test theory </w:t>
      </w:r>
      <w:r w:rsidRPr="00832F7C">
        <w:fldChar w:fldCharType="begin"/>
      </w:r>
      <w:r w:rsidRPr="00832F7C">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832F7C">
        <w:fldChar w:fldCharType="separate"/>
      </w:r>
      <w:r w:rsidRPr="00832F7C">
        <w:rPr>
          <w:noProof/>
        </w:rPr>
        <w:t>(Revelle, 2009, equation 7.3)</w:t>
      </w:r>
      <w:r w:rsidRPr="00832F7C">
        <w:fldChar w:fldCharType="end"/>
      </w:r>
      <w:r w:rsidRPr="00832F7C">
        <w:t>:</w:t>
      </w:r>
    </w:p>
    <w:p w14:paraId="4B5F114B" w14:textId="77777777" w:rsidR="00663892" w:rsidRPr="00832F7C" w:rsidRDefault="00663892" w:rsidP="00D77465"/>
    <w:p w14:paraId="19273D0B" w14:textId="77777777" w:rsidR="00663892" w:rsidRPr="00832F7C" w:rsidRDefault="00000000" w:rsidP="00D77465">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e>
          </m:eqArr>
        </m:oMath>
      </m:oMathPara>
    </w:p>
    <w:p w14:paraId="115D9DD3" w14:textId="77777777" w:rsidR="00663892" w:rsidRPr="00832F7C" w:rsidRDefault="00663892" w:rsidP="00D77465"/>
    <w:p w14:paraId="4F7C5E6D" w14:textId="141EC677" w:rsidR="00663892" w:rsidRPr="00832F7C" w:rsidRDefault="00663892" w:rsidP="00D77465">
      <w:r w:rsidRPr="00832F7C">
        <w:t xml:space="preserve">Two of the variables in Equation 1 already have empirical estimates. First, </w:t>
      </w:r>
      <w:r w:rsidR="0082157D" w:rsidRPr="00832F7C">
        <w:t xml:space="preserve">Vahey et al. (2015) </w:t>
      </w:r>
      <w:r w:rsidR="0082157D">
        <w:t xml:space="preserve">reported an </w:t>
      </w:r>
      <w:r w:rsidRPr="00832F7C">
        <w:t xml:space="preserve">estimate of the </w:t>
      </w:r>
      <w:r w:rsidR="0082157D">
        <w:t xml:space="preserve">average </w:t>
      </w:r>
      <w:r w:rsidRPr="00832F7C">
        <w:t>observed correlation between the IRAP and criterion variables</w:t>
      </w:r>
      <w:r w:rsidR="00D955A3">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832F7C">
        <w:t xml:space="preserve"> </w:t>
      </w:r>
      <w:r w:rsidRPr="00832F7C">
        <w:lastRenderedPageBreak/>
        <w:t>= .27) and test-retest (ICC</w:t>
      </w:r>
      <w:r w:rsidRPr="00832F7C">
        <w:rPr>
          <w:vertAlign w:val="subscript"/>
        </w:rPr>
        <w:t>2</w:t>
      </w:r>
      <w:r w:rsidRPr="00832F7C">
        <w:t xml:space="preserve"> = .18) are extremely low </w:t>
      </w:r>
      <w:r w:rsidRPr="00832F7C">
        <w:fldChar w:fldCharType="begin"/>
      </w:r>
      <w:r w:rsidRPr="00832F7C">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832F7C">
        <w:fldChar w:fldCharType="separate"/>
      </w:r>
      <w:r w:rsidRPr="00832F7C">
        <w:rPr>
          <w:noProof/>
        </w:rPr>
        <w:t>(Hussey &amp; Drake, 2020)</w:t>
      </w:r>
      <w:r w:rsidRPr="00832F7C">
        <w:fldChar w:fldCharType="end"/>
      </w:r>
      <w:r w:rsidRPr="00832F7C">
        <w:t>.</w:t>
      </w:r>
      <w:r w:rsidRPr="00832F7C">
        <w:rPr>
          <w:rStyle w:val="FootnoteReference"/>
        </w:rPr>
        <w:footnoteReference w:id="1"/>
      </w:r>
      <w:r w:rsidRPr="00832F7C">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832F7C">
        <w:t xml:space="preserve">). </w:t>
      </w:r>
      <w:proofErr w:type="gramStart"/>
      <w:r w:rsidRPr="00832F7C">
        <w:t>Both of these</w:t>
      </w:r>
      <w:proofErr w:type="gramEnd"/>
      <w:r w:rsidRPr="00832F7C">
        <w:t xml:space="preserve"> variables share the same constraint: as correlations, their value cannot be below -1 or above 1.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832F7C">
        <w:t xml:space="preserve"> = 0.90)</w:t>
      </w:r>
      <w:r w:rsidR="00C42A74">
        <w:t>, t</w:t>
      </w:r>
      <w:r w:rsidRPr="00832F7C">
        <w:t xml:space="preserve">his would imply that the lower limit of the IRAP’s true criterion validity after adjusting for measurement error is somewhere between (a) 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 .91 (when using the estimate of internal consistency), and (b) 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832F7C">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 1.04 or 1.27 respectively). </w:t>
      </w:r>
    </w:p>
    <w:p w14:paraId="2AB7AB4F" w14:textId="13E78FE0" w:rsidR="00663892" w:rsidRPr="00832F7C" w:rsidRDefault="00663892" w:rsidP="00D77465">
      <w:r w:rsidRPr="00832F7C">
        <w:t xml:space="preserve">Given that these estimates range between highly implausible and impossible, something appears to be amiss. Either </w:t>
      </w:r>
      <w:r w:rsidR="002A735B">
        <w:t xml:space="preserve">the </w:t>
      </w:r>
      <w:r w:rsidRPr="00832F7C">
        <w:t xml:space="preserve">estimate of average criterion associations </w:t>
      </w:r>
      <w:r w:rsidR="002A735B">
        <w:t xml:space="preserve">reported in </w:t>
      </w:r>
      <w:r w:rsidR="002A735B" w:rsidRPr="00832F7C">
        <w:t xml:space="preserve">Vahey et al. (2015) </w:t>
      </w:r>
      <w:r w:rsidRPr="00832F7C">
        <w:t>is somewhere between highly implausible and mathematically impossible given the IRAP</w:t>
      </w:r>
      <w:r w:rsidR="002A735B">
        <w:t>’</w:t>
      </w:r>
      <w:r w:rsidRPr="00832F7C">
        <w:t xml:space="preserve">s reliability (i.e., assuming Hussey &amp; Drake 2020 are right about the IRAP’s reliability), or Hussey &amp; Drake's (2020) estimates of the IRAP's average reliability is implausibly low given the IRAP's high criterion validity (i.e., assuming Vahey et al., 2015, are right about the IRAP’s criterion validity). Ultimately it will be up to the </w:t>
      </w:r>
      <w:r w:rsidRPr="00832F7C">
        <w:lastRenderedPageBreak/>
        <w:t xml:space="preserve">research community to determine whether </w:t>
      </w:r>
      <w:r w:rsidR="00C3403D" w:rsidRPr="00832F7C">
        <w:t>the</w:t>
      </w:r>
      <w:r w:rsidRPr="00832F7C">
        <w:t xml:space="preserve"> analyses in Hussey &amp; Drake (2020) are sound</w:t>
      </w:r>
      <w:r w:rsidR="004D761B" w:rsidRPr="00832F7C">
        <w:t xml:space="preserve">. </w:t>
      </w:r>
      <w:r w:rsidR="004D761B" w:rsidRPr="00832F7C">
        <w:rPr>
          <w:highlight w:val="yellow"/>
        </w:rPr>
        <w:t>[BLINDED FOR PEER REVIEW]</w:t>
      </w:r>
    </w:p>
    <w:p w14:paraId="6333CFFC" w14:textId="77777777" w:rsidR="00663892" w:rsidRPr="00832F7C" w:rsidRDefault="00663892" w:rsidP="00D77465">
      <w:pPr>
        <w:pStyle w:val="Heading1"/>
      </w:pPr>
      <w:r w:rsidRPr="00832F7C">
        <w:t>Method &amp; Results</w:t>
      </w:r>
    </w:p>
    <w:p w14:paraId="1957DD92" w14:textId="4FF51426" w:rsidR="00663892" w:rsidRPr="00832F7C" w:rsidRDefault="00663892" w:rsidP="00053DFD">
      <w:r w:rsidRPr="00832F7C">
        <w:t xml:space="preserve">Vahey et al. (2015) reported the steps in their analyses in the conventional order: they identified effect sizes in the original article, applied inclusion and exclusion criteria, extracted them, converted them to Pearson’s </w:t>
      </w:r>
      <w:r w:rsidRPr="00832F7C">
        <w:rPr>
          <w:i/>
          <w:iCs/>
        </w:rPr>
        <w:t>r</w:t>
      </w:r>
      <w:r w:rsidRPr="00832F7C">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5ADBFA83" w14:textId="77777777" w:rsidR="00663892" w:rsidRPr="00832F7C" w:rsidRDefault="00663892" w:rsidP="00E0687A">
      <w:pPr>
        <w:pStyle w:val="Heading2"/>
      </w:pPr>
      <w:r w:rsidRPr="00832F7C">
        <w:t>Transparency statement</w:t>
      </w:r>
    </w:p>
    <w:p w14:paraId="6BFE2C37" w14:textId="258C0BB4" w:rsidR="000967B0" w:rsidRPr="00832F7C" w:rsidRDefault="00663892" w:rsidP="00E0687A">
      <w:pPr>
        <w:sectPr w:rsidR="000967B0" w:rsidRPr="00832F7C" w:rsidSect="00D77465">
          <w:type w:val="continuous"/>
          <w:pgSz w:w="11900" w:h="16840"/>
          <w:pgMar w:top="1440" w:right="1440" w:bottom="1440" w:left="1440" w:header="709" w:footer="709" w:gutter="0"/>
          <w:cols w:space="340"/>
          <w:docGrid w:linePitch="360"/>
          <w15:footnoteColumns w:val="1"/>
        </w:sectPr>
      </w:pPr>
      <w:r w:rsidRPr="00832F7C">
        <w:t xml:space="preserve">All data, code, and formulae (e.g., to convert effect sizes) to reproduce the verification and extension analyses can be found in the supplementary materials (see </w:t>
      </w:r>
      <w:r w:rsidR="00053DFD" w:rsidRPr="00832F7C">
        <w:rPr>
          <w:highlight w:val="yellow"/>
        </w:rPr>
        <w:t>https://osf.io/jg8td/?view_only=b1ff22e706ac43188604bb5d08098925</w:t>
      </w:r>
      <w:r w:rsidRPr="00832F7C">
        <w:t xml:space="preserve">). In the process of conducting this verification attempt, I contacted the corresponding </w:t>
      </w:r>
      <w:r w:rsidR="00E0687A" w:rsidRPr="00832F7C">
        <w:t xml:space="preserve">author of Vahey et al. (2015) and requested that they share their code or further details of their analytic approach, who declined. In July 2019, I shared a copy of an earlier version of these verification attempts with the corresponding author, including code, data, and a set of slides outlining my concerns about the credibility of their findings. In </w:t>
      </w:r>
      <w:proofErr w:type="gramStart"/>
      <w:r w:rsidR="00E0687A" w:rsidRPr="00832F7C">
        <w:t>August 2024</w:t>
      </w:r>
      <w:proofErr w:type="gramEnd"/>
      <w:r w:rsidR="00E0687A" w:rsidRPr="00832F7C">
        <w:t xml:space="preserve"> I sent them a copy of this manuscript and its materials and invited them to comment on the accuracy of the claims presented here, but they declined. No corrections of Vahey et al. (2015) have been issued at the time of writing (July 2024), and to the best of my knowledge, the authors of Vahey et al. (2015) have made no public statements about these concerns about the credibility of their article’s claims. Multiple years after I initially raised these concerns, the senior author of </w:t>
      </w:r>
      <w:r w:rsidR="00E0687A" w:rsidRPr="00832F7C">
        <w:lastRenderedPageBreak/>
        <w:t xml:space="preserve">Vahey et al. (2015) has continued to cite the article </w:t>
      </w:r>
      <w:proofErr w:type="spellStart"/>
      <w:r w:rsidR="00E0687A" w:rsidRPr="00832F7C">
        <w:t>favorably</w:t>
      </w:r>
      <w:proofErr w:type="spellEnd"/>
      <w:r w:rsidR="00E0687A" w:rsidRPr="00832F7C">
        <w:t xml:space="preserve"> as evidence for the IRAP's validity </w:t>
      </w:r>
      <w:r w:rsidR="00E0687A" w:rsidRPr="00832F7C">
        <w:fldChar w:fldCharType="begin"/>
      </w:r>
      <w:r w:rsidR="00E0687A" w:rsidRPr="00832F7C">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E0687A" w:rsidRPr="00832F7C">
        <w:fldChar w:fldCharType="separate"/>
      </w:r>
      <w:r w:rsidR="00E0687A" w:rsidRPr="00832F7C">
        <w:rPr>
          <w:noProof/>
        </w:rPr>
        <w:t>(e.g., in Barnes-Holmes &amp; Harte, 2022a, 2022b)</w:t>
      </w:r>
      <w:r w:rsidR="00E0687A" w:rsidRPr="00832F7C">
        <w:fldChar w:fldCharType="end"/>
      </w:r>
      <w:r w:rsidR="00E0687A" w:rsidRPr="00832F7C">
        <w:t>.</w:t>
      </w:r>
    </w:p>
    <w:p w14:paraId="71164B1A" w14:textId="77777777" w:rsidR="00053DFD" w:rsidRPr="00832F7C" w:rsidRDefault="00053DFD">
      <w:pPr>
        <w:spacing w:line="240" w:lineRule="auto"/>
        <w:ind w:firstLine="0"/>
        <w:rPr>
          <w:b/>
          <w:bCs/>
        </w:rPr>
      </w:pPr>
      <w:r w:rsidRPr="00832F7C">
        <w:rPr>
          <w:b/>
          <w:bCs/>
        </w:rPr>
        <w:br w:type="page"/>
      </w:r>
    </w:p>
    <w:p w14:paraId="5FC7122C" w14:textId="08A9B1CA" w:rsidR="000967B0" w:rsidRPr="00832F7C" w:rsidRDefault="00000000" w:rsidP="00E0687A">
      <w:pPr>
        <w:ind w:firstLine="0"/>
        <w:rPr>
          <w:b/>
          <w:bCs/>
        </w:rPr>
      </w:pPr>
      <w:r w:rsidRPr="00832F7C">
        <w:rPr>
          <w:b/>
          <w:bCs/>
        </w:rPr>
        <w:lastRenderedPageBreak/>
        <w:t xml:space="preserve">Table 1. </w:t>
      </w:r>
      <w:r w:rsidRPr="00832F7C">
        <w:t>Verifications of power analyses for 80% power.</w:t>
      </w: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990"/>
        <w:gridCol w:w="2063"/>
        <w:gridCol w:w="626"/>
        <w:gridCol w:w="930"/>
        <w:gridCol w:w="898"/>
        <w:gridCol w:w="622"/>
        <w:gridCol w:w="886"/>
      </w:tblGrid>
      <w:tr w:rsidR="00AA6907" w:rsidRPr="00832F7C" w14:paraId="3170701E" w14:textId="77777777" w:rsidTr="00AE3B51">
        <w:trPr>
          <w:tblHeader/>
          <w:jc w:val="center"/>
        </w:trPr>
        <w:tc>
          <w:tcPr>
            <w:tcW w:w="1980" w:type="dxa"/>
            <w:tcBorders>
              <w:bottom w:val="nil"/>
            </w:tcBorders>
            <w:shd w:val="clear" w:color="auto" w:fill="auto"/>
            <w:tcMar>
              <w:top w:w="0" w:type="dxa"/>
              <w:left w:w="75" w:type="dxa"/>
              <w:bottom w:w="0" w:type="dxa"/>
              <w:right w:w="75" w:type="dxa"/>
            </w:tcMar>
            <w:vAlign w:val="center"/>
          </w:tcPr>
          <w:p w14:paraId="7311039D" w14:textId="77777777" w:rsidR="00A30DBD" w:rsidRPr="00832F7C" w:rsidRDefault="00A30DBD" w:rsidP="007742A5">
            <w:pPr>
              <w:pStyle w:val="table"/>
              <w:spacing w:line="240" w:lineRule="auto"/>
              <w:rPr>
                <w:sz w:val="24"/>
                <w:szCs w:val="24"/>
              </w:rPr>
            </w:pPr>
          </w:p>
        </w:tc>
        <w:tc>
          <w:tcPr>
            <w:tcW w:w="990" w:type="dxa"/>
            <w:tcBorders>
              <w:bottom w:val="nil"/>
            </w:tcBorders>
            <w:shd w:val="clear" w:color="auto" w:fill="auto"/>
            <w:tcMar>
              <w:top w:w="0" w:type="dxa"/>
              <w:left w:w="75" w:type="dxa"/>
              <w:bottom w:w="0" w:type="dxa"/>
              <w:right w:w="75" w:type="dxa"/>
            </w:tcMar>
            <w:vAlign w:val="center"/>
          </w:tcPr>
          <w:p w14:paraId="6EC491DF" w14:textId="77777777" w:rsidR="00A30DBD" w:rsidRPr="00832F7C" w:rsidRDefault="00A30DBD" w:rsidP="007742A5">
            <w:pPr>
              <w:pStyle w:val="table"/>
              <w:spacing w:line="240" w:lineRule="auto"/>
              <w:rPr>
                <w:sz w:val="24"/>
                <w:szCs w:val="24"/>
              </w:rPr>
            </w:pPr>
          </w:p>
        </w:tc>
        <w:tc>
          <w:tcPr>
            <w:tcW w:w="2063" w:type="dxa"/>
            <w:tcBorders>
              <w:bottom w:val="nil"/>
            </w:tcBorders>
            <w:shd w:val="clear" w:color="auto" w:fill="auto"/>
            <w:tcMar>
              <w:top w:w="0" w:type="dxa"/>
              <w:left w:w="75" w:type="dxa"/>
              <w:bottom w:w="0" w:type="dxa"/>
              <w:right w:w="75" w:type="dxa"/>
            </w:tcMar>
            <w:vAlign w:val="center"/>
          </w:tcPr>
          <w:p w14:paraId="061D112D" w14:textId="77777777" w:rsidR="00A30DBD" w:rsidRPr="00832F7C" w:rsidRDefault="00A30DBD" w:rsidP="007742A5">
            <w:pPr>
              <w:pStyle w:val="table"/>
              <w:spacing w:line="240" w:lineRule="auto"/>
              <w:rPr>
                <w:sz w:val="24"/>
                <w:szCs w:val="24"/>
              </w:rPr>
            </w:pPr>
          </w:p>
        </w:tc>
        <w:tc>
          <w:tcPr>
            <w:tcW w:w="1556" w:type="dxa"/>
            <w:gridSpan w:val="2"/>
            <w:tcBorders>
              <w:bottom w:val="single" w:sz="4" w:space="0" w:color="auto"/>
            </w:tcBorders>
            <w:shd w:val="clear" w:color="auto" w:fill="auto"/>
            <w:tcMar>
              <w:top w:w="0" w:type="dxa"/>
              <w:left w:w="75" w:type="dxa"/>
              <w:bottom w:w="0" w:type="dxa"/>
              <w:right w:w="75" w:type="dxa"/>
            </w:tcMar>
            <w:vAlign w:val="center"/>
          </w:tcPr>
          <w:p w14:paraId="242893E3" w14:textId="0FAB2B71" w:rsidR="00A30DBD" w:rsidRPr="00832F7C" w:rsidRDefault="00000000" w:rsidP="00AE3B51">
            <w:pPr>
              <w:pStyle w:val="table"/>
              <w:spacing w:line="240" w:lineRule="auto"/>
              <w:jc w:val="center"/>
              <w:rPr>
                <w:sz w:val="24"/>
                <w:szCs w:val="24"/>
              </w:rPr>
            </w:pPr>
            <w:r w:rsidRPr="00832F7C">
              <w:rPr>
                <w:sz w:val="24"/>
                <w:szCs w:val="24"/>
              </w:rPr>
              <w:t>Vahey et al. (2015)</w:t>
            </w:r>
          </w:p>
        </w:tc>
        <w:tc>
          <w:tcPr>
            <w:tcW w:w="898" w:type="dxa"/>
            <w:tcBorders>
              <w:bottom w:val="single" w:sz="4" w:space="0" w:color="auto"/>
            </w:tcBorders>
            <w:vAlign w:val="center"/>
          </w:tcPr>
          <w:p w14:paraId="43BE2935" w14:textId="77777777" w:rsidR="00A30DBD" w:rsidRPr="00832F7C" w:rsidRDefault="00000000" w:rsidP="00AE3B51">
            <w:pPr>
              <w:pStyle w:val="table"/>
              <w:spacing w:line="240" w:lineRule="auto"/>
              <w:jc w:val="center"/>
              <w:rPr>
                <w:sz w:val="24"/>
                <w:szCs w:val="24"/>
              </w:rPr>
            </w:pPr>
            <w:r w:rsidRPr="00832F7C">
              <w:rPr>
                <w:sz w:val="24"/>
                <w:szCs w:val="24"/>
              </w:rPr>
              <w:t>Verified</w:t>
            </w:r>
          </w:p>
        </w:tc>
        <w:tc>
          <w:tcPr>
            <w:tcW w:w="1508" w:type="dxa"/>
            <w:gridSpan w:val="2"/>
            <w:tcBorders>
              <w:bottom w:val="single" w:sz="4" w:space="0" w:color="auto"/>
            </w:tcBorders>
            <w:vAlign w:val="center"/>
          </w:tcPr>
          <w:p w14:paraId="713FA381" w14:textId="77777777" w:rsidR="00A30DBD" w:rsidRPr="00832F7C" w:rsidRDefault="00000000" w:rsidP="00AE3B51">
            <w:pPr>
              <w:pStyle w:val="table"/>
              <w:spacing w:line="240" w:lineRule="auto"/>
              <w:jc w:val="center"/>
              <w:rPr>
                <w:sz w:val="24"/>
                <w:szCs w:val="24"/>
              </w:rPr>
            </w:pPr>
            <w:r w:rsidRPr="00832F7C">
              <w:rPr>
                <w:sz w:val="24"/>
                <w:szCs w:val="24"/>
              </w:rPr>
              <w:t>New meta-analysis</w:t>
            </w:r>
          </w:p>
        </w:tc>
      </w:tr>
      <w:tr w:rsidR="00AA6907" w:rsidRPr="00832F7C" w14:paraId="4079C385" w14:textId="77777777" w:rsidTr="00AE3B51">
        <w:trPr>
          <w:tblHeade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14:paraId="418A0A16" w14:textId="77777777" w:rsidR="00A30DBD" w:rsidRPr="00832F7C" w:rsidRDefault="00000000" w:rsidP="007742A5">
            <w:pPr>
              <w:pStyle w:val="table"/>
              <w:spacing w:line="240" w:lineRule="auto"/>
              <w:rPr>
                <w:sz w:val="24"/>
                <w:szCs w:val="24"/>
              </w:rPr>
            </w:pPr>
            <w:r w:rsidRPr="00832F7C">
              <w:rPr>
                <w:sz w:val="24"/>
                <w:szCs w:val="24"/>
              </w:rPr>
              <w:t>Test</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67B1CA01" w14:textId="77777777" w:rsidR="00A30DBD" w:rsidRPr="00832F7C" w:rsidRDefault="00000000" w:rsidP="007742A5">
            <w:pPr>
              <w:pStyle w:val="table"/>
              <w:spacing w:line="240" w:lineRule="auto"/>
              <w:rPr>
                <w:sz w:val="24"/>
                <w:szCs w:val="24"/>
              </w:rPr>
            </w:pPr>
            <w:r w:rsidRPr="00832F7C">
              <w:rPr>
                <w:sz w:val="24"/>
                <w:szCs w:val="24"/>
              </w:rPr>
              <w:t>Tails</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14:paraId="2A9F644D" w14:textId="77777777" w:rsidR="00A30DBD" w:rsidRPr="00832F7C" w:rsidRDefault="00000000" w:rsidP="007742A5">
            <w:pPr>
              <w:pStyle w:val="table"/>
              <w:spacing w:line="240" w:lineRule="auto"/>
              <w:rPr>
                <w:sz w:val="24"/>
                <w:szCs w:val="24"/>
              </w:rPr>
            </w:pPr>
            <w:r w:rsidRPr="00832F7C">
              <w:rPr>
                <w:sz w:val="24"/>
                <w:szCs w:val="24"/>
              </w:rPr>
              <w:t>Estimated using*</w:t>
            </w:r>
          </w:p>
        </w:tc>
        <w:tc>
          <w:tcPr>
            <w:tcW w:w="626"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FD7B2F1" w14:textId="77777777" w:rsidR="00A30DBD" w:rsidRPr="00832F7C" w:rsidRDefault="00000000" w:rsidP="00AE3B51">
            <w:pPr>
              <w:pStyle w:val="table"/>
              <w:spacing w:line="240" w:lineRule="auto"/>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rPr>
                      <m:t>r</m:t>
                    </m:r>
                  </m:e>
                </m:acc>
              </m:oMath>
            </m:oMathPara>
          </w:p>
        </w:tc>
        <w:tc>
          <w:tcPr>
            <w:tcW w:w="930" w:type="dxa"/>
            <w:tcBorders>
              <w:top w:val="single" w:sz="4" w:space="0" w:color="auto"/>
              <w:bottom w:val="single" w:sz="4" w:space="0" w:color="auto"/>
            </w:tcBorders>
            <w:vAlign w:val="center"/>
          </w:tcPr>
          <w:p w14:paraId="50F8A0A4" w14:textId="77777777" w:rsidR="00A30DBD" w:rsidRPr="00832F7C" w:rsidRDefault="00000000" w:rsidP="00AE3B51">
            <w:pPr>
              <w:pStyle w:val="table"/>
              <w:spacing w:line="240" w:lineRule="auto"/>
              <w:jc w:val="center"/>
              <w:rPr>
                <w:sz w:val="24"/>
                <w:szCs w:val="24"/>
              </w:rPr>
            </w:pPr>
            <w:r w:rsidRPr="00832F7C">
              <w:rPr>
                <w:sz w:val="24"/>
                <w:szCs w:val="24"/>
              </w:rPr>
              <w:t>N</w:t>
            </w:r>
          </w:p>
        </w:tc>
        <w:tc>
          <w:tcPr>
            <w:tcW w:w="898" w:type="dxa"/>
            <w:tcBorders>
              <w:top w:val="single" w:sz="4" w:space="0" w:color="auto"/>
              <w:bottom w:val="single" w:sz="4" w:space="0" w:color="auto"/>
            </w:tcBorders>
            <w:vAlign w:val="center"/>
          </w:tcPr>
          <w:p w14:paraId="6D378C4A" w14:textId="77777777" w:rsidR="00A30DBD" w:rsidRPr="00832F7C" w:rsidRDefault="00000000" w:rsidP="00AE3B51">
            <w:pPr>
              <w:pStyle w:val="table"/>
              <w:spacing w:line="240" w:lineRule="auto"/>
              <w:jc w:val="center"/>
              <w:rPr>
                <w:sz w:val="24"/>
                <w:szCs w:val="24"/>
              </w:rPr>
            </w:pPr>
            <w:r w:rsidRPr="00832F7C">
              <w:rPr>
                <w:sz w:val="24"/>
                <w:szCs w:val="24"/>
              </w:rPr>
              <w:t>N</w:t>
            </w:r>
          </w:p>
        </w:tc>
        <w:tc>
          <w:tcPr>
            <w:tcW w:w="622" w:type="dxa"/>
            <w:tcBorders>
              <w:top w:val="single" w:sz="4" w:space="0" w:color="auto"/>
              <w:bottom w:val="single" w:sz="4" w:space="0" w:color="auto"/>
            </w:tcBorders>
            <w:vAlign w:val="center"/>
          </w:tcPr>
          <w:p w14:paraId="070DF57D" w14:textId="77777777" w:rsidR="00A30DBD" w:rsidRPr="00832F7C" w:rsidRDefault="00000000" w:rsidP="00AE3B51">
            <w:pPr>
              <w:pStyle w:val="table"/>
              <w:spacing w:line="240" w:lineRule="auto"/>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rPr>
                      <m:t>r</m:t>
                    </m:r>
                  </m:e>
                </m:acc>
              </m:oMath>
            </m:oMathPara>
          </w:p>
        </w:tc>
        <w:tc>
          <w:tcPr>
            <w:tcW w:w="886" w:type="dxa"/>
            <w:tcBorders>
              <w:top w:val="single" w:sz="4" w:space="0" w:color="auto"/>
              <w:bottom w:val="single" w:sz="4" w:space="0" w:color="auto"/>
            </w:tcBorders>
            <w:vAlign w:val="center"/>
          </w:tcPr>
          <w:p w14:paraId="3D8F609A" w14:textId="77777777" w:rsidR="00A30DBD" w:rsidRPr="00832F7C" w:rsidRDefault="00000000" w:rsidP="00AE3B51">
            <w:pPr>
              <w:pStyle w:val="table"/>
              <w:spacing w:line="240" w:lineRule="auto"/>
              <w:jc w:val="center"/>
              <w:rPr>
                <w:sz w:val="24"/>
                <w:szCs w:val="24"/>
              </w:rPr>
            </w:pPr>
            <w:r w:rsidRPr="00832F7C">
              <w:rPr>
                <w:sz w:val="24"/>
                <w:szCs w:val="24"/>
              </w:rPr>
              <w:t>N</w:t>
            </w:r>
          </w:p>
        </w:tc>
      </w:tr>
      <w:tr w:rsidR="00AA6907" w:rsidRPr="00832F7C" w14:paraId="3A89BAB1" w14:textId="77777777" w:rsidTr="00AE3B51">
        <w:trPr>
          <w:jc w:val="center"/>
        </w:trPr>
        <w:tc>
          <w:tcPr>
            <w:tcW w:w="1980" w:type="dxa"/>
            <w:tcBorders>
              <w:top w:val="single" w:sz="4" w:space="0" w:color="auto"/>
            </w:tcBorders>
            <w:shd w:val="clear" w:color="auto" w:fill="auto"/>
            <w:tcMar>
              <w:top w:w="0" w:type="dxa"/>
              <w:left w:w="75" w:type="dxa"/>
              <w:bottom w:w="0" w:type="dxa"/>
              <w:right w:w="75" w:type="dxa"/>
            </w:tcMar>
            <w:vAlign w:val="center"/>
            <w:hideMark/>
          </w:tcPr>
          <w:p w14:paraId="1A4E9B69" w14:textId="77777777" w:rsidR="00A30DBD" w:rsidRPr="00832F7C" w:rsidRDefault="00000000" w:rsidP="007742A5">
            <w:pPr>
              <w:pStyle w:val="table"/>
              <w:spacing w:line="240" w:lineRule="auto"/>
              <w:rPr>
                <w:sz w:val="24"/>
                <w:szCs w:val="24"/>
              </w:rPr>
            </w:pPr>
            <w:r w:rsidRPr="00832F7C">
              <w:rPr>
                <w:sz w:val="24"/>
                <w:szCs w:val="24"/>
              </w:rPr>
              <w:t xml:space="preserve">Pearson’s </w:t>
            </w:r>
            <w:r w:rsidRPr="00832F7C">
              <w:rPr>
                <w:i/>
                <w:iCs/>
                <w:sz w:val="24"/>
                <w:szCs w:val="24"/>
              </w:rPr>
              <w:t>r</w:t>
            </w:r>
          </w:p>
        </w:tc>
        <w:tc>
          <w:tcPr>
            <w:tcW w:w="990" w:type="dxa"/>
            <w:tcBorders>
              <w:top w:val="single" w:sz="4" w:space="0" w:color="auto"/>
            </w:tcBorders>
            <w:shd w:val="clear" w:color="auto" w:fill="auto"/>
            <w:tcMar>
              <w:top w:w="0" w:type="dxa"/>
              <w:left w:w="75" w:type="dxa"/>
              <w:bottom w:w="0" w:type="dxa"/>
              <w:right w:w="75" w:type="dxa"/>
            </w:tcMar>
            <w:vAlign w:val="center"/>
            <w:hideMark/>
          </w:tcPr>
          <w:p w14:paraId="54ACD9AB" w14:textId="77777777" w:rsidR="00A30DBD" w:rsidRPr="00832F7C" w:rsidRDefault="00000000" w:rsidP="007742A5">
            <w:pPr>
              <w:pStyle w:val="table"/>
              <w:spacing w:line="240" w:lineRule="auto"/>
              <w:rPr>
                <w:sz w:val="24"/>
                <w:szCs w:val="24"/>
              </w:rPr>
            </w:pPr>
            <w:r w:rsidRPr="00832F7C">
              <w:rPr>
                <w:sz w:val="24"/>
                <w:szCs w:val="24"/>
              </w:rPr>
              <w:t>One</w:t>
            </w:r>
          </w:p>
        </w:tc>
        <w:tc>
          <w:tcPr>
            <w:tcW w:w="2063" w:type="dxa"/>
            <w:tcBorders>
              <w:top w:val="single" w:sz="4" w:space="0" w:color="auto"/>
            </w:tcBorders>
            <w:shd w:val="clear" w:color="auto" w:fill="auto"/>
            <w:tcMar>
              <w:top w:w="0" w:type="dxa"/>
              <w:left w:w="75" w:type="dxa"/>
              <w:bottom w:w="0" w:type="dxa"/>
              <w:right w:w="75" w:type="dxa"/>
            </w:tcMar>
            <w:vAlign w:val="center"/>
            <w:hideMark/>
          </w:tcPr>
          <w:p w14:paraId="06275CC0" w14:textId="77777777" w:rsidR="00A30DBD" w:rsidRPr="00832F7C" w:rsidRDefault="00000000" w:rsidP="007742A5">
            <w:pPr>
              <w:pStyle w:val="table"/>
              <w:spacing w:line="240" w:lineRule="auto"/>
              <w:rPr>
                <w:sz w:val="24"/>
                <w:szCs w:val="24"/>
              </w:rPr>
            </w:pPr>
            <w:r w:rsidRPr="00832F7C">
              <w:rPr>
                <w:sz w:val="24"/>
                <w:szCs w:val="24"/>
              </w:rPr>
              <w:t>Point estimate</w:t>
            </w:r>
          </w:p>
        </w:tc>
        <w:tc>
          <w:tcPr>
            <w:tcW w:w="626" w:type="dxa"/>
            <w:tcBorders>
              <w:top w:val="single" w:sz="4" w:space="0" w:color="auto"/>
            </w:tcBorders>
            <w:shd w:val="clear" w:color="auto" w:fill="auto"/>
            <w:tcMar>
              <w:top w:w="0" w:type="dxa"/>
              <w:left w:w="75" w:type="dxa"/>
              <w:bottom w:w="0" w:type="dxa"/>
              <w:right w:w="75" w:type="dxa"/>
            </w:tcMar>
            <w:vAlign w:val="center"/>
            <w:hideMark/>
          </w:tcPr>
          <w:p w14:paraId="2F1DED3F" w14:textId="77777777" w:rsidR="00A30DBD" w:rsidRPr="00832F7C" w:rsidRDefault="00000000" w:rsidP="00AE3B51">
            <w:pPr>
              <w:pStyle w:val="table"/>
              <w:spacing w:line="240" w:lineRule="auto"/>
              <w:jc w:val="center"/>
              <w:rPr>
                <w:sz w:val="24"/>
                <w:szCs w:val="24"/>
              </w:rPr>
            </w:pPr>
            <w:r w:rsidRPr="00832F7C">
              <w:rPr>
                <w:sz w:val="24"/>
                <w:szCs w:val="24"/>
              </w:rPr>
              <w:t>0.45</w:t>
            </w:r>
          </w:p>
        </w:tc>
        <w:tc>
          <w:tcPr>
            <w:tcW w:w="930" w:type="dxa"/>
            <w:tcBorders>
              <w:top w:val="single" w:sz="4" w:space="0" w:color="auto"/>
            </w:tcBorders>
            <w:vAlign w:val="center"/>
          </w:tcPr>
          <w:p w14:paraId="2A2345E8" w14:textId="77777777" w:rsidR="00A30DBD" w:rsidRPr="00832F7C" w:rsidRDefault="00000000" w:rsidP="00AE3B51">
            <w:pPr>
              <w:pStyle w:val="table"/>
              <w:spacing w:line="240" w:lineRule="auto"/>
              <w:jc w:val="center"/>
              <w:rPr>
                <w:sz w:val="24"/>
                <w:szCs w:val="24"/>
              </w:rPr>
            </w:pPr>
            <w:r w:rsidRPr="00832F7C">
              <w:rPr>
                <w:sz w:val="24"/>
                <w:szCs w:val="24"/>
              </w:rPr>
              <w:t>29</w:t>
            </w:r>
          </w:p>
        </w:tc>
        <w:tc>
          <w:tcPr>
            <w:tcW w:w="898" w:type="dxa"/>
            <w:tcBorders>
              <w:top w:val="single" w:sz="4" w:space="0" w:color="auto"/>
            </w:tcBorders>
            <w:vAlign w:val="center"/>
          </w:tcPr>
          <w:p w14:paraId="263D9BB7" w14:textId="77777777" w:rsidR="00A30DBD" w:rsidRPr="00832F7C" w:rsidRDefault="00000000" w:rsidP="00AE3B51">
            <w:pPr>
              <w:pStyle w:val="table"/>
              <w:spacing w:line="240" w:lineRule="auto"/>
              <w:jc w:val="center"/>
              <w:rPr>
                <w:sz w:val="24"/>
                <w:szCs w:val="24"/>
              </w:rPr>
            </w:pPr>
            <w:r w:rsidRPr="00832F7C">
              <w:rPr>
                <w:sz w:val="24"/>
                <w:szCs w:val="24"/>
              </w:rPr>
              <w:t>29</w:t>
            </w:r>
          </w:p>
        </w:tc>
        <w:tc>
          <w:tcPr>
            <w:tcW w:w="622" w:type="dxa"/>
            <w:tcBorders>
              <w:top w:val="single" w:sz="4" w:space="0" w:color="auto"/>
            </w:tcBorders>
            <w:vAlign w:val="center"/>
          </w:tcPr>
          <w:p w14:paraId="248B8B6E" w14:textId="77777777" w:rsidR="00A30DBD" w:rsidRPr="00832F7C" w:rsidRDefault="00000000" w:rsidP="00AE3B51">
            <w:pPr>
              <w:pStyle w:val="table"/>
              <w:spacing w:line="240" w:lineRule="auto"/>
              <w:jc w:val="center"/>
              <w:rPr>
                <w:sz w:val="24"/>
                <w:szCs w:val="24"/>
              </w:rPr>
            </w:pPr>
            <w:r w:rsidRPr="00832F7C">
              <w:rPr>
                <w:sz w:val="24"/>
                <w:szCs w:val="24"/>
              </w:rPr>
              <w:t>.22</w:t>
            </w:r>
          </w:p>
        </w:tc>
        <w:tc>
          <w:tcPr>
            <w:tcW w:w="886" w:type="dxa"/>
            <w:tcBorders>
              <w:top w:val="single" w:sz="4" w:space="0" w:color="auto"/>
            </w:tcBorders>
            <w:vAlign w:val="center"/>
          </w:tcPr>
          <w:p w14:paraId="1870CD89" w14:textId="77777777" w:rsidR="00A30DBD" w:rsidRPr="00832F7C" w:rsidRDefault="00000000" w:rsidP="00AE3B51">
            <w:pPr>
              <w:pStyle w:val="table"/>
              <w:spacing w:line="240" w:lineRule="auto"/>
              <w:jc w:val="center"/>
              <w:rPr>
                <w:sz w:val="24"/>
                <w:szCs w:val="24"/>
              </w:rPr>
            </w:pPr>
            <w:r w:rsidRPr="00832F7C">
              <w:rPr>
                <w:sz w:val="24"/>
                <w:szCs w:val="24"/>
              </w:rPr>
              <w:t>126</w:t>
            </w:r>
          </w:p>
        </w:tc>
      </w:tr>
      <w:tr w:rsidR="00AA6907" w:rsidRPr="00832F7C" w14:paraId="072C7054" w14:textId="77777777" w:rsidTr="00AE3B51">
        <w:trPr>
          <w:jc w:val="center"/>
        </w:trPr>
        <w:tc>
          <w:tcPr>
            <w:tcW w:w="1980" w:type="dxa"/>
            <w:shd w:val="clear" w:color="auto" w:fill="auto"/>
            <w:tcMar>
              <w:top w:w="0" w:type="dxa"/>
              <w:left w:w="75" w:type="dxa"/>
              <w:bottom w:w="0" w:type="dxa"/>
              <w:right w:w="75" w:type="dxa"/>
            </w:tcMar>
            <w:vAlign w:val="center"/>
            <w:hideMark/>
          </w:tcPr>
          <w:p w14:paraId="50CBDB70" w14:textId="77777777" w:rsidR="00A30DBD" w:rsidRPr="00832F7C" w:rsidRDefault="00000000" w:rsidP="007742A5">
            <w:pPr>
              <w:pStyle w:val="table"/>
              <w:spacing w:line="240" w:lineRule="auto"/>
              <w:rPr>
                <w:sz w:val="24"/>
                <w:szCs w:val="24"/>
              </w:rPr>
            </w:pPr>
            <w:r w:rsidRPr="00832F7C">
              <w:rPr>
                <w:sz w:val="24"/>
                <w:szCs w:val="24"/>
              </w:rPr>
              <w:t xml:space="preserve">Pearson’s </w:t>
            </w:r>
            <w:r w:rsidRPr="00832F7C">
              <w:rPr>
                <w:i/>
                <w:iCs/>
                <w:sz w:val="24"/>
                <w:szCs w:val="24"/>
              </w:rPr>
              <w:t>r</w:t>
            </w:r>
          </w:p>
        </w:tc>
        <w:tc>
          <w:tcPr>
            <w:tcW w:w="990" w:type="dxa"/>
            <w:shd w:val="clear" w:color="auto" w:fill="auto"/>
            <w:tcMar>
              <w:top w:w="0" w:type="dxa"/>
              <w:left w:w="75" w:type="dxa"/>
              <w:bottom w:w="0" w:type="dxa"/>
              <w:right w:w="75" w:type="dxa"/>
            </w:tcMar>
            <w:vAlign w:val="center"/>
            <w:hideMark/>
          </w:tcPr>
          <w:p w14:paraId="37AE27F0" w14:textId="77777777" w:rsidR="00A30DBD" w:rsidRPr="00832F7C" w:rsidRDefault="00000000" w:rsidP="007742A5">
            <w:pPr>
              <w:pStyle w:val="table"/>
              <w:spacing w:line="240" w:lineRule="auto"/>
              <w:rPr>
                <w:sz w:val="24"/>
                <w:szCs w:val="24"/>
              </w:rPr>
            </w:pPr>
            <w:r w:rsidRPr="00832F7C">
              <w:rPr>
                <w:sz w:val="24"/>
                <w:szCs w:val="24"/>
              </w:rPr>
              <w:t>One</w:t>
            </w:r>
          </w:p>
        </w:tc>
        <w:tc>
          <w:tcPr>
            <w:tcW w:w="2063" w:type="dxa"/>
            <w:shd w:val="clear" w:color="auto" w:fill="auto"/>
            <w:tcMar>
              <w:top w:w="0" w:type="dxa"/>
              <w:left w:w="75" w:type="dxa"/>
              <w:bottom w:w="0" w:type="dxa"/>
              <w:right w:w="75" w:type="dxa"/>
            </w:tcMar>
            <w:vAlign w:val="center"/>
            <w:hideMark/>
          </w:tcPr>
          <w:p w14:paraId="2F3EEA45" w14:textId="77777777" w:rsidR="00A30DBD" w:rsidRPr="00832F7C" w:rsidRDefault="00000000" w:rsidP="007742A5">
            <w:pPr>
              <w:pStyle w:val="table"/>
              <w:spacing w:line="240" w:lineRule="auto"/>
              <w:rPr>
                <w:sz w:val="24"/>
                <w:szCs w:val="24"/>
              </w:rPr>
            </w:pPr>
            <w:r w:rsidRPr="00832F7C">
              <w:rPr>
                <w:sz w:val="24"/>
                <w:szCs w:val="24"/>
              </w:rPr>
              <w:t>Lower bound of 95% CI</w:t>
            </w:r>
          </w:p>
        </w:tc>
        <w:tc>
          <w:tcPr>
            <w:tcW w:w="626" w:type="dxa"/>
            <w:shd w:val="clear" w:color="auto" w:fill="auto"/>
            <w:tcMar>
              <w:top w:w="0" w:type="dxa"/>
              <w:left w:w="75" w:type="dxa"/>
              <w:bottom w:w="0" w:type="dxa"/>
              <w:right w:w="75" w:type="dxa"/>
            </w:tcMar>
            <w:vAlign w:val="center"/>
            <w:hideMark/>
          </w:tcPr>
          <w:p w14:paraId="1BAE28DE" w14:textId="77777777" w:rsidR="00A30DBD" w:rsidRPr="00832F7C" w:rsidRDefault="00000000" w:rsidP="00AE3B51">
            <w:pPr>
              <w:pStyle w:val="table"/>
              <w:spacing w:line="240" w:lineRule="auto"/>
              <w:jc w:val="center"/>
              <w:rPr>
                <w:sz w:val="24"/>
                <w:szCs w:val="24"/>
              </w:rPr>
            </w:pPr>
            <w:r w:rsidRPr="00832F7C">
              <w:rPr>
                <w:sz w:val="24"/>
                <w:szCs w:val="24"/>
              </w:rPr>
              <w:t>0.40</w:t>
            </w:r>
          </w:p>
        </w:tc>
        <w:tc>
          <w:tcPr>
            <w:tcW w:w="930" w:type="dxa"/>
            <w:vAlign w:val="center"/>
          </w:tcPr>
          <w:p w14:paraId="03629149" w14:textId="77777777" w:rsidR="00A30DBD" w:rsidRPr="00832F7C" w:rsidRDefault="00000000" w:rsidP="00AE3B51">
            <w:pPr>
              <w:pStyle w:val="table"/>
              <w:spacing w:line="240" w:lineRule="auto"/>
              <w:jc w:val="center"/>
              <w:rPr>
                <w:sz w:val="24"/>
                <w:szCs w:val="24"/>
              </w:rPr>
            </w:pPr>
            <w:r w:rsidRPr="00832F7C">
              <w:rPr>
                <w:sz w:val="24"/>
                <w:szCs w:val="24"/>
              </w:rPr>
              <w:t>37</w:t>
            </w:r>
          </w:p>
        </w:tc>
        <w:tc>
          <w:tcPr>
            <w:tcW w:w="898" w:type="dxa"/>
            <w:vAlign w:val="center"/>
          </w:tcPr>
          <w:p w14:paraId="776C5FAE" w14:textId="77777777" w:rsidR="00A30DBD" w:rsidRPr="00832F7C" w:rsidRDefault="00000000" w:rsidP="00AE3B51">
            <w:pPr>
              <w:pStyle w:val="table"/>
              <w:spacing w:line="240" w:lineRule="auto"/>
              <w:jc w:val="center"/>
              <w:rPr>
                <w:sz w:val="24"/>
                <w:szCs w:val="24"/>
              </w:rPr>
            </w:pPr>
            <w:r w:rsidRPr="00832F7C">
              <w:rPr>
                <w:sz w:val="24"/>
                <w:szCs w:val="24"/>
              </w:rPr>
              <w:t>37</w:t>
            </w:r>
          </w:p>
        </w:tc>
        <w:tc>
          <w:tcPr>
            <w:tcW w:w="622" w:type="dxa"/>
            <w:vAlign w:val="center"/>
          </w:tcPr>
          <w:p w14:paraId="139F7EF7" w14:textId="77777777" w:rsidR="00A30DBD" w:rsidRPr="00832F7C" w:rsidRDefault="00000000" w:rsidP="00AE3B51">
            <w:pPr>
              <w:pStyle w:val="table"/>
              <w:spacing w:line="240" w:lineRule="auto"/>
              <w:jc w:val="center"/>
              <w:rPr>
                <w:sz w:val="24"/>
                <w:szCs w:val="24"/>
              </w:rPr>
            </w:pPr>
            <w:r w:rsidRPr="00832F7C">
              <w:rPr>
                <w:sz w:val="24"/>
                <w:szCs w:val="24"/>
              </w:rPr>
              <w:t>.15</w:t>
            </w:r>
          </w:p>
        </w:tc>
        <w:tc>
          <w:tcPr>
            <w:tcW w:w="886" w:type="dxa"/>
            <w:vAlign w:val="center"/>
          </w:tcPr>
          <w:p w14:paraId="68D67AA8" w14:textId="77777777" w:rsidR="00A30DBD" w:rsidRPr="00832F7C" w:rsidRDefault="00000000" w:rsidP="00AE3B51">
            <w:pPr>
              <w:pStyle w:val="table"/>
              <w:spacing w:line="240" w:lineRule="auto"/>
              <w:jc w:val="center"/>
              <w:rPr>
                <w:sz w:val="24"/>
                <w:szCs w:val="24"/>
              </w:rPr>
            </w:pPr>
            <w:r w:rsidRPr="00832F7C">
              <w:rPr>
                <w:sz w:val="24"/>
                <w:szCs w:val="24"/>
              </w:rPr>
              <w:t>273</w:t>
            </w:r>
          </w:p>
        </w:tc>
      </w:tr>
      <w:tr w:rsidR="00AA6907" w:rsidRPr="00832F7C" w14:paraId="7B1C225D" w14:textId="77777777" w:rsidTr="00AE3B51">
        <w:trPr>
          <w:jc w:val="center"/>
        </w:trPr>
        <w:tc>
          <w:tcPr>
            <w:tcW w:w="1980" w:type="dxa"/>
            <w:shd w:val="clear" w:color="auto" w:fill="auto"/>
            <w:tcMar>
              <w:top w:w="0" w:type="dxa"/>
              <w:left w:w="75" w:type="dxa"/>
              <w:bottom w:w="0" w:type="dxa"/>
              <w:right w:w="75" w:type="dxa"/>
            </w:tcMar>
            <w:vAlign w:val="center"/>
            <w:hideMark/>
          </w:tcPr>
          <w:p w14:paraId="4EDDEC34" w14:textId="77777777" w:rsidR="00A30DBD" w:rsidRPr="00832F7C" w:rsidRDefault="00000000" w:rsidP="007742A5">
            <w:pPr>
              <w:pStyle w:val="table"/>
              <w:spacing w:line="240" w:lineRule="auto"/>
              <w:rPr>
                <w:sz w:val="24"/>
                <w:szCs w:val="24"/>
              </w:rPr>
            </w:pPr>
            <w:r w:rsidRPr="00832F7C">
              <w:rPr>
                <w:sz w:val="24"/>
                <w:szCs w:val="24"/>
              </w:rPr>
              <w:t xml:space="preserve">Pearson’s </w:t>
            </w:r>
            <w:r w:rsidRPr="00832F7C">
              <w:rPr>
                <w:i/>
                <w:iCs/>
                <w:sz w:val="24"/>
                <w:szCs w:val="24"/>
              </w:rPr>
              <w:t>r</w:t>
            </w:r>
          </w:p>
        </w:tc>
        <w:tc>
          <w:tcPr>
            <w:tcW w:w="990" w:type="dxa"/>
            <w:shd w:val="clear" w:color="auto" w:fill="auto"/>
            <w:tcMar>
              <w:top w:w="0" w:type="dxa"/>
              <w:left w:w="75" w:type="dxa"/>
              <w:bottom w:w="0" w:type="dxa"/>
              <w:right w:w="75" w:type="dxa"/>
            </w:tcMar>
            <w:vAlign w:val="center"/>
            <w:hideMark/>
          </w:tcPr>
          <w:p w14:paraId="32BB6EBE" w14:textId="77777777" w:rsidR="00A30DBD" w:rsidRPr="00832F7C" w:rsidRDefault="00000000" w:rsidP="007742A5">
            <w:pPr>
              <w:pStyle w:val="table"/>
              <w:spacing w:line="240" w:lineRule="auto"/>
              <w:rPr>
                <w:sz w:val="24"/>
                <w:szCs w:val="24"/>
              </w:rPr>
            </w:pPr>
            <w:r w:rsidRPr="00832F7C">
              <w:rPr>
                <w:sz w:val="24"/>
                <w:szCs w:val="24"/>
              </w:rPr>
              <w:t>Two</w:t>
            </w:r>
          </w:p>
        </w:tc>
        <w:tc>
          <w:tcPr>
            <w:tcW w:w="2063" w:type="dxa"/>
            <w:shd w:val="clear" w:color="auto" w:fill="auto"/>
            <w:tcMar>
              <w:top w:w="0" w:type="dxa"/>
              <w:left w:w="75" w:type="dxa"/>
              <w:bottom w:w="0" w:type="dxa"/>
              <w:right w:w="75" w:type="dxa"/>
            </w:tcMar>
            <w:vAlign w:val="center"/>
            <w:hideMark/>
          </w:tcPr>
          <w:p w14:paraId="5B943F6C" w14:textId="77777777" w:rsidR="00A30DBD" w:rsidRPr="00832F7C" w:rsidRDefault="00000000" w:rsidP="007742A5">
            <w:pPr>
              <w:pStyle w:val="table"/>
              <w:spacing w:line="240" w:lineRule="auto"/>
              <w:rPr>
                <w:sz w:val="24"/>
                <w:szCs w:val="24"/>
              </w:rPr>
            </w:pPr>
            <w:r w:rsidRPr="00832F7C">
              <w:rPr>
                <w:sz w:val="24"/>
                <w:szCs w:val="24"/>
              </w:rPr>
              <w:t>Point estimate</w:t>
            </w:r>
          </w:p>
        </w:tc>
        <w:tc>
          <w:tcPr>
            <w:tcW w:w="626" w:type="dxa"/>
            <w:shd w:val="clear" w:color="auto" w:fill="auto"/>
            <w:tcMar>
              <w:top w:w="0" w:type="dxa"/>
              <w:left w:w="75" w:type="dxa"/>
              <w:bottom w:w="0" w:type="dxa"/>
              <w:right w:w="75" w:type="dxa"/>
            </w:tcMar>
            <w:vAlign w:val="center"/>
            <w:hideMark/>
          </w:tcPr>
          <w:p w14:paraId="6151E840" w14:textId="77777777" w:rsidR="00A30DBD" w:rsidRPr="00832F7C" w:rsidRDefault="00000000" w:rsidP="00AE3B51">
            <w:pPr>
              <w:pStyle w:val="table"/>
              <w:spacing w:line="240" w:lineRule="auto"/>
              <w:jc w:val="center"/>
              <w:rPr>
                <w:sz w:val="24"/>
                <w:szCs w:val="24"/>
              </w:rPr>
            </w:pPr>
            <w:r w:rsidRPr="00832F7C">
              <w:rPr>
                <w:sz w:val="24"/>
                <w:szCs w:val="24"/>
              </w:rPr>
              <w:t>0.45</w:t>
            </w:r>
          </w:p>
        </w:tc>
        <w:tc>
          <w:tcPr>
            <w:tcW w:w="930" w:type="dxa"/>
            <w:vAlign w:val="center"/>
          </w:tcPr>
          <w:p w14:paraId="1E47CD2C" w14:textId="77777777" w:rsidR="00A30DBD" w:rsidRPr="00832F7C" w:rsidRDefault="00000000" w:rsidP="00AE3B51">
            <w:pPr>
              <w:pStyle w:val="table"/>
              <w:spacing w:line="240" w:lineRule="auto"/>
              <w:jc w:val="center"/>
              <w:rPr>
                <w:sz w:val="24"/>
                <w:szCs w:val="24"/>
              </w:rPr>
            </w:pPr>
            <w:r w:rsidRPr="00832F7C">
              <w:rPr>
                <w:sz w:val="24"/>
                <w:szCs w:val="24"/>
              </w:rPr>
              <w:t>36</w:t>
            </w:r>
          </w:p>
        </w:tc>
        <w:tc>
          <w:tcPr>
            <w:tcW w:w="898" w:type="dxa"/>
            <w:vAlign w:val="center"/>
          </w:tcPr>
          <w:p w14:paraId="4396D65E" w14:textId="77777777" w:rsidR="00A30DBD" w:rsidRPr="00832F7C" w:rsidRDefault="00000000" w:rsidP="00AE3B51">
            <w:pPr>
              <w:pStyle w:val="table"/>
              <w:spacing w:line="240" w:lineRule="auto"/>
              <w:jc w:val="center"/>
              <w:rPr>
                <w:sz w:val="24"/>
                <w:szCs w:val="24"/>
              </w:rPr>
            </w:pPr>
            <w:r w:rsidRPr="00832F7C">
              <w:rPr>
                <w:sz w:val="24"/>
                <w:szCs w:val="24"/>
              </w:rPr>
              <w:t>36</w:t>
            </w:r>
          </w:p>
        </w:tc>
        <w:tc>
          <w:tcPr>
            <w:tcW w:w="622" w:type="dxa"/>
            <w:vAlign w:val="center"/>
          </w:tcPr>
          <w:p w14:paraId="0CAAB5A2" w14:textId="77777777" w:rsidR="00A30DBD" w:rsidRPr="00832F7C" w:rsidRDefault="00000000" w:rsidP="00AE3B51">
            <w:pPr>
              <w:pStyle w:val="table"/>
              <w:spacing w:line="240" w:lineRule="auto"/>
              <w:jc w:val="center"/>
              <w:rPr>
                <w:sz w:val="24"/>
                <w:szCs w:val="24"/>
              </w:rPr>
            </w:pPr>
            <w:r w:rsidRPr="00832F7C">
              <w:rPr>
                <w:sz w:val="24"/>
                <w:szCs w:val="24"/>
              </w:rPr>
              <w:t>.22</w:t>
            </w:r>
          </w:p>
        </w:tc>
        <w:tc>
          <w:tcPr>
            <w:tcW w:w="886" w:type="dxa"/>
            <w:vAlign w:val="center"/>
          </w:tcPr>
          <w:p w14:paraId="0C06C765" w14:textId="77777777" w:rsidR="00A30DBD" w:rsidRPr="00832F7C" w:rsidRDefault="00000000" w:rsidP="00AE3B51">
            <w:pPr>
              <w:pStyle w:val="table"/>
              <w:spacing w:line="240" w:lineRule="auto"/>
              <w:jc w:val="center"/>
              <w:rPr>
                <w:sz w:val="24"/>
                <w:szCs w:val="24"/>
              </w:rPr>
            </w:pPr>
            <w:r w:rsidRPr="00832F7C">
              <w:rPr>
                <w:sz w:val="24"/>
                <w:szCs w:val="24"/>
              </w:rPr>
              <w:t>160</w:t>
            </w:r>
          </w:p>
        </w:tc>
      </w:tr>
      <w:tr w:rsidR="00AA6907" w:rsidRPr="00832F7C" w14:paraId="617FD2F6" w14:textId="77777777" w:rsidTr="00AE3B51">
        <w:trPr>
          <w:jc w:val="center"/>
        </w:trPr>
        <w:tc>
          <w:tcPr>
            <w:tcW w:w="1980" w:type="dxa"/>
            <w:shd w:val="clear" w:color="auto" w:fill="auto"/>
            <w:tcMar>
              <w:top w:w="0" w:type="dxa"/>
              <w:left w:w="75" w:type="dxa"/>
              <w:bottom w:w="0" w:type="dxa"/>
              <w:right w:w="75" w:type="dxa"/>
            </w:tcMar>
            <w:vAlign w:val="center"/>
            <w:hideMark/>
          </w:tcPr>
          <w:p w14:paraId="015F3E3A" w14:textId="77777777" w:rsidR="00A30DBD" w:rsidRPr="00832F7C" w:rsidRDefault="00000000" w:rsidP="007742A5">
            <w:pPr>
              <w:pStyle w:val="table"/>
              <w:spacing w:line="240" w:lineRule="auto"/>
              <w:rPr>
                <w:sz w:val="24"/>
                <w:szCs w:val="24"/>
              </w:rPr>
            </w:pPr>
            <w:r w:rsidRPr="00832F7C">
              <w:rPr>
                <w:sz w:val="24"/>
                <w:szCs w:val="24"/>
              </w:rPr>
              <w:t xml:space="preserve">Pearson’s </w:t>
            </w:r>
            <w:r w:rsidRPr="00832F7C">
              <w:rPr>
                <w:i/>
                <w:iCs/>
                <w:sz w:val="24"/>
                <w:szCs w:val="24"/>
              </w:rPr>
              <w:t>r</w:t>
            </w:r>
          </w:p>
        </w:tc>
        <w:tc>
          <w:tcPr>
            <w:tcW w:w="990" w:type="dxa"/>
            <w:shd w:val="clear" w:color="auto" w:fill="auto"/>
            <w:tcMar>
              <w:top w:w="0" w:type="dxa"/>
              <w:left w:w="75" w:type="dxa"/>
              <w:bottom w:w="0" w:type="dxa"/>
              <w:right w:w="75" w:type="dxa"/>
            </w:tcMar>
            <w:vAlign w:val="center"/>
            <w:hideMark/>
          </w:tcPr>
          <w:p w14:paraId="3DE2F4E3" w14:textId="77777777" w:rsidR="00A30DBD" w:rsidRPr="00832F7C" w:rsidRDefault="00000000" w:rsidP="007742A5">
            <w:pPr>
              <w:pStyle w:val="table"/>
              <w:spacing w:line="240" w:lineRule="auto"/>
              <w:rPr>
                <w:sz w:val="24"/>
                <w:szCs w:val="24"/>
              </w:rPr>
            </w:pPr>
            <w:r w:rsidRPr="00832F7C">
              <w:rPr>
                <w:sz w:val="24"/>
                <w:szCs w:val="24"/>
              </w:rPr>
              <w:t>Two</w:t>
            </w:r>
          </w:p>
        </w:tc>
        <w:tc>
          <w:tcPr>
            <w:tcW w:w="2063" w:type="dxa"/>
            <w:shd w:val="clear" w:color="auto" w:fill="auto"/>
            <w:tcMar>
              <w:top w:w="0" w:type="dxa"/>
              <w:left w:w="75" w:type="dxa"/>
              <w:bottom w:w="0" w:type="dxa"/>
              <w:right w:w="75" w:type="dxa"/>
            </w:tcMar>
            <w:vAlign w:val="center"/>
            <w:hideMark/>
          </w:tcPr>
          <w:p w14:paraId="46D97CAF" w14:textId="77777777" w:rsidR="00A30DBD" w:rsidRPr="00832F7C" w:rsidRDefault="00000000" w:rsidP="007742A5">
            <w:pPr>
              <w:pStyle w:val="table"/>
              <w:spacing w:line="240" w:lineRule="auto"/>
              <w:rPr>
                <w:sz w:val="24"/>
                <w:szCs w:val="24"/>
              </w:rPr>
            </w:pPr>
            <w:r w:rsidRPr="00832F7C">
              <w:rPr>
                <w:sz w:val="24"/>
                <w:szCs w:val="24"/>
              </w:rPr>
              <w:t>Lower bound of 95% CI</w:t>
            </w:r>
          </w:p>
        </w:tc>
        <w:tc>
          <w:tcPr>
            <w:tcW w:w="626" w:type="dxa"/>
            <w:shd w:val="clear" w:color="auto" w:fill="auto"/>
            <w:tcMar>
              <w:top w:w="0" w:type="dxa"/>
              <w:left w:w="75" w:type="dxa"/>
              <w:bottom w:w="0" w:type="dxa"/>
              <w:right w:w="75" w:type="dxa"/>
            </w:tcMar>
            <w:vAlign w:val="center"/>
            <w:hideMark/>
          </w:tcPr>
          <w:p w14:paraId="2091312C" w14:textId="77777777" w:rsidR="00A30DBD" w:rsidRPr="00832F7C" w:rsidRDefault="00000000" w:rsidP="00AE3B51">
            <w:pPr>
              <w:pStyle w:val="table"/>
              <w:spacing w:line="240" w:lineRule="auto"/>
              <w:jc w:val="center"/>
              <w:rPr>
                <w:sz w:val="24"/>
                <w:szCs w:val="24"/>
              </w:rPr>
            </w:pPr>
            <w:r w:rsidRPr="00832F7C">
              <w:rPr>
                <w:sz w:val="24"/>
                <w:szCs w:val="24"/>
              </w:rPr>
              <w:t>0.40</w:t>
            </w:r>
          </w:p>
        </w:tc>
        <w:tc>
          <w:tcPr>
            <w:tcW w:w="930" w:type="dxa"/>
            <w:vAlign w:val="center"/>
          </w:tcPr>
          <w:p w14:paraId="7D183887" w14:textId="77777777" w:rsidR="00A30DBD" w:rsidRPr="00832F7C" w:rsidRDefault="00000000" w:rsidP="00AE3B51">
            <w:pPr>
              <w:pStyle w:val="table"/>
              <w:spacing w:line="240" w:lineRule="auto"/>
              <w:jc w:val="center"/>
              <w:rPr>
                <w:sz w:val="24"/>
                <w:szCs w:val="24"/>
              </w:rPr>
            </w:pPr>
            <w:r w:rsidRPr="00832F7C">
              <w:rPr>
                <w:sz w:val="24"/>
                <w:szCs w:val="24"/>
              </w:rPr>
              <w:t>-</w:t>
            </w:r>
          </w:p>
        </w:tc>
        <w:tc>
          <w:tcPr>
            <w:tcW w:w="898" w:type="dxa"/>
            <w:vAlign w:val="center"/>
          </w:tcPr>
          <w:p w14:paraId="253D8131" w14:textId="77777777" w:rsidR="00A30DBD" w:rsidRPr="00832F7C" w:rsidRDefault="00000000" w:rsidP="00AE3B51">
            <w:pPr>
              <w:pStyle w:val="table"/>
              <w:spacing w:line="240" w:lineRule="auto"/>
              <w:jc w:val="center"/>
              <w:rPr>
                <w:sz w:val="24"/>
                <w:szCs w:val="24"/>
              </w:rPr>
            </w:pPr>
            <w:r w:rsidRPr="00832F7C">
              <w:rPr>
                <w:sz w:val="24"/>
                <w:szCs w:val="24"/>
              </w:rPr>
              <w:t>46</w:t>
            </w:r>
          </w:p>
        </w:tc>
        <w:tc>
          <w:tcPr>
            <w:tcW w:w="622" w:type="dxa"/>
            <w:vAlign w:val="center"/>
          </w:tcPr>
          <w:p w14:paraId="4391E8BA" w14:textId="77777777" w:rsidR="00A30DBD" w:rsidRPr="00832F7C" w:rsidRDefault="00000000" w:rsidP="00AE3B51">
            <w:pPr>
              <w:pStyle w:val="table"/>
              <w:spacing w:line="240" w:lineRule="auto"/>
              <w:jc w:val="center"/>
              <w:rPr>
                <w:sz w:val="24"/>
                <w:szCs w:val="24"/>
              </w:rPr>
            </w:pPr>
            <w:r w:rsidRPr="00832F7C">
              <w:rPr>
                <w:sz w:val="24"/>
                <w:szCs w:val="24"/>
              </w:rPr>
              <w:t>.15</w:t>
            </w:r>
          </w:p>
        </w:tc>
        <w:tc>
          <w:tcPr>
            <w:tcW w:w="886" w:type="dxa"/>
            <w:vAlign w:val="center"/>
          </w:tcPr>
          <w:p w14:paraId="4F99FCB0" w14:textId="77777777" w:rsidR="00A30DBD" w:rsidRPr="00832F7C" w:rsidRDefault="00000000" w:rsidP="00AE3B51">
            <w:pPr>
              <w:pStyle w:val="table"/>
              <w:spacing w:line="240" w:lineRule="auto"/>
              <w:jc w:val="center"/>
              <w:rPr>
                <w:sz w:val="24"/>
                <w:szCs w:val="24"/>
              </w:rPr>
            </w:pPr>
            <w:r w:rsidRPr="00832F7C">
              <w:rPr>
                <w:sz w:val="24"/>
                <w:szCs w:val="24"/>
              </w:rPr>
              <w:t>346</w:t>
            </w:r>
          </w:p>
        </w:tc>
      </w:tr>
      <w:tr w:rsidR="00AA6907" w:rsidRPr="00832F7C" w14:paraId="3554A594" w14:textId="77777777" w:rsidTr="00AE3B51">
        <w:trPr>
          <w:jc w:val="center"/>
        </w:trPr>
        <w:tc>
          <w:tcPr>
            <w:tcW w:w="1980" w:type="dxa"/>
            <w:shd w:val="clear" w:color="auto" w:fill="auto"/>
            <w:tcMar>
              <w:top w:w="0" w:type="dxa"/>
              <w:left w:w="75" w:type="dxa"/>
              <w:bottom w:w="0" w:type="dxa"/>
              <w:right w:w="75" w:type="dxa"/>
            </w:tcMar>
            <w:vAlign w:val="center"/>
            <w:hideMark/>
          </w:tcPr>
          <w:p w14:paraId="7FCD1E33" w14:textId="77777777" w:rsidR="00A30DBD" w:rsidRPr="00832F7C" w:rsidRDefault="00000000" w:rsidP="007742A5">
            <w:pPr>
              <w:pStyle w:val="table"/>
              <w:spacing w:line="240" w:lineRule="auto"/>
              <w:rPr>
                <w:sz w:val="24"/>
                <w:szCs w:val="24"/>
              </w:rPr>
            </w:pPr>
            <w:r w:rsidRPr="00832F7C">
              <w:rPr>
                <w:sz w:val="24"/>
                <w:szCs w:val="24"/>
              </w:rPr>
              <w:t xml:space="preserve">Independent </w:t>
            </w:r>
            <w:r w:rsidRPr="00832F7C">
              <w:rPr>
                <w:i/>
                <w:iCs/>
                <w:sz w:val="24"/>
                <w:szCs w:val="24"/>
              </w:rPr>
              <w:t>t</w:t>
            </w:r>
            <w:r w:rsidRPr="00832F7C">
              <w:rPr>
                <w:sz w:val="24"/>
                <w:szCs w:val="24"/>
              </w:rPr>
              <w:t xml:space="preserve">-test (Cohen’s </w:t>
            </w:r>
            <w:proofErr w:type="gramStart"/>
            <w:r w:rsidRPr="00832F7C">
              <w:rPr>
                <w:i/>
                <w:iCs/>
                <w:sz w:val="24"/>
                <w:szCs w:val="24"/>
              </w:rPr>
              <w:t>d</w:t>
            </w:r>
            <w:r w:rsidRPr="00832F7C">
              <w:rPr>
                <w:sz w:val="24"/>
                <w:szCs w:val="24"/>
              </w:rPr>
              <w:t>)*</w:t>
            </w:r>
            <w:proofErr w:type="gramEnd"/>
            <w:r w:rsidRPr="00832F7C">
              <w:rPr>
                <w:sz w:val="24"/>
                <w:szCs w:val="24"/>
              </w:rPr>
              <w:t>*</w:t>
            </w:r>
          </w:p>
        </w:tc>
        <w:tc>
          <w:tcPr>
            <w:tcW w:w="990" w:type="dxa"/>
            <w:shd w:val="clear" w:color="auto" w:fill="auto"/>
            <w:tcMar>
              <w:top w:w="0" w:type="dxa"/>
              <w:left w:w="75" w:type="dxa"/>
              <w:bottom w:w="0" w:type="dxa"/>
              <w:right w:w="75" w:type="dxa"/>
            </w:tcMar>
            <w:vAlign w:val="center"/>
            <w:hideMark/>
          </w:tcPr>
          <w:p w14:paraId="7B0C8DE0" w14:textId="77777777" w:rsidR="00A30DBD" w:rsidRPr="00832F7C" w:rsidRDefault="00000000" w:rsidP="007742A5">
            <w:pPr>
              <w:pStyle w:val="table"/>
              <w:spacing w:line="240" w:lineRule="auto"/>
              <w:rPr>
                <w:sz w:val="24"/>
                <w:szCs w:val="24"/>
              </w:rPr>
            </w:pPr>
            <w:r w:rsidRPr="00832F7C">
              <w:rPr>
                <w:sz w:val="24"/>
                <w:szCs w:val="24"/>
              </w:rPr>
              <w:t>One</w:t>
            </w:r>
          </w:p>
        </w:tc>
        <w:tc>
          <w:tcPr>
            <w:tcW w:w="2063" w:type="dxa"/>
            <w:shd w:val="clear" w:color="auto" w:fill="auto"/>
            <w:tcMar>
              <w:top w:w="0" w:type="dxa"/>
              <w:left w:w="75" w:type="dxa"/>
              <w:bottom w:w="0" w:type="dxa"/>
              <w:right w:w="75" w:type="dxa"/>
            </w:tcMar>
            <w:vAlign w:val="center"/>
            <w:hideMark/>
          </w:tcPr>
          <w:p w14:paraId="2BABB440" w14:textId="77777777" w:rsidR="00A30DBD" w:rsidRPr="00832F7C" w:rsidRDefault="00000000" w:rsidP="007742A5">
            <w:pPr>
              <w:pStyle w:val="table"/>
              <w:spacing w:line="240" w:lineRule="auto"/>
              <w:rPr>
                <w:sz w:val="24"/>
                <w:szCs w:val="24"/>
              </w:rPr>
            </w:pPr>
            <w:r w:rsidRPr="00832F7C">
              <w:rPr>
                <w:sz w:val="24"/>
                <w:szCs w:val="24"/>
              </w:rPr>
              <w:t>Point estimate</w:t>
            </w:r>
          </w:p>
        </w:tc>
        <w:tc>
          <w:tcPr>
            <w:tcW w:w="626" w:type="dxa"/>
            <w:shd w:val="clear" w:color="auto" w:fill="auto"/>
            <w:tcMar>
              <w:top w:w="0" w:type="dxa"/>
              <w:left w:w="75" w:type="dxa"/>
              <w:bottom w:w="0" w:type="dxa"/>
              <w:right w:w="75" w:type="dxa"/>
            </w:tcMar>
            <w:vAlign w:val="center"/>
            <w:hideMark/>
          </w:tcPr>
          <w:p w14:paraId="752EC80C" w14:textId="77777777" w:rsidR="00A30DBD" w:rsidRPr="00832F7C" w:rsidRDefault="00000000" w:rsidP="00AE3B51">
            <w:pPr>
              <w:pStyle w:val="table"/>
              <w:spacing w:line="240" w:lineRule="auto"/>
              <w:jc w:val="center"/>
              <w:rPr>
                <w:sz w:val="24"/>
                <w:szCs w:val="24"/>
              </w:rPr>
            </w:pPr>
            <w:r w:rsidRPr="00832F7C">
              <w:rPr>
                <w:sz w:val="24"/>
                <w:szCs w:val="24"/>
              </w:rPr>
              <w:t>1.01</w:t>
            </w:r>
          </w:p>
        </w:tc>
        <w:tc>
          <w:tcPr>
            <w:tcW w:w="930" w:type="dxa"/>
            <w:vAlign w:val="center"/>
          </w:tcPr>
          <w:p w14:paraId="1EBD7B88" w14:textId="77777777" w:rsidR="00A30DBD" w:rsidRPr="00832F7C" w:rsidRDefault="00000000" w:rsidP="00AE3B51">
            <w:pPr>
              <w:pStyle w:val="table"/>
              <w:spacing w:line="240" w:lineRule="auto"/>
              <w:jc w:val="center"/>
              <w:rPr>
                <w:sz w:val="24"/>
                <w:szCs w:val="24"/>
              </w:rPr>
            </w:pPr>
            <w:r w:rsidRPr="00832F7C">
              <w:rPr>
                <w:sz w:val="24"/>
                <w:szCs w:val="24"/>
              </w:rPr>
              <w:t>26</w:t>
            </w:r>
          </w:p>
        </w:tc>
        <w:tc>
          <w:tcPr>
            <w:tcW w:w="898" w:type="dxa"/>
            <w:vAlign w:val="center"/>
          </w:tcPr>
          <w:p w14:paraId="6638DDF4" w14:textId="77777777" w:rsidR="00A30DBD" w:rsidRPr="00832F7C" w:rsidRDefault="00000000" w:rsidP="00AE3B51">
            <w:pPr>
              <w:pStyle w:val="table"/>
              <w:spacing w:line="240" w:lineRule="auto"/>
              <w:jc w:val="center"/>
              <w:rPr>
                <w:sz w:val="24"/>
                <w:szCs w:val="24"/>
              </w:rPr>
            </w:pPr>
            <w:r w:rsidRPr="00832F7C">
              <w:rPr>
                <w:sz w:val="24"/>
                <w:szCs w:val="24"/>
              </w:rPr>
              <w:t>26</w:t>
            </w:r>
          </w:p>
        </w:tc>
        <w:tc>
          <w:tcPr>
            <w:tcW w:w="622" w:type="dxa"/>
            <w:vAlign w:val="center"/>
          </w:tcPr>
          <w:p w14:paraId="2EA7D9C5" w14:textId="77777777" w:rsidR="00A30DBD" w:rsidRPr="00832F7C" w:rsidRDefault="00000000" w:rsidP="00AE3B51">
            <w:pPr>
              <w:pStyle w:val="table"/>
              <w:spacing w:line="240" w:lineRule="auto"/>
              <w:jc w:val="center"/>
              <w:rPr>
                <w:sz w:val="24"/>
                <w:szCs w:val="24"/>
              </w:rPr>
            </w:pPr>
            <w:r w:rsidRPr="00832F7C">
              <w:rPr>
                <w:sz w:val="24"/>
                <w:szCs w:val="24"/>
              </w:rPr>
              <w:t>.45</w:t>
            </w:r>
          </w:p>
        </w:tc>
        <w:tc>
          <w:tcPr>
            <w:tcW w:w="886" w:type="dxa"/>
            <w:vAlign w:val="center"/>
          </w:tcPr>
          <w:p w14:paraId="785A2544" w14:textId="77777777" w:rsidR="00A30DBD" w:rsidRPr="00832F7C" w:rsidRDefault="00000000" w:rsidP="00AE3B51">
            <w:pPr>
              <w:pStyle w:val="table"/>
              <w:spacing w:line="240" w:lineRule="auto"/>
              <w:jc w:val="center"/>
              <w:rPr>
                <w:sz w:val="24"/>
                <w:szCs w:val="24"/>
              </w:rPr>
            </w:pPr>
            <w:r w:rsidRPr="00832F7C">
              <w:rPr>
                <w:sz w:val="24"/>
                <w:szCs w:val="24"/>
              </w:rPr>
              <w:t>124</w:t>
            </w:r>
          </w:p>
        </w:tc>
      </w:tr>
      <w:tr w:rsidR="00AA6907" w:rsidRPr="00832F7C" w14:paraId="63E99674" w14:textId="77777777" w:rsidTr="00AE3B51">
        <w:trPr>
          <w:jc w:val="center"/>
        </w:trPr>
        <w:tc>
          <w:tcPr>
            <w:tcW w:w="1980" w:type="dxa"/>
            <w:shd w:val="clear" w:color="auto" w:fill="auto"/>
            <w:tcMar>
              <w:top w:w="0" w:type="dxa"/>
              <w:left w:w="75" w:type="dxa"/>
              <w:bottom w:w="0" w:type="dxa"/>
              <w:right w:w="75" w:type="dxa"/>
            </w:tcMar>
            <w:vAlign w:val="center"/>
            <w:hideMark/>
          </w:tcPr>
          <w:p w14:paraId="0B60EC9F" w14:textId="77777777" w:rsidR="00A30DBD" w:rsidRPr="00832F7C" w:rsidRDefault="00000000" w:rsidP="007742A5">
            <w:pPr>
              <w:pStyle w:val="table"/>
              <w:spacing w:line="240" w:lineRule="auto"/>
              <w:rPr>
                <w:sz w:val="24"/>
                <w:szCs w:val="24"/>
              </w:rPr>
            </w:pPr>
            <w:r w:rsidRPr="00832F7C">
              <w:rPr>
                <w:sz w:val="24"/>
                <w:szCs w:val="24"/>
              </w:rPr>
              <w:t xml:space="preserve">Independent </w:t>
            </w:r>
            <w:r w:rsidRPr="00832F7C">
              <w:rPr>
                <w:i/>
                <w:iCs/>
                <w:sz w:val="24"/>
                <w:szCs w:val="24"/>
              </w:rPr>
              <w:t>t</w:t>
            </w:r>
            <w:r w:rsidRPr="00832F7C">
              <w:rPr>
                <w:sz w:val="24"/>
                <w:szCs w:val="24"/>
              </w:rPr>
              <w:t xml:space="preserve">-test (Cohen’s </w:t>
            </w:r>
            <w:proofErr w:type="gramStart"/>
            <w:r w:rsidRPr="00832F7C">
              <w:rPr>
                <w:i/>
                <w:iCs/>
                <w:sz w:val="24"/>
                <w:szCs w:val="24"/>
              </w:rPr>
              <w:t>d</w:t>
            </w:r>
            <w:r w:rsidRPr="00832F7C">
              <w:rPr>
                <w:sz w:val="24"/>
                <w:szCs w:val="24"/>
              </w:rPr>
              <w:t>)*</w:t>
            </w:r>
            <w:proofErr w:type="gramEnd"/>
            <w:r w:rsidRPr="00832F7C">
              <w:rPr>
                <w:sz w:val="24"/>
                <w:szCs w:val="24"/>
              </w:rPr>
              <w:t>*</w:t>
            </w:r>
          </w:p>
        </w:tc>
        <w:tc>
          <w:tcPr>
            <w:tcW w:w="990" w:type="dxa"/>
            <w:shd w:val="clear" w:color="auto" w:fill="auto"/>
            <w:tcMar>
              <w:top w:w="0" w:type="dxa"/>
              <w:left w:w="75" w:type="dxa"/>
              <w:bottom w:w="0" w:type="dxa"/>
              <w:right w:w="75" w:type="dxa"/>
            </w:tcMar>
            <w:vAlign w:val="center"/>
            <w:hideMark/>
          </w:tcPr>
          <w:p w14:paraId="206238AD" w14:textId="77777777" w:rsidR="00A30DBD" w:rsidRPr="00832F7C" w:rsidRDefault="00000000" w:rsidP="007742A5">
            <w:pPr>
              <w:pStyle w:val="table"/>
              <w:spacing w:line="240" w:lineRule="auto"/>
              <w:rPr>
                <w:sz w:val="24"/>
                <w:szCs w:val="24"/>
              </w:rPr>
            </w:pPr>
            <w:r w:rsidRPr="00832F7C">
              <w:rPr>
                <w:sz w:val="24"/>
                <w:szCs w:val="24"/>
              </w:rPr>
              <w:t>One</w:t>
            </w:r>
          </w:p>
        </w:tc>
        <w:tc>
          <w:tcPr>
            <w:tcW w:w="2063" w:type="dxa"/>
            <w:shd w:val="clear" w:color="auto" w:fill="auto"/>
            <w:tcMar>
              <w:top w:w="0" w:type="dxa"/>
              <w:left w:w="75" w:type="dxa"/>
              <w:bottom w:w="0" w:type="dxa"/>
              <w:right w:w="75" w:type="dxa"/>
            </w:tcMar>
            <w:vAlign w:val="center"/>
            <w:hideMark/>
          </w:tcPr>
          <w:p w14:paraId="7324FF10" w14:textId="77777777" w:rsidR="00A30DBD" w:rsidRPr="00832F7C" w:rsidRDefault="00000000" w:rsidP="007742A5">
            <w:pPr>
              <w:pStyle w:val="table"/>
              <w:spacing w:line="240" w:lineRule="auto"/>
              <w:rPr>
                <w:sz w:val="24"/>
                <w:szCs w:val="24"/>
              </w:rPr>
            </w:pPr>
            <w:r w:rsidRPr="00832F7C">
              <w:rPr>
                <w:sz w:val="24"/>
                <w:szCs w:val="24"/>
              </w:rPr>
              <w:t>Lower bound of 95% CI</w:t>
            </w:r>
          </w:p>
        </w:tc>
        <w:tc>
          <w:tcPr>
            <w:tcW w:w="626" w:type="dxa"/>
            <w:shd w:val="clear" w:color="auto" w:fill="auto"/>
            <w:tcMar>
              <w:top w:w="0" w:type="dxa"/>
              <w:left w:w="75" w:type="dxa"/>
              <w:bottom w:w="0" w:type="dxa"/>
              <w:right w:w="75" w:type="dxa"/>
            </w:tcMar>
            <w:vAlign w:val="center"/>
            <w:hideMark/>
          </w:tcPr>
          <w:p w14:paraId="6D5A0E2F" w14:textId="77777777" w:rsidR="00A30DBD" w:rsidRPr="00832F7C" w:rsidRDefault="00000000" w:rsidP="00AE3B51">
            <w:pPr>
              <w:pStyle w:val="table"/>
              <w:spacing w:line="240" w:lineRule="auto"/>
              <w:jc w:val="center"/>
              <w:rPr>
                <w:sz w:val="24"/>
                <w:szCs w:val="24"/>
              </w:rPr>
            </w:pPr>
            <w:r w:rsidRPr="00832F7C">
              <w:rPr>
                <w:sz w:val="24"/>
                <w:szCs w:val="24"/>
              </w:rPr>
              <w:t>0.87</w:t>
            </w:r>
          </w:p>
        </w:tc>
        <w:tc>
          <w:tcPr>
            <w:tcW w:w="930" w:type="dxa"/>
            <w:vAlign w:val="center"/>
          </w:tcPr>
          <w:p w14:paraId="32DF0734" w14:textId="77777777" w:rsidR="00A30DBD" w:rsidRPr="00832F7C" w:rsidRDefault="00000000" w:rsidP="00AE3B51">
            <w:pPr>
              <w:pStyle w:val="table"/>
              <w:spacing w:line="240" w:lineRule="auto"/>
              <w:jc w:val="center"/>
              <w:rPr>
                <w:sz w:val="24"/>
                <w:szCs w:val="24"/>
              </w:rPr>
            </w:pPr>
            <w:r w:rsidRPr="00832F7C">
              <w:rPr>
                <w:sz w:val="24"/>
                <w:szCs w:val="24"/>
              </w:rPr>
              <w:t>36</w:t>
            </w:r>
          </w:p>
        </w:tc>
        <w:tc>
          <w:tcPr>
            <w:tcW w:w="898" w:type="dxa"/>
            <w:vAlign w:val="center"/>
          </w:tcPr>
          <w:p w14:paraId="31241F8C" w14:textId="77777777" w:rsidR="00A30DBD" w:rsidRPr="00832F7C" w:rsidRDefault="00000000" w:rsidP="00AE3B51">
            <w:pPr>
              <w:pStyle w:val="table"/>
              <w:spacing w:line="240" w:lineRule="auto"/>
              <w:jc w:val="center"/>
              <w:rPr>
                <w:sz w:val="24"/>
                <w:szCs w:val="24"/>
              </w:rPr>
            </w:pPr>
            <w:r w:rsidRPr="00832F7C">
              <w:rPr>
                <w:sz w:val="24"/>
                <w:szCs w:val="24"/>
              </w:rPr>
              <w:t>34***</w:t>
            </w:r>
          </w:p>
        </w:tc>
        <w:tc>
          <w:tcPr>
            <w:tcW w:w="622" w:type="dxa"/>
            <w:vAlign w:val="center"/>
          </w:tcPr>
          <w:p w14:paraId="51DB068A" w14:textId="77777777" w:rsidR="00A30DBD" w:rsidRPr="00832F7C" w:rsidRDefault="00000000" w:rsidP="00AE3B51">
            <w:pPr>
              <w:pStyle w:val="table"/>
              <w:spacing w:line="240" w:lineRule="auto"/>
              <w:jc w:val="center"/>
              <w:rPr>
                <w:sz w:val="24"/>
                <w:szCs w:val="24"/>
              </w:rPr>
            </w:pPr>
            <w:r w:rsidRPr="00832F7C">
              <w:rPr>
                <w:sz w:val="24"/>
                <w:szCs w:val="24"/>
              </w:rPr>
              <w:t>.30</w:t>
            </w:r>
          </w:p>
        </w:tc>
        <w:tc>
          <w:tcPr>
            <w:tcW w:w="886" w:type="dxa"/>
            <w:vAlign w:val="center"/>
          </w:tcPr>
          <w:p w14:paraId="5A96BD50" w14:textId="77777777" w:rsidR="00A30DBD" w:rsidRPr="00832F7C" w:rsidRDefault="00000000" w:rsidP="00AE3B51">
            <w:pPr>
              <w:pStyle w:val="table"/>
              <w:spacing w:line="240" w:lineRule="auto"/>
              <w:jc w:val="center"/>
              <w:rPr>
                <w:sz w:val="24"/>
                <w:szCs w:val="24"/>
              </w:rPr>
            </w:pPr>
            <w:r w:rsidRPr="00832F7C">
              <w:rPr>
                <w:sz w:val="24"/>
                <w:szCs w:val="24"/>
              </w:rPr>
              <w:t>270</w:t>
            </w:r>
          </w:p>
        </w:tc>
      </w:tr>
      <w:tr w:rsidR="00AA6907" w:rsidRPr="00832F7C" w14:paraId="1FAF5B92" w14:textId="77777777" w:rsidTr="00AE3B51">
        <w:trPr>
          <w:trHeight w:val="47"/>
          <w:jc w:val="center"/>
        </w:trPr>
        <w:tc>
          <w:tcPr>
            <w:tcW w:w="1980" w:type="dxa"/>
            <w:tcBorders>
              <w:bottom w:val="nil"/>
            </w:tcBorders>
            <w:shd w:val="clear" w:color="auto" w:fill="auto"/>
            <w:tcMar>
              <w:top w:w="0" w:type="dxa"/>
              <w:left w:w="75" w:type="dxa"/>
              <w:bottom w:w="0" w:type="dxa"/>
              <w:right w:w="75" w:type="dxa"/>
            </w:tcMar>
            <w:vAlign w:val="center"/>
            <w:hideMark/>
          </w:tcPr>
          <w:p w14:paraId="133DCBAA" w14:textId="77777777" w:rsidR="00A30DBD" w:rsidRPr="00832F7C" w:rsidRDefault="00000000" w:rsidP="007742A5">
            <w:pPr>
              <w:pStyle w:val="table"/>
              <w:spacing w:line="240" w:lineRule="auto"/>
              <w:rPr>
                <w:sz w:val="24"/>
                <w:szCs w:val="24"/>
              </w:rPr>
            </w:pPr>
            <w:r w:rsidRPr="00832F7C">
              <w:rPr>
                <w:sz w:val="24"/>
                <w:szCs w:val="24"/>
              </w:rPr>
              <w:t xml:space="preserve">Dependent </w:t>
            </w:r>
            <w:r w:rsidRPr="00832F7C">
              <w:rPr>
                <w:i/>
                <w:iCs/>
                <w:sz w:val="24"/>
                <w:szCs w:val="24"/>
              </w:rPr>
              <w:t>t</w:t>
            </w:r>
            <w:r w:rsidRPr="00832F7C">
              <w:rPr>
                <w:sz w:val="24"/>
                <w:szCs w:val="24"/>
              </w:rPr>
              <w:t xml:space="preserve">-test (Cohen’s </w:t>
            </w:r>
            <w:r w:rsidRPr="00832F7C">
              <w:rPr>
                <w:i/>
                <w:iCs/>
                <w:sz w:val="24"/>
                <w:szCs w:val="24"/>
              </w:rPr>
              <w:t>d</w:t>
            </w:r>
            <w:r w:rsidRPr="00832F7C">
              <w:rPr>
                <w:sz w:val="24"/>
                <w:szCs w:val="24"/>
              </w:rPr>
              <w:t>) **</w:t>
            </w:r>
          </w:p>
        </w:tc>
        <w:tc>
          <w:tcPr>
            <w:tcW w:w="990" w:type="dxa"/>
            <w:tcBorders>
              <w:bottom w:val="nil"/>
            </w:tcBorders>
            <w:shd w:val="clear" w:color="auto" w:fill="auto"/>
            <w:tcMar>
              <w:top w:w="0" w:type="dxa"/>
              <w:left w:w="75" w:type="dxa"/>
              <w:bottom w:w="0" w:type="dxa"/>
              <w:right w:w="75" w:type="dxa"/>
            </w:tcMar>
            <w:vAlign w:val="center"/>
            <w:hideMark/>
          </w:tcPr>
          <w:p w14:paraId="44BB0556" w14:textId="77777777" w:rsidR="00A30DBD" w:rsidRPr="00832F7C" w:rsidRDefault="00000000" w:rsidP="007742A5">
            <w:pPr>
              <w:pStyle w:val="table"/>
              <w:spacing w:line="240" w:lineRule="auto"/>
              <w:rPr>
                <w:sz w:val="24"/>
                <w:szCs w:val="24"/>
              </w:rPr>
            </w:pPr>
            <w:r w:rsidRPr="00832F7C">
              <w:rPr>
                <w:sz w:val="24"/>
                <w:szCs w:val="24"/>
              </w:rPr>
              <w:t>One</w:t>
            </w:r>
          </w:p>
        </w:tc>
        <w:tc>
          <w:tcPr>
            <w:tcW w:w="2063" w:type="dxa"/>
            <w:tcBorders>
              <w:bottom w:val="nil"/>
            </w:tcBorders>
            <w:shd w:val="clear" w:color="auto" w:fill="auto"/>
            <w:tcMar>
              <w:top w:w="0" w:type="dxa"/>
              <w:left w:w="75" w:type="dxa"/>
              <w:bottom w:w="0" w:type="dxa"/>
              <w:right w:w="75" w:type="dxa"/>
            </w:tcMar>
            <w:vAlign w:val="center"/>
            <w:hideMark/>
          </w:tcPr>
          <w:p w14:paraId="55C88025" w14:textId="77777777" w:rsidR="00A30DBD" w:rsidRPr="00832F7C" w:rsidRDefault="00000000" w:rsidP="007742A5">
            <w:pPr>
              <w:pStyle w:val="table"/>
              <w:spacing w:line="240" w:lineRule="auto"/>
              <w:rPr>
                <w:sz w:val="24"/>
                <w:szCs w:val="24"/>
              </w:rPr>
            </w:pPr>
            <w:r w:rsidRPr="00832F7C">
              <w:rPr>
                <w:sz w:val="24"/>
                <w:szCs w:val="24"/>
              </w:rPr>
              <w:t>Point estimate</w:t>
            </w:r>
          </w:p>
        </w:tc>
        <w:tc>
          <w:tcPr>
            <w:tcW w:w="626" w:type="dxa"/>
            <w:tcBorders>
              <w:bottom w:val="nil"/>
            </w:tcBorders>
            <w:shd w:val="clear" w:color="auto" w:fill="auto"/>
            <w:tcMar>
              <w:top w:w="0" w:type="dxa"/>
              <w:left w:w="75" w:type="dxa"/>
              <w:bottom w:w="0" w:type="dxa"/>
              <w:right w:w="75" w:type="dxa"/>
            </w:tcMar>
            <w:vAlign w:val="center"/>
            <w:hideMark/>
          </w:tcPr>
          <w:p w14:paraId="07E8E55C" w14:textId="77777777" w:rsidR="00A30DBD" w:rsidRPr="00832F7C" w:rsidRDefault="00000000" w:rsidP="00AE3B51">
            <w:pPr>
              <w:pStyle w:val="table"/>
              <w:spacing w:line="240" w:lineRule="auto"/>
              <w:jc w:val="center"/>
              <w:rPr>
                <w:sz w:val="24"/>
                <w:szCs w:val="24"/>
              </w:rPr>
            </w:pPr>
            <w:r w:rsidRPr="00832F7C">
              <w:rPr>
                <w:sz w:val="24"/>
                <w:szCs w:val="24"/>
              </w:rPr>
              <w:t>1.01</w:t>
            </w:r>
          </w:p>
        </w:tc>
        <w:tc>
          <w:tcPr>
            <w:tcW w:w="930" w:type="dxa"/>
            <w:tcBorders>
              <w:bottom w:val="nil"/>
            </w:tcBorders>
            <w:vAlign w:val="center"/>
          </w:tcPr>
          <w:p w14:paraId="0CB3ACB4" w14:textId="77777777" w:rsidR="00A30DBD" w:rsidRPr="00832F7C" w:rsidRDefault="00000000" w:rsidP="00AE3B51">
            <w:pPr>
              <w:pStyle w:val="table"/>
              <w:spacing w:line="240" w:lineRule="auto"/>
              <w:jc w:val="center"/>
              <w:rPr>
                <w:sz w:val="24"/>
                <w:szCs w:val="24"/>
              </w:rPr>
            </w:pPr>
            <w:r w:rsidRPr="00832F7C">
              <w:rPr>
                <w:sz w:val="24"/>
                <w:szCs w:val="24"/>
              </w:rPr>
              <w:t>8</w:t>
            </w:r>
          </w:p>
        </w:tc>
        <w:tc>
          <w:tcPr>
            <w:tcW w:w="898" w:type="dxa"/>
            <w:tcBorders>
              <w:bottom w:val="nil"/>
            </w:tcBorders>
            <w:vAlign w:val="center"/>
          </w:tcPr>
          <w:p w14:paraId="63F5244B" w14:textId="77777777" w:rsidR="00A30DBD" w:rsidRPr="00832F7C" w:rsidRDefault="00000000" w:rsidP="00AE3B51">
            <w:pPr>
              <w:pStyle w:val="table"/>
              <w:spacing w:line="240" w:lineRule="auto"/>
              <w:jc w:val="center"/>
              <w:rPr>
                <w:sz w:val="24"/>
                <w:szCs w:val="24"/>
              </w:rPr>
            </w:pPr>
            <w:r w:rsidRPr="00832F7C">
              <w:rPr>
                <w:sz w:val="24"/>
                <w:szCs w:val="24"/>
              </w:rPr>
              <w:t>8</w:t>
            </w:r>
          </w:p>
        </w:tc>
        <w:tc>
          <w:tcPr>
            <w:tcW w:w="622" w:type="dxa"/>
            <w:tcBorders>
              <w:bottom w:val="nil"/>
            </w:tcBorders>
            <w:vAlign w:val="center"/>
          </w:tcPr>
          <w:p w14:paraId="4E7E4635" w14:textId="77777777" w:rsidR="00A30DBD" w:rsidRPr="00832F7C" w:rsidRDefault="00000000" w:rsidP="00AE3B51">
            <w:pPr>
              <w:pStyle w:val="table"/>
              <w:spacing w:line="240" w:lineRule="auto"/>
              <w:jc w:val="center"/>
              <w:rPr>
                <w:sz w:val="24"/>
                <w:szCs w:val="24"/>
              </w:rPr>
            </w:pPr>
            <w:r w:rsidRPr="00832F7C">
              <w:rPr>
                <w:sz w:val="24"/>
                <w:szCs w:val="24"/>
              </w:rPr>
              <w:t>.45</w:t>
            </w:r>
          </w:p>
        </w:tc>
        <w:tc>
          <w:tcPr>
            <w:tcW w:w="886" w:type="dxa"/>
            <w:tcBorders>
              <w:bottom w:val="nil"/>
            </w:tcBorders>
            <w:vAlign w:val="center"/>
          </w:tcPr>
          <w:p w14:paraId="5D584DD9" w14:textId="77777777" w:rsidR="00A30DBD" w:rsidRPr="00832F7C" w:rsidRDefault="00000000" w:rsidP="00AE3B51">
            <w:pPr>
              <w:pStyle w:val="table"/>
              <w:spacing w:line="240" w:lineRule="auto"/>
              <w:jc w:val="center"/>
              <w:rPr>
                <w:sz w:val="24"/>
                <w:szCs w:val="24"/>
              </w:rPr>
            </w:pPr>
            <w:r w:rsidRPr="00832F7C">
              <w:rPr>
                <w:sz w:val="24"/>
                <w:szCs w:val="24"/>
              </w:rPr>
              <w:t>32</w:t>
            </w:r>
          </w:p>
        </w:tc>
      </w:tr>
      <w:tr w:rsidR="00AA6907" w:rsidRPr="00832F7C" w14:paraId="6374A3C0" w14:textId="77777777" w:rsidTr="00AE3B51">
        <w:trP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14:paraId="2558AC6F" w14:textId="77777777" w:rsidR="00A30DBD" w:rsidRPr="00832F7C" w:rsidRDefault="00000000" w:rsidP="007742A5">
            <w:pPr>
              <w:pStyle w:val="table"/>
              <w:spacing w:line="240" w:lineRule="auto"/>
              <w:rPr>
                <w:sz w:val="24"/>
                <w:szCs w:val="24"/>
              </w:rPr>
            </w:pPr>
            <w:r w:rsidRPr="00832F7C">
              <w:rPr>
                <w:sz w:val="24"/>
                <w:szCs w:val="24"/>
              </w:rPr>
              <w:t xml:space="preserve">Dependent </w:t>
            </w:r>
            <w:r w:rsidRPr="00832F7C">
              <w:rPr>
                <w:i/>
                <w:iCs/>
                <w:sz w:val="24"/>
                <w:szCs w:val="24"/>
              </w:rPr>
              <w:t>t</w:t>
            </w:r>
            <w:r w:rsidRPr="00832F7C">
              <w:rPr>
                <w:sz w:val="24"/>
                <w:szCs w:val="24"/>
              </w:rPr>
              <w:t xml:space="preserve">-test (Cohen’s </w:t>
            </w:r>
            <w:r w:rsidRPr="00832F7C">
              <w:rPr>
                <w:i/>
                <w:iCs/>
                <w:sz w:val="24"/>
                <w:szCs w:val="24"/>
              </w:rPr>
              <w:t>d</w:t>
            </w:r>
            <w:r w:rsidRPr="00832F7C">
              <w:rPr>
                <w:sz w:val="24"/>
                <w:szCs w:val="24"/>
              </w:rPr>
              <w:t>) **</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55DBE13C" w14:textId="77777777" w:rsidR="00A30DBD" w:rsidRPr="00832F7C" w:rsidRDefault="00000000" w:rsidP="007742A5">
            <w:pPr>
              <w:pStyle w:val="table"/>
              <w:spacing w:line="240" w:lineRule="auto"/>
              <w:rPr>
                <w:sz w:val="24"/>
                <w:szCs w:val="24"/>
              </w:rPr>
            </w:pPr>
            <w:r w:rsidRPr="00832F7C">
              <w:rPr>
                <w:sz w:val="24"/>
                <w:szCs w:val="24"/>
              </w:rPr>
              <w:t>One</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14:paraId="6F5C9C80" w14:textId="77777777" w:rsidR="00A30DBD" w:rsidRPr="00832F7C" w:rsidRDefault="00000000" w:rsidP="007742A5">
            <w:pPr>
              <w:pStyle w:val="table"/>
              <w:spacing w:line="240" w:lineRule="auto"/>
              <w:rPr>
                <w:sz w:val="24"/>
                <w:szCs w:val="24"/>
              </w:rPr>
            </w:pPr>
            <w:r w:rsidRPr="00832F7C">
              <w:rPr>
                <w:sz w:val="24"/>
                <w:szCs w:val="24"/>
              </w:rPr>
              <w:t>Lower bound of 95% CI</w:t>
            </w:r>
          </w:p>
        </w:tc>
        <w:tc>
          <w:tcPr>
            <w:tcW w:w="626" w:type="dxa"/>
            <w:tcBorders>
              <w:top w:val="nil"/>
              <w:bottom w:val="single" w:sz="4" w:space="0" w:color="auto"/>
            </w:tcBorders>
            <w:shd w:val="clear" w:color="auto" w:fill="auto"/>
            <w:tcMar>
              <w:top w:w="0" w:type="dxa"/>
              <w:left w:w="75" w:type="dxa"/>
              <w:bottom w:w="0" w:type="dxa"/>
              <w:right w:w="75" w:type="dxa"/>
            </w:tcMar>
            <w:vAlign w:val="center"/>
            <w:hideMark/>
          </w:tcPr>
          <w:p w14:paraId="4EECD54F" w14:textId="77777777" w:rsidR="00A30DBD" w:rsidRPr="00832F7C" w:rsidRDefault="00000000" w:rsidP="00AE3B51">
            <w:pPr>
              <w:pStyle w:val="table"/>
              <w:spacing w:line="240" w:lineRule="auto"/>
              <w:jc w:val="center"/>
              <w:rPr>
                <w:sz w:val="24"/>
                <w:szCs w:val="24"/>
              </w:rPr>
            </w:pPr>
            <w:r w:rsidRPr="00832F7C">
              <w:rPr>
                <w:sz w:val="24"/>
                <w:szCs w:val="24"/>
              </w:rPr>
              <w:t>0.87</w:t>
            </w:r>
          </w:p>
        </w:tc>
        <w:tc>
          <w:tcPr>
            <w:tcW w:w="930" w:type="dxa"/>
            <w:tcBorders>
              <w:top w:val="nil"/>
              <w:bottom w:val="single" w:sz="4" w:space="0" w:color="auto"/>
            </w:tcBorders>
            <w:vAlign w:val="center"/>
          </w:tcPr>
          <w:p w14:paraId="6EC00672" w14:textId="77777777" w:rsidR="00A30DBD" w:rsidRPr="00832F7C" w:rsidRDefault="00000000" w:rsidP="00AE3B51">
            <w:pPr>
              <w:pStyle w:val="table"/>
              <w:spacing w:line="240" w:lineRule="auto"/>
              <w:jc w:val="center"/>
              <w:rPr>
                <w:sz w:val="24"/>
                <w:szCs w:val="24"/>
              </w:rPr>
            </w:pPr>
            <w:r w:rsidRPr="00832F7C">
              <w:rPr>
                <w:sz w:val="24"/>
                <w:szCs w:val="24"/>
              </w:rPr>
              <w:t>10</w:t>
            </w:r>
          </w:p>
        </w:tc>
        <w:tc>
          <w:tcPr>
            <w:tcW w:w="898" w:type="dxa"/>
            <w:tcBorders>
              <w:top w:val="nil"/>
              <w:bottom w:val="single" w:sz="4" w:space="0" w:color="auto"/>
            </w:tcBorders>
            <w:vAlign w:val="center"/>
          </w:tcPr>
          <w:p w14:paraId="57C43FF2" w14:textId="77777777" w:rsidR="00A30DBD" w:rsidRPr="00832F7C" w:rsidRDefault="00000000" w:rsidP="00AE3B51">
            <w:pPr>
              <w:pStyle w:val="table"/>
              <w:spacing w:line="240" w:lineRule="auto"/>
              <w:jc w:val="center"/>
              <w:rPr>
                <w:sz w:val="24"/>
                <w:szCs w:val="24"/>
              </w:rPr>
            </w:pPr>
            <w:r w:rsidRPr="00832F7C">
              <w:rPr>
                <w:sz w:val="24"/>
                <w:szCs w:val="24"/>
              </w:rPr>
              <w:t>10</w:t>
            </w:r>
          </w:p>
        </w:tc>
        <w:tc>
          <w:tcPr>
            <w:tcW w:w="622" w:type="dxa"/>
            <w:tcBorders>
              <w:top w:val="nil"/>
              <w:bottom w:val="single" w:sz="4" w:space="0" w:color="auto"/>
            </w:tcBorders>
            <w:vAlign w:val="center"/>
          </w:tcPr>
          <w:p w14:paraId="1ED5FC69" w14:textId="77777777" w:rsidR="00A30DBD" w:rsidRPr="00832F7C" w:rsidRDefault="00000000" w:rsidP="00AE3B51">
            <w:pPr>
              <w:pStyle w:val="table"/>
              <w:spacing w:line="240" w:lineRule="auto"/>
              <w:jc w:val="center"/>
              <w:rPr>
                <w:sz w:val="24"/>
                <w:szCs w:val="24"/>
              </w:rPr>
            </w:pPr>
            <w:r w:rsidRPr="00832F7C">
              <w:rPr>
                <w:sz w:val="24"/>
                <w:szCs w:val="24"/>
              </w:rPr>
              <w:t>.30</w:t>
            </w:r>
          </w:p>
        </w:tc>
        <w:tc>
          <w:tcPr>
            <w:tcW w:w="886" w:type="dxa"/>
            <w:tcBorders>
              <w:top w:val="nil"/>
              <w:bottom w:val="single" w:sz="4" w:space="0" w:color="auto"/>
            </w:tcBorders>
            <w:vAlign w:val="center"/>
          </w:tcPr>
          <w:p w14:paraId="1241054A" w14:textId="77777777" w:rsidR="00A30DBD" w:rsidRPr="00832F7C" w:rsidRDefault="00000000" w:rsidP="00AE3B51">
            <w:pPr>
              <w:pStyle w:val="table"/>
              <w:spacing w:line="240" w:lineRule="auto"/>
              <w:jc w:val="center"/>
              <w:rPr>
                <w:sz w:val="24"/>
                <w:szCs w:val="24"/>
              </w:rPr>
            </w:pPr>
            <w:r w:rsidRPr="00832F7C">
              <w:rPr>
                <w:sz w:val="24"/>
                <w:szCs w:val="24"/>
              </w:rPr>
              <w:t>69</w:t>
            </w:r>
          </w:p>
        </w:tc>
      </w:tr>
      <w:tr w:rsidR="00AA6907" w:rsidRPr="00832F7C" w14:paraId="33AC9EB3"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0CBADB9D" w14:textId="77777777" w:rsidR="00A30DBD" w:rsidRPr="00832F7C" w:rsidRDefault="00000000" w:rsidP="007742A5">
            <w:pPr>
              <w:pStyle w:val="table"/>
              <w:spacing w:line="240" w:lineRule="auto"/>
              <w:rPr>
                <w:sz w:val="24"/>
                <w:szCs w:val="24"/>
              </w:rPr>
            </w:pPr>
            <w:r w:rsidRPr="00832F7C">
              <w:rPr>
                <w:sz w:val="24"/>
                <w:szCs w:val="24"/>
              </w:rPr>
              <w:t xml:space="preserve">Notes: </w:t>
            </w:r>
          </w:p>
          <w:p w14:paraId="7787C7DC" w14:textId="77777777" w:rsidR="00A30DBD" w:rsidRPr="00832F7C" w:rsidRDefault="00000000" w:rsidP="007742A5">
            <w:pPr>
              <w:pStyle w:val="table"/>
              <w:spacing w:line="240" w:lineRule="auto"/>
              <w:rPr>
                <w:sz w:val="24"/>
                <w:szCs w:val="24"/>
              </w:rPr>
            </w:pPr>
            <w:r w:rsidRPr="00832F7C">
              <w:rPr>
                <w:sz w:val="24"/>
                <w:szCs w:val="24"/>
              </w:rPr>
              <w:t xml:space="preserve">* Researchers often use the point estimate of the meta-effect size. Perugini et al. </w:t>
            </w:r>
            <w:r w:rsidRPr="00832F7C">
              <w:rPr>
                <w:sz w:val="24"/>
                <w:szCs w:val="24"/>
              </w:rPr>
              <w:fldChar w:fldCharType="begin"/>
            </w:r>
            <w:r w:rsidRPr="00832F7C">
              <w:rPr>
                <w:sz w:val="24"/>
                <w:szCs w:val="24"/>
              </w:rP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rsidRPr="00832F7C">
              <w:rPr>
                <w:sz w:val="24"/>
                <w:szCs w:val="24"/>
              </w:rPr>
              <w:fldChar w:fldCharType="separate"/>
            </w:r>
            <w:r w:rsidRPr="00832F7C">
              <w:rPr>
                <w:noProof/>
                <w:sz w:val="24"/>
                <w:szCs w:val="24"/>
              </w:rPr>
              <w:t>(2014)</w:t>
            </w:r>
            <w:r w:rsidRPr="00832F7C">
              <w:rPr>
                <w:sz w:val="24"/>
                <w:szCs w:val="24"/>
              </w:rPr>
              <w:fldChar w:fldCharType="end"/>
            </w:r>
            <w:r w:rsidRPr="00832F7C">
              <w:rPr>
                <w:sz w:val="24"/>
                <w:szCs w:val="24"/>
              </w:rPr>
              <w:t xml:space="preserve"> recommended the lower bound of the 95% CI instead. Vahey et al. (2015) used both for power analyses.</w:t>
            </w:r>
          </w:p>
          <w:p w14:paraId="2F0B3B1C" w14:textId="77777777" w:rsidR="00A30DBD" w:rsidRPr="00832F7C" w:rsidRDefault="00000000" w:rsidP="007742A5">
            <w:pPr>
              <w:pStyle w:val="table"/>
              <w:spacing w:line="240" w:lineRule="auto"/>
              <w:rPr>
                <w:sz w:val="24"/>
                <w:szCs w:val="24"/>
              </w:rPr>
            </w:pPr>
            <w:r w:rsidRPr="00832F7C">
              <w:rPr>
                <w:sz w:val="24"/>
                <w:szCs w:val="24"/>
              </w:rPr>
              <w:t xml:space="preserve">** Necessary conversions from </w:t>
            </w:r>
            <w:r w:rsidRPr="00832F7C">
              <w:rPr>
                <w:i/>
                <w:iCs/>
                <w:sz w:val="24"/>
                <w:szCs w:val="24"/>
              </w:rPr>
              <w:t>d</w:t>
            </w:r>
            <w:r w:rsidRPr="00832F7C">
              <w:rPr>
                <w:sz w:val="24"/>
                <w:szCs w:val="24"/>
              </w:rPr>
              <w:t xml:space="preserve"> to </w:t>
            </w:r>
            <w:r w:rsidRPr="00832F7C">
              <w:rPr>
                <w:i/>
                <w:iCs/>
                <w:sz w:val="24"/>
                <w:szCs w:val="24"/>
              </w:rPr>
              <w:t>r</w:t>
            </w:r>
            <w:r w:rsidRPr="00832F7C">
              <w:rPr>
                <w:sz w:val="24"/>
                <w:szCs w:val="24"/>
              </w:rPr>
              <w:t xml:space="preserve"> were not reported in Vahey et al. (2015</w:t>
            </w:r>
            <w:proofErr w:type="gramStart"/>
            <w:r w:rsidRPr="00832F7C">
              <w:rPr>
                <w:sz w:val="24"/>
                <w:szCs w:val="24"/>
              </w:rPr>
              <w:t>), but</w:t>
            </w:r>
            <w:proofErr w:type="gramEnd"/>
            <w:r w:rsidRPr="00832F7C">
              <w:rPr>
                <w:sz w:val="24"/>
                <w:szCs w:val="24"/>
              </w:rPr>
              <w:t xml:space="preserve"> are recalculated here using the effectsize R package’s ‘r_to_d’ function.</w:t>
            </w:r>
          </w:p>
          <w:p w14:paraId="5CE76222" w14:textId="77777777" w:rsidR="00A30DBD" w:rsidRPr="00832F7C" w:rsidRDefault="00000000" w:rsidP="007742A5">
            <w:pPr>
              <w:pStyle w:val="table"/>
              <w:spacing w:line="240" w:lineRule="auto"/>
              <w:rPr>
                <w:sz w:val="24"/>
                <w:szCs w:val="24"/>
              </w:rPr>
            </w:pPr>
            <w:r w:rsidRPr="00832F7C">
              <w:rPr>
                <w:sz w:val="24"/>
                <w:szCs w:val="24"/>
              </w:rPr>
              <w:t>*** Discrepancy between the result reported by Vahey et al. (2015) and the recalculated result</w:t>
            </w:r>
          </w:p>
        </w:tc>
      </w:tr>
    </w:tbl>
    <w:p w14:paraId="00510589" w14:textId="77777777" w:rsidR="00664B6B" w:rsidRPr="00832F7C" w:rsidRDefault="00664B6B" w:rsidP="00D77465"/>
    <w:p w14:paraId="3F4DF757" w14:textId="77777777" w:rsidR="000967B0" w:rsidRPr="00832F7C" w:rsidRDefault="000967B0" w:rsidP="00D77465"/>
    <w:p w14:paraId="2D16A2A5" w14:textId="77777777" w:rsidR="000967B0" w:rsidRPr="00832F7C" w:rsidRDefault="000967B0" w:rsidP="00D77465">
      <w:pPr>
        <w:sectPr w:rsidR="000967B0" w:rsidRPr="00832F7C" w:rsidSect="00D77465">
          <w:type w:val="continuous"/>
          <w:pgSz w:w="11900" w:h="16840"/>
          <w:pgMar w:top="1440" w:right="1440" w:bottom="1440" w:left="1440" w:header="709" w:footer="709" w:gutter="0"/>
          <w:cols w:space="340"/>
          <w:titlePg/>
          <w:docGrid w:linePitch="360"/>
          <w15:footnoteColumns w:val="1"/>
        </w:sectPr>
      </w:pPr>
    </w:p>
    <w:p w14:paraId="0858B079" w14:textId="77777777" w:rsidR="00663892" w:rsidRPr="00832F7C" w:rsidRDefault="00663892" w:rsidP="00D77465">
      <w:pPr>
        <w:pStyle w:val="Heading2"/>
      </w:pPr>
      <w:r w:rsidRPr="00832F7C">
        <w:t>Power analyses</w:t>
      </w:r>
    </w:p>
    <w:p w14:paraId="73D7B8A2" w14:textId="69977C29" w:rsidR="00167193" w:rsidRPr="00832F7C" w:rsidRDefault="00663892" w:rsidP="00167193">
      <w:r w:rsidRPr="00832F7C">
        <w:t xml:space="preserve">Details of the power analyses </w:t>
      </w:r>
      <w:r w:rsidR="00AE3B51">
        <w:t>reported</w:t>
      </w:r>
      <w:r w:rsidRPr="00832F7C">
        <w:t xml:space="preserve"> </w:t>
      </w:r>
      <w:r w:rsidR="00AE3B51">
        <w:t>in</w:t>
      </w:r>
      <w:r w:rsidRPr="00832F7C">
        <w:t xml:space="preserve"> Vahey et al. (2015) were extracted</w:t>
      </w:r>
      <w:r w:rsidR="00DF4754">
        <w:t xml:space="preserve"> from the article</w:t>
      </w:r>
      <w:r w:rsidRPr="00832F7C">
        <w:t xml:space="preserve">. This included the meta-effect size used (i.e., using point estimate or lower bound Confidence Interval, following </w:t>
      </w:r>
      <w:proofErr w:type="spellStart"/>
      <w:r w:rsidRPr="00832F7C">
        <w:t>Perugini</w:t>
      </w:r>
      <w:proofErr w:type="spellEnd"/>
      <w:r w:rsidRPr="00832F7C">
        <w:t xml:space="preserve"> et al.’s recommendation, as adopted in Vahey et al. 2015), </w:t>
      </w:r>
      <w:r w:rsidR="00350B4F">
        <w:t xml:space="preserve">the statistical </w:t>
      </w:r>
      <w:r w:rsidRPr="00832F7C">
        <w:t xml:space="preserve">test (Pearson’s </w:t>
      </w:r>
      <w:r w:rsidRPr="00832F7C">
        <w:rPr>
          <w:i/>
          <w:iCs/>
        </w:rPr>
        <w:t>r</w:t>
      </w:r>
      <w:r w:rsidRPr="00832F7C">
        <w:t xml:space="preserve"> correlation, independent </w:t>
      </w:r>
      <w:r w:rsidRPr="00832F7C">
        <w:rPr>
          <w:i/>
          <w:iCs/>
        </w:rPr>
        <w:t>t</w:t>
      </w:r>
      <w:r w:rsidRPr="00832F7C">
        <w:t xml:space="preserve">-test, dependent </w:t>
      </w:r>
      <w:r w:rsidRPr="00832F7C">
        <w:rPr>
          <w:i/>
          <w:iCs/>
        </w:rPr>
        <w:t>t</w:t>
      </w:r>
      <w:r w:rsidRPr="00832F7C">
        <w:t xml:space="preserve">-test), the direction of hypothesis (one-sided vs. two-sided), and the recommended sample size (i.e., the result of the test). Verification tests were performed using the </w:t>
      </w:r>
      <w:proofErr w:type="spellStart"/>
      <w:r w:rsidRPr="00832F7C">
        <w:t>pwr</w:t>
      </w:r>
      <w:proofErr w:type="spellEnd"/>
      <w:r w:rsidRPr="00832F7C">
        <w:t xml:space="preserve"> R library </w:t>
      </w:r>
      <w:r w:rsidRPr="00832F7C">
        <w:fldChar w:fldCharType="begin"/>
      </w:r>
      <w:r w:rsidRPr="00832F7C">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832F7C">
        <w:fldChar w:fldCharType="separate"/>
      </w:r>
      <w:r w:rsidRPr="00832F7C">
        <w:rPr>
          <w:noProof/>
        </w:rPr>
        <w:t>(Champely, 2016)</w:t>
      </w:r>
      <w:r w:rsidRPr="00832F7C">
        <w:fldChar w:fldCharType="end"/>
      </w:r>
      <w:r w:rsidRPr="00832F7C">
        <w:t xml:space="preserve">. Table 1 contains the results of both the power analyses reported </w:t>
      </w:r>
      <w:r w:rsidR="00247DA7">
        <w:t>in</w:t>
      </w:r>
      <w:r w:rsidRPr="00832F7C">
        <w:t xml:space="preserve"> Vahey et al. (2015) </w:t>
      </w:r>
      <w:r w:rsidRPr="00832F7C">
        <w:lastRenderedPageBreak/>
        <w:t xml:space="preserve">and those of the verification analyses. As can be seen in the table, Vahey et al.’s (2015) sample size recommendations were found to be computationally reproducible when their meta-analytic effect size was used, with one exception (difference </w:t>
      </w:r>
      <w:r w:rsidRPr="00832F7C">
        <w:rPr>
          <w:i/>
          <w:iCs/>
        </w:rPr>
        <w:t>N</w:t>
      </w:r>
      <w:r w:rsidRPr="00832F7C">
        <w:t xml:space="preserve"> = 36 vs. 34).</w:t>
      </w:r>
      <w:r w:rsidR="00167193" w:rsidRPr="00832F7C">
        <w:t xml:space="preserve"> </w:t>
      </w:r>
    </w:p>
    <w:p w14:paraId="4B34E510" w14:textId="4324BF9D" w:rsidR="00E40521" w:rsidRPr="00832F7C" w:rsidRDefault="008D2DF7" w:rsidP="00167193">
      <w:pPr>
        <w:pStyle w:val="Heading2"/>
      </w:pPr>
      <w:r w:rsidRPr="00832F7C">
        <w:t>Meta-analysis</w:t>
      </w:r>
    </w:p>
    <w:p w14:paraId="47447825" w14:textId="77777777" w:rsidR="0017243A" w:rsidRPr="00832F7C" w:rsidRDefault="00000000" w:rsidP="00974D7B">
      <w:pPr>
        <w:pStyle w:val="Heading3"/>
      </w:pPr>
      <w:r w:rsidRPr="00832F7C">
        <w:t>Issues with the meta-analysis</w:t>
      </w:r>
      <w:r w:rsidR="00AA71D9" w:rsidRPr="00832F7C">
        <w:t xml:space="preserve"> </w:t>
      </w:r>
      <w:r w:rsidR="000521C2" w:rsidRPr="00832F7C">
        <w:t>results</w:t>
      </w:r>
    </w:p>
    <w:p w14:paraId="28C1FB69" w14:textId="1E7737BA" w:rsidR="00E64BE8" w:rsidRPr="00832F7C" w:rsidRDefault="00000000" w:rsidP="00D77465">
      <w:r w:rsidRPr="00832F7C">
        <w:t>Vahey et al. (2015)</w:t>
      </w:r>
      <w:r w:rsidR="00637EF6" w:rsidRPr="00832F7C">
        <w:t xml:space="preserve"> reported a meta-analytic effect size, 95% </w:t>
      </w:r>
      <w:r w:rsidR="00BE42D5" w:rsidRPr="00832F7C">
        <w:t>Confidence Interval</w:t>
      </w:r>
      <w:r w:rsidR="00637EF6" w:rsidRPr="00832F7C">
        <w:t xml:space="preserve">s, and 95% </w:t>
      </w:r>
      <w:r w:rsidR="00BE42D5" w:rsidRPr="00832F7C">
        <w:t>Credibility Interval</w:t>
      </w:r>
      <w:r w:rsidR="00637EF6" w:rsidRPr="00832F7C">
        <w:t xml:space="preserve">s. These were extracted from Vahey et al.’s (2015) forest plot </w:t>
      </w:r>
      <w:r w:rsidR="00984B3D" w:rsidRPr="00832F7C">
        <w:t xml:space="preserve">in </w:t>
      </w:r>
      <w:r w:rsidR="00E22DAA">
        <w:t>that article’s</w:t>
      </w:r>
      <w:r w:rsidR="00984B3D" w:rsidRPr="00832F7C">
        <w:t xml:space="preserve"> Figure 1 </w:t>
      </w:r>
      <w:r w:rsidR="00637EF6" w:rsidRPr="00832F7C">
        <w:t>(</w:t>
      </w:r>
      <w:r w:rsidR="00984B3D" w:rsidRPr="00832F7C">
        <w:t xml:space="preserve">for </w:t>
      </w:r>
      <m:oMath>
        <m:acc>
          <m:accPr>
            <m:chr m:val="̅"/>
            <m:ctrlPr>
              <w:rPr>
                <w:rFonts w:ascii="Cambria Math" w:hAnsi="Cambria Math"/>
                <w:i/>
              </w:rPr>
            </m:ctrlPr>
          </m:accPr>
          <m:e>
            <m:r>
              <w:rPr>
                <w:rFonts w:ascii="Cambria Math" w:hAnsi="Cambria Math"/>
              </w:rPr>
              <m:t>r</m:t>
            </m:r>
          </m:e>
        </m:acc>
      </m:oMath>
      <w:r w:rsidR="007953D8" w:rsidRPr="00832F7C">
        <w:t xml:space="preserve"> </w:t>
      </w:r>
      <w:r w:rsidR="00637EF6" w:rsidRPr="00832F7C">
        <w:t>and CR) and the text on page</w:t>
      </w:r>
      <w:r w:rsidR="00182CB6" w:rsidRPr="00832F7C">
        <w:t>s 62-63</w:t>
      </w:r>
      <w:r w:rsidR="00637EF6" w:rsidRPr="00832F7C">
        <w:t xml:space="preserve"> (</w:t>
      </w:r>
      <w:r w:rsidR="00984B3D" w:rsidRPr="00832F7C">
        <w:t xml:space="preserve">for the </w:t>
      </w:r>
      <w:r w:rsidR="00637EF6" w:rsidRPr="00832F7C">
        <w:t>CI)</w:t>
      </w:r>
      <w:r w:rsidR="002001D3" w:rsidRPr="00832F7C">
        <w:t xml:space="preserve">: </w:t>
      </w:r>
      <m:oMath>
        <m:acc>
          <m:accPr>
            <m:chr m:val="̅"/>
            <m:ctrlPr>
              <w:rPr>
                <w:rFonts w:ascii="Cambria Math" w:hAnsi="Cambria Math"/>
                <w:i/>
              </w:rPr>
            </m:ctrlPr>
          </m:accPr>
          <m:e>
            <m:r>
              <w:rPr>
                <w:rFonts w:ascii="Cambria Math" w:hAnsi="Cambria Math"/>
              </w:rPr>
              <m:t>r</m:t>
            </m:r>
          </m:e>
        </m:acc>
      </m:oMath>
      <w:r w:rsidR="002001D3" w:rsidRPr="00832F7C">
        <w:t xml:space="preserve"> = .45, 95% CI [.40, .54], 95% CR [.23, .67]</w:t>
      </w:r>
      <w:r w:rsidR="00637EF6" w:rsidRPr="00832F7C">
        <w:t xml:space="preserve">. </w:t>
      </w:r>
    </w:p>
    <w:p w14:paraId="34D6A810" w14:textId="119FABAA" w:rsidR="00486207" w:rsidRPr="00832F7C" w:rsidRDefault="00000000" w:rsidP="00D77465">
      <w:r w:rsidRPr="00832F7C">
        <w:t xml:space="preserve">Prior to any attempt to reproduce these results, it is </w:t>
      </w:r>
      <w:r w:rsidR="00E64BE8" w:rsidRPr="00832F7C">
        <w:t xml:space="preserve">important to note that the point estimate and confidence intervals are not possible: </w:t>
      </w:r>
      <w:r w:rsidRPr="00832F7C">
        <w:t xml:space="preserve">the upper bound </w:t>
      </w:r>
      <w:r w:rsidR="00631636" w:rsidRPr="00832F7C">
        <w:t xml:space="preserve">Confidence Interval </w:t>
      </w:r>
      <w:r w:rsidRPr="00832F7C">
        <w:t>is +</w:t>
      </w:r>
      <w:r w:rsidR="00631636" w:rsidRPr="00832F7C">
        <w:t>.0</w:t>
      </w:r>
      <w:r w:rsidRPr="00832F7C">
        <w:t xml:space="preserve">9 </w:t>
      </w:r>
      <w:r w:rsidR="00631636" w:rsidRPr="00832F7C">
        <w:t xml:space="preserve">larger than the point estimate </w:t>
      </w:r>
      <m:oMath>
        <m:acc>
          <m:accPr>
            <m:chr m:val="̅"/>
            <m:ctrlPr>
              <w:rPr>
                <w:rFonts w:ascii="Cambria Math" w:hAnsi="Cambria Math"/>
                <w:i/>
              </w:rPr>
            </m:ctrlPr>
          </m:accPr>
          <m:e>
            <m:r>
              <w:rPr>
                <w:rFonts w:ascii="Cambria Math" w:hAnsi="Cambria Math"/>
              </w:rPr>
              <m:t>r</m:t>
            </m:r>
          </m:e>
        </m:acc>
      </m:oMath>
      <w:r w:rsidRPr="00832F7C">
        <w:t xml:space="preserve">, whereas the lower bound </w:t>
      </w:r>
      <w:r w:rsidR="00631636" w:rsidRPr="00832F7C">
        <w:t xml:space="preserve">Confidence Interval is </w:t>
      </w:r>
      <w:r w:rsidRPr="00832F7C">
        <w:t>-</w:t>
      </w:r>
      <w:r w:rsidR="00631636" w:rsidRPr="00832F7C">
        <w:t>.0</w:t>
      </w:r>
      <w:r w:rsidRPr="00832F7C">
        <w:t xml:space="preserve">5 </w:t>
      </w:r>
      <w:r w:rsidR="00631636" w:rsidRPr="00832F7C">
        <w:t>smaller</w:t>
      </w:r>
      <w:r w:rsidRPr="00832F7C">
        <w:t xml:space="preserve">. </w:t>
      </w:r>
      <w:r w:rsidR="000D1059" w:rsidRPr="00832F7C">
        <w:t xml:space="preserve">While asymmetric intervals are indeed possible (e.g., when using a transformation such as Fisher’s </w:t>
      </w:r>
      <w:r w:rsidR="000D1059" w:rsidRPr="00832F7C">
        <w:rPr>
          <w:i/>
          <w:iCs/>
        </w:rPr>
        <w:t>r</w:t>
      </w:r>
      <w:r w:rsidR="000D1059" w:rsidRPr="00832F7C">
        <w:t>-to-</w:t>
      </w:r>
      <w:r w:rsidR="000D1059" w:rsidRPr="00832F7C">
        <w:rPr>
          <w:i/>
          <w:iCs/>
        </w:rPr>
        <w:t>z</w:t>
      </w:r>
      <w:r w:rsidR="000D1059" w:rsidRPr="00832F7C">
        <w:t xml:space="preserve">), </w:t>
      </w:r>
      <w:r w:rsidR="00FE5D69" w:rsidRPr="00832F7C">
        <w:t>such transformations would create an asymmetry in the opposite direction (i.e., a smaller upper interval and larger lower interval)</w:t>
      </w:r>
      <w:r w:rsidR="000D1059" w:rsidRPr="00832F7C">
        <w:t xml:space="preserve">. </w:t>
      </w:r>
      <w:r w:rsidR="00F23764" w:rsidRPr="00832F7C">
        <w:t xml:space="preserve">I know of no legitimate way to produce a meta-analytic effect size with asymmetric Confidence Intervals of the type </w:t>
      </w:r>
      <w:r w:rsidR="00E22DAA">
        <w:t>reported in</w:t>
      </w:r>
      <w:r w:rsidR="00F23764" w:rsidRPr="00832F7C">
        <w:t xml:space="preserve"> Vahey et al. (2015)</w:t>
      </w:r>
      <w:r w:rsidR="00E22DAA">
        <w:t xml:space="preserve">. They </w:t>
      </w:r>
      <w:r w:rsidR="00F463F9" w:rsidRPr="00832F7C">
        <w:t xml:space="preserve">are, to the best of my knowledge, mathematically impossible. </w:t>
      </w:r>
      <w:r w:rsidR="00CD380D" w:rsidRPr="00832F7C">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rPr>
            </m:ctrlPr>
          </m:accPr>
          <m:e>
            <m:r>
              <w:rPr>
                <w:rFonts w:ascii="Cambria Math" w:hAnsi="Cambria Math"/>
              </w:rPr>
              <m:t>r</m:t>
            </m:r>
          </m:e>
        </m:acc>
      </m:oMath>
      <w:r w:rsidR="00CD380D" w:rsidRPr="00832F7C">
        <w:t xml:space="preserve"> and Credibility Intervals (reported in Figure 1) were obtained from different meta-analyses, employing different data and/or different </w:t>
      </w:r>
      <w:proofErr w:type="spellStart"/>
      <w:r w:rsidR="00CD380D" w:rsidRPr="00832F7C">
        <w:t>modeling</w:t>
      </w:r>
      <w:proofErr w:type="spellEnd"/>
      <w:r w:rsidR="00CD380D" w:rsidRPr="00832F7C">
        <w:t xml:space="preserve"> approaches.</w:t>
      </w:r>
    </w:p>
    <w:p w14:paraId="01D62B62" w14:textId="77777777" w:rsidR="007272CD" w:rsidRPr="00832F7C" w:rsidRDefault="007272CD" w:rsidP="00D77465"/>
    <w:p w14:paraId="0C346E0C" w14:textId="77777777" w:rsidR="008D2DF7" w:rsidRPr="00832F7C" w:rsidRDefault="008D2DF7" w:rsidP="00D77465">
      <w:r w:rsidRPr="00832F7C">
        <w:br w:type="page"/>
      </w:r>
    </w:p>
    <w:p w14:paraId="40EE2C7D" w14:textId="4328B855" w:rsidR="007272CD" w:rsidRPr="00832F7C" w:rsidRDefault="007272CD" w:rsidP="00974D7B">
      <w:pPr>
        <w:ind w:firstLine="0"/>
        <w:rPr>
          <w:b/>
          <w:bCs/>
        </w:rPr>
      </w:pPr>
      <w:r w:rsidRPr="00832F7C">
        <w:rPr>
          <w:b/>
          <w:bCs/>
        </w:rPr>
        <w:lastRenderedPageBreak/>
        <w:t xml:space="preserve">Figure 1. </w:t>
      </w:r>
      <w:r w:rsidRPr="00832F7C">
        <w:t>Weighted-mean effect sizes and their 95% Confidence Intervals extracted from Vahey et al.’s (2015, Figure 1) forest plot.</w:t>
      </w:r>
    </w:p>
    <w:p w14:paraId="0C2D8052" w14:textId="77777777" w:rsidR="007272CD" w:rsidRPr="00832F7C" w:rsidRDefault="007272CD" w:rsidP="00D77465">
      <w:r w:rsidRPr="00832F7C">
        <w:rPr>
          <w:noProof/>
        </w:rPr>
        <w:drawing>
          <wp:inline distT="0" distB="0" distL="0" distR="0" wp14:anchorId="4E6E5CD5" wp14:editId="62C61839">
            <wp:extent cx="4765184" cy="2620851"/>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4822081" cy="2652144"/>
                    </a:xfrm>
                    <a:prstGeom prst="rect">
                      <a:avLst/>
                    </a:prstGeom>
                  </pic:spPr>
                </pic:pic>
              </a:graphicData>
            </a:graphic>
          </wp:inline>
        </w:drawing>
      </w:r>
    </w:p>
    <w:p w14:paraId="48A07326" w14:textId="77777777" w:rsidR="007272CD" w:rsidRPr="00832F7C" w:rsidRDefault="007272CD" w:rsidP="00D77465">
      <w:r w:rsidRPr="00832F7C">
        <w:t xml:space="preserve"> </w:t>
      </w:r>
    </w:p>
    <w:p w14:paraId="7ED3CCCF" w14:textId="77777777" w:rsidR="00C240F1" w:rsidRPr="00832F7C" w:rsidRDefault="00C240F1">
      <w:pPr>
        <w:spacing w:line="240" w:lineRule="auto"/>
        <w:ind w:firstLine="0"/>
        <w:rPr>
          <w:b/>
          <w:bCs/>
        </w:rPr>
      </w:pPr>
      <w:r w:rsidRPr="00832F7C">
        <w:rPr>
          <w:b/>
          <w:bCs/>
        </w:rPr>
        <w:br w:type="page"/>
      </w:r>
    </w:p>
    <w:p w14:paraId="7FBB98EF" w14:textId="6FAA999B" w:rsidR="00F862D8" w:rsidRPr="00832F7C" w:rsidRDefault="00000000" w:rsidP="00974D7B">
      <w:pPr>
        <w:ind w:firstLine="0"/>
        <w:rPr>
          <w:b/>
          <w:bCs/>
        </w:rPr>
      </w:pPr>
      <w:r w:rsidRPr="00832F7C">
        <w:rPr>
          <w:b/>
          <w:bCs/>
        </w:rPr>
        <w:lastRenderedPageBreak/>
        <w:t xml:space="preserve">Figure </w:t>
      </w:r>
      <w:r w:rsidR="00157B0C" w:rsidRPr="00832F7C">
        <w:rPr>
          <w:b/>
          <w:bCs/>
        </w:rPr>
        <w:t>2</w:t>
      </w:r>
      <w:r w:rsidRPr="00832F7C">
        <w:rPr>
          <w:b/>
          <w:bCs/>
        </w:rPr>
        <w:t xml:space="preserve">. </w:t>
      </w:r>
      <w:r w:rsidR="00B21A2E" w:rsidRPr="00832F7C">
        <w:t xml:space="preserve">Discrepancies between the data in </w:t>
      </w:r>
      <w:r w:rsidR="00C55C2C" w:rsidRPr="00832F7C">
        <w:t>Vahey et al.’s (2015)</w:t>
      </w:r>
      <w:r w:rsidR="00B21A2E" w:rsidRPr="00832F7C">
        <w:t xml:space="preserve"> forest plot</w:t>
      </w:r>
      <w:r w:rsidR="00C55C2C" w:rsidRPr="00832F7C">
        <w:t xml:space="preserve"> (their Figure 1) vs. funnel plot (their Figure 2)</w:t>
      </w:r>
      <w:r w:rsidR="00B21A2E" w:rsidRPr="00832F7C">
        <w:t>.</w:t>
      </w:r>
      <w:r w:rsidR="00B21A2E" w:rsidRPr="00832F7C">
        <w:rPr>
          <w:b/>
          <w:bCs/>
        </w:rPr>
        <w:t xml:space="preserve"> </w:t>
      </w:r>
    </w:p>
    <w:p w14:paraId="5AE70641" w14:textId="77777777" w:rsidR="00F862D8" w:rsidRPr="00832F7C" w:rsidRDefault="00000000" w:rsidP="00D77465">
      <w:r w:rsidRPr="00832F7C">
        <w:rPr>
          <w:noProof/>
        </w:rPr>
        <w:drawing>
          <wp:inline distT="0" distB="0" distL="0" distR="0" wp14:anchorId="15F2F814" wp14:editId="1BA04CAF">
            <wp:extent cx="4687910" cy="4047373"/>
            <wp:effectExtent l="0" t="0" r="0" b="4445"/>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4710533" cy="4066904"/>
                    </a:xfrm>
                    <a:prstGeom prst="rect">
                      <a:avLst/>
                    </a:prstGeom>
                  </pic:spPr>
                </pic:pic>
              </a:graphicData>
            </a:graphic>
          </wp:inline>
        </w:drawing>
      </w:r>
    </w:p>
    <w:p w14:paraId="6BE7C7FF" w14:textId="02C3FB69" w:rsidR="00B21A2E" w:rsidRPr="00832F7C" w:rsidRDefault="00000000" w:rsidP="007742A5">
      <w:pPr>
        <w:spacing w:line="240" w:lineRule="auto"/>
        <w:ind w:firstLine="0"/>
      </w:pPr>
      <w:r w:rsidRPr="00832F7C">
        <w:t xml:space="preserve">Note: </w:t>
      </w:r>
      <w:r w:rsidR="008D2DF7" w:rsidRPr="00832F7C">
        <w:t>Figure 2</w:t>
      </w:r>
      <w:r w:rsidR="008B57B9" w:rsidRPr="00832F7C">
        <w:t xml:space="preserve"> was </w:t>
      </w:r>
      <w:r w:rsidRPr="00832F7C">
        <w:t>created from Vahey et al.’s (2015) results reported in their forest plot (their Figure 1) vs. their funnel plot</w:t>
      </w:r>
      <w:r w:rsidR="008B57B9" w:rsidRPr="00832F7C">
        <w:t xml:space="preserve"> (their Figure 2)</w:t>
      </w:r>
      <w:r w:rsidRPr="00832F7C">
        <w:t>. The black dot refers to the location of one weighted mean effect size according to their forest plot. The red dot asterisk refers to its approximate location in their funnel plot (their Figure 2).</w:t>
      </w:r>
      <w:r w:rsidR="00B53296" w:rsidRPr="00832F7C">
        <w:t xml:space="preserve"> Circles refer to data points that match between the two plots.</w:t>
      </w:r>
    </w:p>
    <w:p w14:paraId="35F0806B" w14:textId="77777777" w:rsidR="00367018" w:rsidRPr="00832F7C" w:rsidRDefault="00367018" w:rsidP="003C6E44"/>
    <w:p w14:paraId="770D2B69" w14:textId="77777777" w:rsidR="00974D7B" w:rsidRPr="00832F7C" w:rsidRDefault="00974D7B" w:rsidP="003C6E44"/>
    <w:p w14:paraId="00680066" w14:textId="77777777" w:rsidR="00974D7B" w:rsidRPr="00832F7C" w:rsidRDefault="00974D7B" w:rsidP="003C6E44"/>
    <w:p w14:paraId="2A2F2D9D" w14:textId="77777777" w:rsidR="00C240F1" w:rsidRPr="00832F7C" w:rsidRDefault="00C240F1">
      <w:pPr>
        <w:spacing w:line="240" w:lineRule="auto"/>
        <w:ind w:firstLine="0"/>
        <w:rPr>
          <w:b/>
          <w:bCs/>
        </w:rPr>
      </w:pPr>
      <w:r w:rsidRPr="00832F7C">
        <w:br w:type="page"/>
      </w:r>
    </w:p>
    <w:p w14:paraId="667B493C" w14:textId="1E652AFF" w:rsidR="00C34F86" w:rsidRPr="00832F7C" w:rsidRDefault="00000000" w:rsidP="00974D7B">
      <w:pPr>
        <w:pStyle w:val="Heading3"/>
      </w:pPr>
      <w:r w:rsidRPr="00832F7C">
        <w:lastRenderedPageBreak/>
        <w:t>Issues with the original effect sizes’ Confidence Intervals</w:t>
      </w:r>
    </w:p>
    <w:p w14:paraId="22B55DC3" w14:textId="2D8F4322" w:rsidR="00C34F86" w:rsidRPr="00832F7C" w:rsidRDefault="00000000" w:rsidP="00D77465">
      <w:r w:rsidRPr="00832F7C">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832F7C">
        <w:rPr>
          <w:i/>
          <w:iCs/>
        </w:rPr>
        <w:t>r</w:t>
      </w:r>
      <w:r w:rsidRPr="00832F7C">
        <w:t xml:space="preserve"> values and its Confidence Intervals. As such, the </w:t>
      </w:r>
      <w:r w:rsidR="002F45F0" w:rsidRPr="00832F7C">
        <w:t>C</w:t>
      </w:r>
      <w:r w:rsidRPr="00832F7C">
        <w:t xml:space="preserve">onfidence </w:t>
      </w:r>
      <w:r w:rsidR="002F45F0" w:rsidRPr="00832F7C">
        <w:t>I</w:t>
      </w:r>
      <w:r w:rsidRPr="00832F7C">
        <w:t xml:space="preserve">ntervals should be symmetrical, but they are not. For example, the effect size reported for Vahey et al. (2010) is </w:t>
      </w:r>
      <w:r w:rsidRPr="00832F7C">
        <w:rPr>
          <w:i/>
          <w:iCs/>
        </w:rPr>
        <w:t>r</w:t>
      </w:r>
      <w:r w:rsidRPr="00832F7C">
        <w:t xml:space="preserve"> = .36, 95% CI [-.24, .76]. This makes the upper bound +.40 larger than the point estimate whereas the lower bound is -.60 from the point estimate. The asymmetry is therefore in the opposite direction to that in the reported meta-analytic effect size's Confidence Interval and is in principle compatible with a transformation having been applied (e.g., Fisher's r-to-z). As I discuss later in meta-analysis reproduction attempt 4, it is likely that the original figure mislabels what are weighted average Fisher’s </w:t>
      </w:r>
      <w:r w:rsidRPr="00832F7C">
        <w:rPr>
          <w:i/>
          <w:iCs/>
        </w:rPr>
        <w:t>r</w:t>
      </w:r>
      <w:r w:rsidRPr="00832F7C">
        <w:t>-to-</w:t>
      </w:r>
      <w:r w:rsidRPr="00832F7C">
        <w:rPr>
          <w:i/>
          <w:iCs/>
        </w:rPr>
        <w:t>z</w:t>
      </w:r>
      <w:r w:rsidRPr="00832F7C">
        <w:t xml:space="preserve"> transformed values as</w:t>
      </w:r>
      <w:r w:rsidRPr="00832F7C">
        <w:rPr>
          <w:i/>
          <w:iCs/>
        </w:rPr>
        <w:t xml:space="preserve"> </w:t>
      </w:r>
      <w:r w:rsidRPr="00832F7C">
        <w:t>weighted average</w:t>
      </w:r>
      <w:r w:rsidRPr="00832F7C">
        <w:rPr>
          <w:i/>
          <w:iCs/>
        </w:rPr>
        <w:t xml:space="preserve"> r</w:t>
      </w:r>
      <w:r w:rsidRPr="00832F7C">
        <w:t xml:space="preserve"> values. </w:t>
      </w:r>
    </w:p>
    <w:p w14:paraId="22DAC8F3" w14:textId="77777777" w:rsidR="00F862D8" w:rsidRPr="00832F7C" w:rsidRDefault="00000000" w:rsidP="00974D7B">
      <w:pPr>
        <w:pStyle w:val="Heading3"/>
      </w:pPr>
      <w:r w:rsidRPr="00832F7C">
        <w:t>Data in the funnel plot does not match the forest plot</w:t>
      </w:r>
    </w:p>
    <w:p w14:paraId="3E5BD437" w14:textId="20752EF4" w:rsidR="00F862D8" w:rsidRPr="00832F7C" w:rsidRDefault="00000000" w:rsidP="00D77465">
      <w:r w:rsidRPr="00832F7C">
        <w:t xml:space="preserve">Vahey et al. (2015) also reported weighted average effect size estimates in a funnel plot (see their Figure 2). </w:t>
      </w:r>
      <w:r w:rsidR="007A2285" w:rsidRPr="00832F7C">
        <w:t>This duplication of data between two plots provided a vector for error detection. W</w:t>
      </w:r>
      <w:r w:rsidRPr="00832F7C">
        <w:t xml:space="preserve">hen I created a funnel plot from the results reported in </w:t>
      </w:r>
      <w:r w:rsidR="00E22DAA">
        <w:t>the</w:t>
      </w:r>
      <w:r w:rsidRPr="00832F7C">
        <w:t xml:space="preserve"> forest plot</w:t>
      </w:r>
      <w:r w:rsidR="00E22DAA">
        <w:t xml:space="preserve"> reported in that article</w:t>
      </w:r>
      <w:r w:rsidRPr="00832F7C">
        <w:t xml:space="preserve">, one of the data points did not match their funnel plot. See Figure </w:t>
      </w:r>
      <w:r w:rsidR="00B45F73" w:rsidRPr="00832F7C">
        <w:t>2</w:t>
      </w:r>
      <w:r w:rsidR="00FB485F" w:rsidRPr="00832F7C">
        <w:t>,</w:t>
      </w:r>
      <w:r w:rsidRPr="00832F7C">
        <w:t xml:space="preserve"> which illustrates this discrepancy. This suggests that the </w:t>
      </w:r>
      <w:r w:rsidR="00D219E4" w:rsidRPr="00832F7C">
        <w:t xml:space="preserve">original </w:t>
      </w:r>
      <w:r w:rsidRPr="00832F7C">
        <w:t xml:space="preserve">funnel plot and forest plot were created from slightly different data sets. It is unclear which one represents the ‘correct’ data set (especially </w:t>
      </w:r>
      <w:proofErr w:type="gramStart"/>
      <w:r w:rsidRPr="00832F7C">
        <w:t>in light of</w:t>
      </w:r>
      <w:proofErr w:type="gramEnd"/>
      <w:r w:rsidRPr="00832F7C">
        <w:t xml:space="preserve"> the </w:t>
      </w:r>
      <w:r w:rsidR="00367018" w:rsidRPr="00832F7C">
        <w:t>section on ‘average effect sizes’ that I discuss later</w:t>
      </w:r>
      <w:r w:rsidRPr="00832F7C">
        <w:t xml:space="preserve">), but this speaks to the broader pattern of non-reproducibility and internal inconsistencies in Vahey et al.’s (2015) results. </w:t>
      </w:r>
    </w:p>
    <w:p w14:paraId="396F68C2" w14:textId="77777777" w:rsidR="000C7F5A" w:rsidRPr="00832F7C" w:rsidRDefault="000C7F5A" w:rsidP="003C6E44"/>
    <w:p w14:paraId="63E915D3" w14:textId="67E0E2F3" w:rsidR="00C4623D" w:rsidRPr="00832F7C" w:rsidRDefault="00000000" w:rsidP="00974D7B">
      <w:pPr>
        <w:pStyle w:val="Heading3"/>
      </w:pPr>
      <w:r w:rsidRPr="00832F7C">
        <w:lastRenderedPageBreak/>
        <w:t>Implementation of the meta-analysis</w:t>
      </w:r>
    </w:p>
    <w:p w14:paraId="7FF7234E" w14:textId="02FB15AD" w:rsidR="00297052" w:rsidRPr="00832F7C" w:rsidRDefault="00000000" w:rsidP="00D77465">
      <w:r w:rsidRPr="00832F7C">
        <w:t xml:space="preserve">Vahey et al. (2015) stated that a </w:t>
      </w:r>
      <w:r w:rsidR="00C42A74">
        <w:t>Hunter and Schmidt</w:t>
      </w:r>
      <w:r w:rsidRPr="00832F7C">
        <w:t xml:space="preserve"> style meta-analysis </w:t>
      </w:r>
      <w:r w:rsidR="00E22DAA">
        <w:t xml:space="preserve">was employed </w:t>
      </w:r>
      <w:r w:rsidRPr="00832F7C">
        <w:t xml:space="preserve">and cited </w:t>
      </w:r>
      <w:r w:rsidR="00C42A74">
        <w:t>Field and Gillett</w:t>
      </w:r>
      <w:r w:rsidRPr="00832F7C">
        <w:t xml:space="preserve"> (2010)</w:t>
      </w:r>
      <w:r w:rsidR="004E50FB" w:rsidRPr="00832F7C">
        <w:t xml:space="preserve"> and its </w:t>
      </w:r>
      <w:r w:rsidR="00C4623D" w:rsidRPr="00832F7C">
        <w:t xml:space="preserve">accompanying </w:t>
      </w:r>
      <w:r w:rsidR="004E50FB" w:rsidRPr="00832F7C">
        <w:t>scripts that are maintained by Fields</w:t>
      </w:r>
      <w:r w:rsidR="00C4623D" w:rsidRPr="00832F7C">
        <w:t xml:space="preserve"> on his website (</w:t>
      </w:r>
      <w:hyperlink r:id="rId14" w:history="1">
        <w:r w:rsidR="00C4623D" w:rsidRPr="00832F7C">
          <w:rPr>
            <w:rStyle w:val="Hyperlink"/>
          </w:rPr>
          <w:t>https://www.discoveringstatistics.com/repository/fieldgillett/how_to_do_a_meta_analysis.html</w:t>
        </w:r>
      </w:hyperlink>
      <w:r w:rsidR="00C4623D" w:rsidRPr="00832F7C">
        <w:t>)</w:t>
      </w:r>
      <w:r w:rsidRPr="00832F7C">
        <w:t xml:space="preserve">. In personal correspondence with Vahey, he stated it should in principle be possible to reconstruct their analytic strategy and results from the code provided by </w:t>
      </w:r>
      <w:r w:rsidR="00C42A74">
        <w:t>Field and Gillett</w:t>
      </w:r>
      <w:r w:rsidRPr="00832F7C">
        <w:t xml:space="preserve"> (2010), but he declined to share the actual code used in Vahey et al. (2015). In practice, it was surprisingly difficult to reconstruct what was done because of multiple discrepancies both (a) between </w:t>
      </w:r>
      <w:r w:rsidR="00C42A74">
        <w:t>Field and Gillett</w:t>
      </w:r>
      <w:r w:rsidRPr="00832F7C">
        <w:t xml:space="preserve"> (2010) and Vahey et al. (2015)</w:t>
      </w:r>
      <w:r w:rsidR="000C0C37" w:rsidRPr="00832F7C">
        <w:t xml:space="preserve">; </w:t>
      </w:r>
      <w:r w:rsidRPr="00832F7C">
        <w:t>(b) within Vahey et al. (2015) itself</w:t>
      </w:r>
      <w:r w:rsidR="000C0C37" w:rsidRPr="00832F7C">
        <w:t xml:space="preserve">; (c) between Field and Gillett’s (2010) descriptions and Field’s actual code implementations, and (d) between the different implementations of the Hunter </w:t>
      </w:r>
      <w:r w:rsidR="00C42A74">
        <w:t>and</w:t>
      </w:r>
      <w:r w:rsidR="000C0C37" w:rsidRPr="00832F7C">
        <w:t xml:space="preserve"> Schmidt style meta-analysis between Field’s two different scripts that are associated with </w:t>
      </w:r>
      <w:r w:rsidR="00C42A74">
        <w:t>Field and Gillett</w:t>
      </w:r>
      <w:r w:rsidR="000C0C37" w:rsidRPr="00832F7C">
        <w:t xml:space="preserve"> (2010). </w:t>
      </w:r>
      <w:r w:rsidRPr="00832F7C">
        <w:t>I will discuss</w:t>
      </w:r>
      <w:r w:rsidR="000C0C37" w:rsidRPr="00832F7C">
        <w:t xml:space="preserve"> each of these</w:t>
      </w:r>
      <w:r w:rsidRPr="00832F7C">
        <w:t>.</w:t>
      </w:r>
      <w:r w:rsidR="000C0C37" w:rsidRPr="00832F7C">
        <w:t xml:space="preserve"> </w:t>
      </w:r>
    </w:p>
    <w:p w14:paraId="7DDD7CB8" w14:textId="55FDC28F" w:rsidR="000F14E7" w:rsidRPr="00832F7C" w:rsidRDefault="00C42A74" w:rsidP="00D77465">
      <w:pPr>
        <w:rPr>
          <w:iCs/>
        </w:rPr>
      </w:pPr>
      <w:r>
        <w:t>Field and Gillett</w:t>
      </w:r>
      <w:r w:rsidR="00000000" w:rsidRPr="00832F7C">
        <w:t xml:space="preserve"> (2010) describe two different ways of conducting meta-analyses: a Hedges </w:t>
      </w:r>
      <w:r w:rsidR="00013124" w:rsidRPr="00832F7C">
        <w:t xml:space="preserve">and </w:t>
      </w:r>
      <w:proofErr w:type="gramStart"/>
      <w:r w:rsidR="00013124" w:rsidRPr="00832F7C">
        <w:t>colleagues</w:t>
      </w:r>
      <w:proofErr w:type="gramEnd"/>
      <w:r w:rsidR="00013124" w:rsidRPr="00832F7C">
        <w:t xml:space="preserve"> </w:t>
      </w:r>
      <w:r w:rsidR="00000000" w:rsidRPr="00832F7C">
        <w:t>style “basic” meta-analysis and a Hunter and Schmidt style psychometric meta-analysis. Despite Vahey et al. (2015) stating that they applied the Hunter and Schmidt approach, multiple features of this approach are missing from their results</w:t>
      </w:r>
      <w:r w:rsidR="004423C2" w:rsidRPr="00832F7C">
        <w:t xml:space="preserve">. This becomes more apparent when examining the metrics returned by Field’s accompanying SPSS scripts for </w:t>
      </w:r>
      <w:r>
        <w:t>Field and Gillett</w:t>
      </w:r>
      <w:r w:rsidR="004423C2" w:rsidRPr="00832F7C">
        <w:t xml:space="preserve"> (2010): “</w:t>
      </w:r>
      <w:proofErr w:type="spellStart"/>
      <w:r w:rsidR="004423C2" w:rsidRPr="00832F7C">
        <w:t>Meta_Basic_r.sps</w:t>
      </w:r>
      <w:proofErr w:type="spellEnd"/>
      <w:r w:rsidR="004423C2" w:rsidRPr="00832F7C">
        <w:t xml:space="preserve">” and “h_s syntax.sps”. To complicate things, both scripts contain code to produce a Hunter and Schmidt style meta-analysis, with the former also producing a Hedges and </w:t>
      </w:r>
      <w:proofErr w:type="gramStart"/>
      <w:r w:rsidR="004423C2" w:rsidRPr="00832F7C">
        <w:t>colleagues</w:t>
      </w:r>
      <w:proofErr w:type="gramEnd"/>
      <w:r w:rsidR="004423C2" w:rsidRPr="00832F7C">
        <w:t xml:space="preserve"> style ‘basic’ meta-analysis. </w:t>
      </w:r>
    </w:p>
    <w:p w14:paraId="1862F107" w14:textId="77777777" w:rsidR="00442CE7" w:rsidRPr="00832F7C" w:rsidRDefault="00442CE7" w:rsidP="00974D7B">
      <w:pPr>
        <w:pStyle w:val="Heading3"/>
        <w:sectPr w:rsidR="00442CE7" w:rsidRPr="00832F7C" w:rsidSect="00D77465">
          <w:type w:val="continuous"/>
          <w:pgSz w:w="11900" w:h="16840"/>
          <w:pgMar w:top="1440" w:right="1440" w:bottom="1440" w:left="1440" w:header="709" w:footer="709" w:gutter="0"/>
          <w:cols w:space="340"/>
          <w:titlePg/>
          <w:docGrid w:linePitch="360"/>
          <w15:footnoteColumns w:val="1"/>
        </w:sectPr>
      </w:pPr>
    </w:p>
    <w:p w14:paraId="7AACC489" w14:textId="4918F8E9" w:rsidR="00442CE7" w:rsidRPr="00832F7C" w:rsidRDefault="00000000" w:rsidP="009E4A22">
      <w:pPr>
        <w:rPr>
          <w:rFonts w:eastAsia="MS Mincho"/>
          <w:lang w:val=""/>
        </w:rPr>
        <w:sectPr w:rsidR="00442CE7" w:rsidRPr="00832F7C" w:rsidSect="00D77465">
          <w:pgSz w:w="16840" w:h="11900" w:orient="landscape"/>
          <w:pgMar w:top="1440" w:right="1440" w:bottom="1440" w:left="1440" w:header="709" w:footer="709" w:gutter="0"/>
          <w:cols w:space="340"/>
          <w:titlePg/>
          <w:docGrid w:linePitch="360"/>
          <w15:footnoteColumns w:val="1"/>
        </w:sectPr>
      </w:pPr>
      <w:r w:rsidRPr="00832F7C">
        <w:rPr>
          <w:rFonts w:eastAsia="MS Mincho"/>
          <w:b/>
          <w:bCs/>
          <w:lang w:val=""/>
        </w:rPr>
        <w:lastRenderedPageBreak/>
        <w:t xml:space="preserve">Table 2. </w:t>
      </w:r>
      <w:r w:rsidRPr="00832F7C">
        <w:rPr>
          <w:rFonts w:eastAsia="MS Mincho"/>
          <w:lang w:val=""/>
        </w:rPr>
        <w:t>Alignment between the results reported in Vahey et al. (2015) and Field’s SPSS scripts accompanying Field &amp; Gillett (201</w:t>
      </w:r>
    </w:p>
    <w:p w14:paraId="50FCBDC5" w14:textId="77777777" w:rsidR="00442CE7" w:rsidRPr="00832F7C" w:rsidRDefault="00442CE7" w:rsidP="009E4A22">
      <w:pPr>
        <w:ind w:firstLine="0"/>
        <w:rPr>
          <w:rFonts w:eastAsia="MS Mincho"/>
          <w:lang w:val=""/>
        </w:rPr>
      </w:pPr>
    </w:p>
    <w:tbl>
      <w:tblPr>
        <w:tblStyle w:val="TableGrid1"/>
        <w:tblW w:w="12960" w:type="dxa"/>
        <w:jc w:val="center"/>
        <w:tblLayout w:type="fixed"/>
        <w:tblLook w:val="04A0" w:firstRow="1" w:lastRow="0" w:firstColumn="1" w:lastColumn="0" w:noHBand="0" w:noVBand="1"/>
      </w:tblPr>
      <w:tblGrid>
        <w:gridCol w:w="6390"/>
        <w:gridCol w:w="630"/>
        <w:gridCol w:w="615"/>
        <w:gridCol w:w="717"/>
        <w:gridCol w:w="2808"/>
        <w:gridCol w:w="1800"/>
      </w:tblGrid>
      <w:tr w:rsidR="00AA6907" w:rsidRPr="00832F7C" w14:paraId="6206B657" w14:textId="77777777" w:rsidTr="007742A5">
        <w:trPr>
          <w:trHeight w:val="180"/>
          <w:jc w:val="center"/>
        </w:trPr>
        <w:tc>
          <w:tcPr>
            <w:tcW w:w="6390" w:type="dxa"/>
            <w:tcBorders>
              <w:top w:val="single" w:sz="4" w:space="0" w:color="auto"/>
              <w:left w:val="nil"/>
              <w:bottom w:val="single" w:sz="4" w:space="0" w:color="auto"/>
              <w:right w:val="nil"/>
            </w:tcBorders>
            <w:vAlign w:val="center"/>
            <w:hideMark/>
          </w:tcPr>
          <w:p w14:paraId="0B090E1B" w14:textId="77777777" w:rsidR="00442CE7" w:rsidRPr="00832F7C" w:rsidRDefault="00000000" w:rsidP="009E4A22">
            <w:pPr>
              <w:spacing w:line="240" w:lineRule="auto"/>
              <w:ind w:firstLine="0"/>
              <w:rPr>
                <w:rFonts w:eastAsia="MS Mincho"/>
              </w:rPr>
            </w:pPr>
            <w:r w:rsidRPr="00832F7C">
              <w:rPr>
                <w:rFonts w:eastAsia="MS Mincho"/>
              </w:rPr>
              <w:t>Source</w:t>
            </w:r>
          </w:p>
        </w:tc>
        <w:tc>
          <w:tcPr>
            <w:tcW w:w="630" w:type="dxa"/>
            <w:tcBorders>
              <w:top w:val="single" w:sz="4" w:space="0" w:color="auto"/>
              <w:left w:val="nil"/>
              <w:bottom w:val="single" w:sz="4" w:space="0" w:color="auto"/>
              <w:right w:val="nil"/>
            </w:tcBorders>
            <w:vAlign w:val="center"/>
            <w:hideMark/>
          </w:tcPr>
          <w:p w14:paraId="756EC59F" w14:textId="77777777" w:rsidR="00442CE7" w:rsidRPr="00832F7C" w:rsidRDefault="00000000" w:rsidP="009E4A22">
            <w:pPr>
              <w:spacing w:line="240" w:lineRule="auto"/>
              <w:ind w:firstLine="0"/>
              <w:jc w:val="center"/>
              <w:rPr>
                <w:rFonts w:eastAsia="MS Mincho"/>
              </w:rPr>
            </w:pPr>
            <m:oMathPara>
              <m:oMath>
                <m:acc>
                  <m:accPr>
                    <m:chr m:val="̅"/>
                    <m:ctrlPr>
                      <w:rPr>
                        <w:rFonts w:ascii="Cambria Math" w:eastAsia="MS Mincho" w:hAnsi="Cambria Math"/>
                      </w:rPr>
                    </m:ctrlPr>
                  </m:accPr>
                  <m:e>
                    <m:r>
                      <w:rPr>
                        <w:rFonts w:ascii="Cambria Math" w:eastAsia="MS Mincho" w:hAnsi="Cambria Math"/>
                      </w:rPr>
                      <m:t>r</m:t>
                    </m:r>
                  </m:e>
                </m:acc>
              </m:oMath>
            </m:oMathPara>
          </w:p>
        </w:tc>
        <w:tc>
          <w:tcPr>
            <w:tcW w:w="615" w:type="dxa"/>
            <w:tcBorders>
              <w:top w:val="single" w:sz="4" w:space="0" w:color="auto"/>
              <w:left w:val="nil"/>
              <w:bottom w:val="single" w:sz="4" w:space="0" w:color="auto"/>
              <w:right w:val="nil"/>
            </w:tcBorders>
            <w:vAlign w:val="center"/>
            <w:hideMark/>
          </w:tcPr>
          <w:p w14:paraId="35A05E39" w14:textId="77777777" w:rsidR="00442CE7" w:rsidRPr="00832F7C" w:rsidRDefault="00000000" w:rsidP="009E4A22">
            <w:pPr>
              <w:spacing w:line="240" w:lineRule="auto"/>
              <w:ind w:firstLine="0"/>
              <w:jc w:val="center"/>
              <w:rPr>
                <w:rFonts w:eastAsia="MS Mincho"/>
              </w:rPr>
            </w:pPr>
            <w:r w:rsidRPr="00832F7C">
              <w:rPr>
                <w:rFonts w:eastAsia="MS Mincho"/>
              </w:rPr>
              <w:t>CIs</w:t>
            </w:r>
          </w:p>
        </w:tc>
        <w:tc>
          <w:tcPr>
            <w:tcW w:w="717" w:type="dxa"/>
            <w:tcBorders>
              <w:top w:val="single" w:sz="4" w:space="0" w:color="auto"/>
              <w:left w:val="nil"/>
              <w:bottom w:val="single" w:sz="4" w:space="0" w:color="auto"/>
              <w:right w:val="nil"/>
            </w:tcBorders>
            <w:noWrap/>
            <w:vAlign w:val="center"/>
            <w:hideMark/>
          </w:tcPr>
          <w:p w14:paraId="644B751D" w14:textId="77777777" w:rsidR="00442CE7" w:rsidRPr="00832F7C" w:rsidRDefault="00000000" w:rsidP="009E4A22">
            <w:pPr>
              <w:spacing w:line="240" w:lineRule="auto"/>
              <w:ind w:firstLine="0"/>
              <w:jc w:val="center"/>
              <w:rPr>
                <w:rFonts w:eastAsia="MS Mincho"/>
              </w:rPr>
            </w:pPr>
            <w:r w:rsidRPr="00832F7C">
              <w:rPr>
                <w:rFonts w:eastAsia="MS Mincho"/>
              </w:rPr>
              <w:t>CRs</w:t>
            </w:r>
          </w:p>
        </w:tc>
        <w:tc>
          <w:tcPr>
            <w:tcW w:w="2808" w:type="dxa"/>
            <w:tcBorders>
              <w:top w:val="single" w:sz="4" w:space="0" w:color="auto"/>
              <w:left w:val="nil"/>
              <w:bottom w:val="single" w:sz="4" w:space="0" w:color="auto"/>
              <w:right w:val="nil"/>
            </w:tcBorders>
            <w:vAlign w:val="center"/>
          </w:tcPr>
          <w:p w14:paraId="3DD8D385" w14:textId="77777777" w:rsidR="00442CE7" w:rsidRPr="00832F7C" w:rsidRDefault="00000000" w:rsidP="009E4A22">
            <w:pPr>
              <w:spacing w:line="240" w:lineRule="auto"/>
              <w:ind w:firstLine="0"/>
              <w:jc w:val="center"/>
              <w:rPr>
                <w:rFonts w:eastAsia="MS Mincho"/>
              </w:rPr>
            </w:pPr>
            <w:r w:rsidRPr="00832F7C">
              <w:rPr>
                <w:rFonts w:eastAsia="MS Mincho"/>
              </w:rPr>
              <w:t>Adjustments &amp; Transformations</w:t>
            </w:r>
          </w:p>
        </w:tc>
        <w:tc>
          <w:tcPr>
            <w:tcW w:w="1800" w:type="dxa"/>
            <w:tcBorders>
              <w:top w:val="single" w:sz="4" w:space="0" w:color="auto"/>
              <w:left w:val="nil"/>
              <w:bottom w:val="single" w:sz="4" w:space="0" w:color="auto"/>
              <w:right w:val="nil"/>
            </w:tcBorders>
            <w:vAlign w:val="center"/>
          </w:tcPr>
          <w:p w14:paraId="42376411" w14:textId="77777777" w:rsidR="00442CE7" w:rsidRPr="00832F7C" w:rsidRDefault="00000000" w:rsidP="009E4A22">
            <w:pPr>
              <w:spacing w:line="240" w:lineRule="auto"/>
              <w:ind w:firstLine="0"/>
              <w:jc w:val="center"/>
              <w:rPr>
                <w:rFonts w:eastAsia="MS Mincho"/>
              </w:rPr>
            </w:pPr>
            <w:r w:rsidRPr="00832F7C">
              <w:rPr>
                <w:rFonts w:eastAsia="MS Mincho"/>
              </w:rPr>
              <w:t>Employs reliability estimates</w:t>
            </w:r>
          </w:p>
        </w:tc>
      </w:tr>
      <w:tr w:rsidR="00AA6907" w:rsidRPr="00832F7C" w14:paraId="3ED524EC" w14:textId="77777777" w:rsidTr="007742A5">
        <w:trPr>
          <w:trHeight w:val="512"/>
          <w:jc w:val="center"/>
        </w:trPr>
        <w:tc>
          <w:tcPr>
            <w:tcW w:w="6390" w:type="dxa"/>
            <w:tcBorders>
              <w:top w:val="single" w:sz="4" w:space="0" w:color="auto"/>
              <w:left w:val="nil"/>
              <w:bottom w:val="nil"/>
              <w:right w:val="nil"/>
            </w:tcBorders>
            <w:vAlign w:val="center"/>
            <w:hideMark/>
          </w:tcPr>
          <w:p w14:paraId="368E2376" w14:textId="77777777" w:rsidR="00442CE7" w:rsidRPr="00832F7C" w:rsidRDefault="00000000" w:rsidP="009E4A22">
            <w:pPr>
              <w:spacing w:line="240" w:lineRule="auto"/>
              <w:ind w:firstLine="0"/>
              <w:rPr>
                <w:rFonts w:eastAsia="MS Mincho"/>
              </w:rPr>
            </w:pPr>
            <w:r w:rsidRPr="00832F7C">
              <w:rPr>
                <w:rFonts w:eastAsia="MS Mincho"/>
              </w:rPr>
              <w:t>Vahey et al. (2015)</w:t>
            </w:r>
          </w:p>
        </w:tc>
        <w:tc>
          <w:tcPr>
            <w:tcW w:w="630" w:type="dxa"/>
            <w:tcBorders>
              <w:top w:val="single" w:sz="4" w:space="0" w:color="auto"/>
              <w:left w:val="nil"/>
              <w:bottom w:val="nil"/>
              <w:right w:val="nil"/>
            </w:tcBorders>
            <w:shd w:val="clear" w:color="auto" w:fill="D9D9D9"/>
            <w:vAlign w:val="center"/>
            <w:hideMark/>
          </w:tcPr>
          <w:p w14:paraId="05F34960"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615" w:type="dxa"/>
            <w:tcBorders>
              <w:top w:val="single" w:sz="4" w:space="0" w:color="auto"/>
              <w:left w:val="nil"/>
              <w:bottom w:val="nil"/>
              <w:right w:val="nil"/>
            </w:tcBorders>
            <w:shd w:val="clear" w:color="auto" w:fill="D9D9D9"/>
            <w:vAlign w:val="center"/>
            <w:hideMark/>
          </w:tcPr>
          <w:p w14:paraId="6152A3BE"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717" w:type="dxa"/>
            <w:tcBorders>
              <w:top w:val="single" w:sz="4" w:space="0" w:color="auto"/>
              <w:left w:val="nil"/>
              <w:bottom w:val="nil"/>
              <w:right w:val="nil"/>
            </w:tcBorders>
            <w:shd w:val="clear" w:color="auto" w:fill="D9D9D9"/>
            <w:noWrap/>
            <w:vAlign w:val="center"/>
            <w:hideMark/>
          </w:tcPr>
          <w:p w14:paraId="3A608EE2"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2808" w:type="dxa"/>
            <w:tcBorders>
              <w:top w:val="single" w:sz="4" w:space="0" w:color="auto"/>
              <w:left w:val="nil"/>
              <w:bottom w:val="nil"/>
              <w:right w:val="nil"/>
            </w:tcBorders>
            <w:shd w:val="clear" w:color="auto" w:fill="D9D9D9"/>
            <w:vAlign w:val="center"/>
          </w:tcPr>
          <w:p w14:paraId="25564C4B" w14:textId="46C878B8" w:rsidR="00442CE7" w:rsidRPr="00832F7C" w:rsidRDefault="00000000" w:rsidP="009E4A22">
            <w:pPr>
              <w:spacing w:line="240" w:lineRule="auto"/>
              <w:ind w:firstLine="0"/>
              <w:jc w:val="center"/>
              <w:rPr>
                <w:rFonts w:eastAsia="MS Mincho"/>
              </w:rPr>
            </w:pPr>
            <w:r w:rsidRPr="00832F7C">
              <w:rPr>
                <w:rFonts w:eastAsia="MS Mincho"/>
              </w:rPr>
              <w:t>Likely</w:t>
            </w:r>
          </w:p>
          <w:p w14:paraId="7AB9AB11" w14:textId="77777777" w:rsidR="00442CE7" w:rsidRPr="00832F7C" w:rsidRDefault="00000000" w:rsidP="009E4A22">
            <w:pPr>
              <w:spacing w:line="240" w:lineRule="auto"/>
              <w:ind w:firstLine="0"/>
              <w:jc w:val="center"/>
              <w:rPr>
                <w:rFonts w:eastAsia="MS Mincho"/>
              </w:rPr>
            </w:pPr>
            <w:r w:rsidRPr="00832F7C">
              <w:rPr>
                <w:rFonts w:eastAsia="MS Mincho"/>
              </w:rPr>
              <w:t xml:space="preserve">Fisher’s </w:t>
            </w:r>
            <w:r w:rsidRPr="00832F7C">
              <w:rPr>
                <w:rFonts w:eastAsia="MS Mincho"/>
                <w:i/>
                <w:iCs/>
              </w:rPr>
              <w:t>r</w:t>
            </w:r>
            <w:r w:rsidRPr="00832F7C">
              <w:rPr>
                <w:rFonts w:eastAsia="MS Mincho"/>
              </w:rPr>
              <w:t>-to-</w:t>
            </w:r>
            <w:r w:rsidRPr="00832F7C">
              <w:rPr>
                <w:rFonts w:eastAsia="MS Mincho"/>
                <w:i/>
                <w:iCs/>
              </w:rPr>
              <w:t>z</w:t>
            </w:r>
            <w:r w:rsidRPr="00832F7C">
              <w:rPr>
                <w:rFonts w:eastAsia="MS Mincho"/>
              </w:rPr>
              <w:t>*</w:t>
            </w:r>
          </w:p>
        </w:tc>
        <w:tc>
          <w:tcPr>
            <w:tcW w:w="1800" w:type="dxa"/>
            <w:tcBorders>
              <w:top w:val="single" w:sz="4" w:space="0" w:color="auto"/>
              <w:left w:val="nil"/>
              <w:bottom w:val="nil"/>
              <w:right w:val="nil"/>
            </w:tcBorders>
            <w:shd w:val="clear" w:color="auto" w:fill="D9D9D9"/>
            <w:vAlign w:val="center"/>
          </w:tcPr>
          <w:p w14:paraId="3FE49281" w14:textId="77777777" w:rsidR="00442CE7" w:rsidRPr="00832F7C" w:rsidRDefault="00000000" w:rsidP="009E4A22">
            <w:pPr>
              <w:spacing w:line="240" w:lineRule="auto"/>
              <w:ind w:firstLine="0"/>
              <w:jc w:val="center"/>
              <w:rPr>
                <w:rFonts w:eastAsia="MS Mincho"/>
              </w:rPr>
            </w:pPr>
            <w:r w:rsidRPr="00832F7C">
              <w:rPr>
                <w:rFonts w:eastAsia="MS Mincho"/>
              </w:rPr>
              <w:t>No</w:t>
            </w:r>
          </w:p>
        </w:tc>
      </w:tr>
      <w:tr w:rsidR="00AA6907" w:rsidRPr="00832F7C" w14:paraId="13C30C7A" w14:textId="77777777" w:rsidTr="007742A5">
        <w:trPr>
          <w:trHeight w:val="550"/>
          <w:jc w:val="center"/>
        </w:trPr>
        <w:tc>
          <w:tcPr>
            <w:tcW w:w="6390" w:type="dxa"/>
            <w:tcBorders>
              <w:top w:val="nil"/>
              <w:left w:val="nil"/>
              <w:bottom w:val="nil"/>
              <w:right w:val="nil"/>
            </w:tcBorders>
            <w:vAlign w:val="center"/>
            <w:hideMark/>
          </w:tcPr>
          <w:p w14:paraId="11F64535" w14:textId="77777777" w:rsidR="00442CE7" w:rsidRPr="00832F7C" w:rsidRDefault="00000000" w:rsidP="009E4A22">
            <w:pPr>
              <w:spacing w:line="240" w:lineRule="auto"/>
              <w:ind w:firstLine="0"/>
              <w:rPr>
                <w:rFonts w:eastAsia="MS Mincho"/>
              </w:rPr>
            </w:pPr>
            <w:r w:rsidRPr="00832F7C">
              <w:rPr>
                <w:rFonts w:eastAsia="MS Mincho"/>
              </w:rPr>
              <w:t>Hunter &amp; Schmidt meta-analysis via Field’s “h_s_syntax.sps”</w:t>
            </w:r>
          </w:p>
        </w:tc>
        <w:tc>
          <w:tcPr>
            <w:tcW w:w="630" w:type="dxa"/>
            <w:tcBorders>
              <w:top w:val="nil"/>
              <w:left w:val="nil"/>
              <w:bottom w:val="nil"/>
              <w:right w:val="nil"/>
            </w:tcBorders>
            <w:shd w:val="clear" w:color="auto" w:fill="D9D9D9"/>
            <w:vAlign w:val="center"/>
            <w:hideMark/>
          </w:tcPr>
          <w:p w14:paraId="2FC9C311"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615" w:type="dxa"/>
            <w:tcBorders>
              <w:top w:val="nil"/>
              <w:left w:val="nil"/>
              <w:bottom w:val="nil"/>
              <w:right w:val="nil"/>
            </w:tcBorders>
            <w:shd w:val="clear" w:color="auto" w:fill="D9D9D9"/>
            <w:vAlign w:val="center"/>
            <w:hideMark/>
          </w:tcPr>
          <w:p w14:paraId="6A4D4195"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717" w:type="dxa"/>
            <w:tcBorders>
              <w:top w:val="nil"/>
              <w:left w:val="nil"/>
              <w:bottom w:val="nil"/>
              <w:right w:val="nil"/>
            </w:tcBorders>
            <w:shd w:val="clear" w:color="auto" w:fill="D9D9D9"/>
            <w:noWrap/>
            <w:vAlign w:val="center"/>
            <w:hideMark/>
          </w:tcPr>
          <w:p w14:paraId="30D9EC3D"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2808" w:type="dxa"/>
            <w:tcBorders>
              <w:top w:val="nil"/>
              <w:left w:val="nil"/>
              <w:bottom w:val="nil"/>
              <w:right w:val="nil"/>
            </w:tcBorders>
            <w:shd w:val="clear" w:color="auto" w:fill="auto"/>
            <w:vAlign w:val="center"/>
          </w:tcPr>
          <w:p w14:paraId="3348A459" w14:textId="77777777" w:rsidR="00442CE7" w:rsidRPr="00832F7C" w:rsidRDefault="00000000" w:rsidP="009E4A22">
            <w:pPr>
              <w:spacing w:line="240" w:lineRule="auto"/>
              <w:ind w:firstLine="0"/>
              <w:jc w:val="center"/>
              <w:rPr>
                <w:rFonts w:eastAsia="MS Mincho"/>
                <w:highlight w:val="yellow"/>
              </w:rPr>
            </w:pPr>
            <w:r w:rsidRPr="00832F7C">
              <w:rPr>
                <w:rFonts w:eastAsia="MS Mincho"/>
              </w:rPr>
              <w:t>No</w:t>
            </w:r>
          </w:p>
        </w:tc>
        <w:tc>
          <w:tcPr>
            <w:tcW w:w="1800" w:type="dxa"/>
            <w:tcBorders>
              <w:top w:val="nil"/>
              <w:left w:val="nil"/>
              <w:bottom w:val="nil"/>
              <w:right w:val="nil"/>
            </w:tcBorders>
            <w:vAlign w:val="center"/>
          </w:tcPr>
          <w:p w14:paraId="04D5A90D" w14:textId="77777777" w:rsidR="00442CE7" w:rsidRPr="00832F7C" w:rsidRDefault="00000000" w:rsidP="009E4A22">
            <w:pPr>
              <w:spacing w:line="240" w:lineRule="auto"/>
              <w:ind w:firstLine="0"/>
              <w:jc w:val="center"/>
              <w:rPr>
                <w:rFonts w:eastAsia="MS Mincho"/>
              </w:rPr>
            </w:pPr>
            <w:r w:rsidRPr="00832F7C">
              <w:rPr>
                <w:rFonts w:eastAsia="MS Mincho"/>
              </w:rPr>
              <w:t>Yes</w:t>
            </w:r>
          </w:p>
        </w:tc>
      </w:tr>
      <w:tr w:rsidR="00AA6907" w:rsidRPr="00832F7C" w14:paraId="0B5483F5" w14:textId="77777777" w:rsidTr="007742A5">
        <w:trPr>
          <w:trHeight w:val="756"/>
          <w:jc w:val="center"/>
        </w:trPr>
        <w:tc>
          <w:tcPr>
            <w:tcW w:w="6390" w:type="dxa"/>
            <w:tcBorders>
              <w:top w:val="nil"/>
              <w:left w:val="nil"/>
              <w:bottom w:val="nil"/>
              <w:right w:val="nil"/>
            </w:tcBorders>
            <w:vAlign w:val="center"/>
            <w:hideMark/>
          </w:tcPr>
          <w:p w14:paraId="3CC25300" w14:textId="77777777" w:rsidR="00442CE7" w:rsidRPr="00832F7C" w:rsidRDefault="00000000" w:rsidP="009E4A22">
            <w:pPr>
              <w:spacing w:line="240" w:lineRule="auto"/>
              <w:ind w:firstLine="0"/>
              <w:rPr>
                <w:rFonts w:eastAsia="MS Mincho"/>
              </w:rPr>
            </w:pPr>
            <w:r w:rsidRPr="00832F7C">
              <w:rPr>
                <w:rFonts w:eastAsia="MS Mincho"/>
              </w:rPr>
              <w:t>Hunter &amp; Schmidt meta-analysis via Field’s “Meta_Basic_r.sps”</w:t>
            </w:r>
          </w:p>
        </w:tc>
        <w:tc>
          <w:tcPr>
            <w:tcW w:w="630" w:type="dxa"/>
            <w:tcBorders>
              <w:top w:val="nil"/>
              <w:left w:val="nil"/>
              <w:bottom w:val="nil"/>
              <w:right w:val="nil"/>
            </w:tcBorders>
            <w:shd w:val="clear" w:color="auto" w:fill="D9D9D9"/>
            <w:vAlign w:val="center"/>
            <w:hideMark/>
          </w:tcPr>
          <w:p w14:paraId="05F70710"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615" w:type="dxa"/>
            <w:tcBorders>
              <w:top w:val="nil"/>
              <w:left w:val="nil"/>
              <w:bottom w:val="nil"/>
              <w:right w:val="nil"/>
            </w:tcBorders>
            <w:vAlign w:val="center"/>
            <w:hideMark/>
          </w:tcPr>
          <w:p w14:paraId="70D69F0A" w14:textId="77777777" w:rsidR="00442CE7" w:rsidRPr="00832F7C" w:rsidRDefault="00000000" w:rsidP="009E4A22">
            <w:pPr>
              <w:spacing w:line="240" w:lineRule="auto"/>
              <w:ind w:firstLine="0"/>
              <w:jc w:val="center"/>
              <w:rPr>
                <w:rFonts w:eastAsia="MS Mincho"/>
              </w:rPr>
            </w:pPr>
            <w:r w:rsidRPr="00832F7C">
              <w:rPr>
                <w:rFonts w:eastAsia="MS Mincho"/>
              </w:rPr>
              <w:t>No</w:t>
            </w:r>
          </w:p>
        </w:tc>
        <w:tc>
          <w:tcPr>
            <w:tcW w:w="717" w:type="dxa"/>
            <w:tcBorders>
              <w:top w:val="nil"/>
              <w:left w:val="nil"/>
              <w:bottom w:val="nil"/>
              <w:right w:val="nil"/>
            </w:tcBorders>
            <w:shd w:val="clear" w:color="auto" w:fill="D9D9D9"/>
            <w:noWrap/>
            <w:vAlign w:val="center"/>
            <w:hideMark/>
          </w:tcPr>
          <w:p w14:paraId="74A0459B"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2808" w:type="dxa"/>
            <w:tcBorders>
              <w:top w:val="nil"/>
              <w:left w:val="nil"/>
              <w:bottom w:val="nil"/>
              <w:right w:val="nil"/>
            </w:tcBorders>
            <w:shd w:val="clear" w:color="auto" w:fill="auto"/>
            <w:vAlign w:val="center"/>
          </w:tcPr>
          <w:p w14:paraId="439B38A1" w14:textId="77777777" w:rsidR="00442CE7" w:rsidRPr="00832F7C" w:rsidRDefault="00000000" w:rsidP="009E4A22">
            <w:pPr>
              <w:spacing w:line="240" w:lineRule="auto"/>
              <w:ind w:firstLine="0"/>
              <w:jc w:val="center"/>
              <w:rPr>
                <w:rFonts w:eastAsia="MS Mincho"/>
              </w:rPr>
            </w:pPr>
            <w:r w:rsidRPr="00832F7C">
              <w:rPr>
                <w:rFonts w:eastAsia="MS Mincho"/>
              </w:rPr>
              <w:t>Overton corrections,</w:t>
            </w:r>
          </w:p>
          <w:p w14:paraId="34D852EE" w14:textId="77777777" w:rsidR="00442CE7" w:rsidRPr="00832F7C" w:rsidRDefault="00000000" w:rsidP="009E4A22">
            <w:pPr>
              <w:spacing w:line="240" w:lineRule="auto"/>
              <w:ind w:firstLine="0"/>
              <w:jc w:val="center"/>
              <w:rPr>
                <w:rFonts w:eastAsia="MS Mincho"/>
              </w:rPr>
            </w:pPr>
            <w:r w:rsidRPr="00832F7C">
              <w:rPr>
                <w:rFonts w:eastAsia="MS Mincho"/>
              </w:rPr>
              <w:t xml:space="preserve">Fisher’s </w:t>
            </w:r>
            <w:r w:rsidRPr="00832F7C">
              <w:rPr>
                <w:rFonts w:eastAsia="MS Mincho"/>
                <w:i/>
                <w:iCs/>
              </w:rPr>
              <w:t>r</w:t>
            </w:r>
            <w:r w:rsidRPr="00832F7C">
              <w:rPr>
                <w:rFonts w:eastAsia="MS Mincho"/>
              </w:rPr>
              <w:t>-to-</w:t>
            </w:r>
            <w:r w:rsidRPr="00832F7C">
              <w:rPr>
                <w:rFonts w:eastAsia="MS Mincho"/>
                <w:i/>
                <w:iCs/>
              </w:rPr>
              <w:t>z</w:t>
            </w:r>
            <w:r w:rsidRPr="00832F7C">
              <w:rPr>
                <w:rFonts w:eastAsia="MS Mincho"/>
              </w:rPr>
              <w:t xml:space="preserve"> for </w:t>
            </w:r>
            <m:oMath>
              <m:acc>
                <m:accPr>
                  <m:chr m:val="̅"/>
                  <m:ctrlPr>
                    <w:rPr>
                      <w:rFonts w:ascii="Cambria Math" w:eastAsia="MS Mincho" w:hAnsi="Cambria Math"/>
                    </w:rPr>
                  </m:ctrlPr>
                </m:accPr>
                <m:e>
                  <m:r>
                    <w:rPr>
                      <w:rFonts w:ascii="Cambria Math" w:eastAsia="MS Mincho" w:hAnsi="Cambria Math"/>
                    </w:rPr>
                    <m:t>r</m:t>
                  </m:r>
                </m:e>
              </m:acc>
            </m:oMath>
            <w:r w:rsidRPr="00832F7C">
              <w:rPr>
                <w:rFonts w:eastAsia="MS Mincho"/>
              </w:rPr>
              <w:t xml:space="preserve"> but not CRs</w:t>
            </w:r>
          </w:p>
        </w:tc>
        <w:tc>
          <w:tcPr>
            <w:tcW w:w="1800" w:type="dxa"/>
            <w:tcBorders>
              <w:top w:val="nil"/>
              <w:left w:val="nil"/>
              <w:bottom w:val="nil"/>
              <w:right w:val="nil"/>
            </w:tcBorders>
            <w:shd w:val="clear" w:color="auto" w:fill="D9D9D9"/>
            <w:vAlign w:val="center"/>
          </w:tcPr>
          <w:p w14:paraId="69F23127" w14:textId="77777777" w:rsidR="00442CE7" w:rsidRPr="00832F7C" w:rsidRDefault="00000000" w:rsidP="009E4A22">
            <w:pPr>
              <w:spacing w:line="240" w:lineRule="auto"/>
              <w:ind w:firstLine="0"/>
              <w:jc w:val="center"/>
              <w:rPr>
                <w:rFonts w:eastAsia="MS Mincho"/>
              </w:rPr>
            </w:pPr>
            <w:r w:rsidRPr="00832F7C">
              <w:rPr>
                <w:rFonts w:eastAsia="MS Mincho"/>
              </w:rPr>
              <w:t>No</w:t>
            </w:r>
          </w:p>
        </w:tc>
      </w:tr>
      <w:tr w:rsidR="00AA6907" w:rsidRPr="00832F7C" w14:paraId="06FD9358" w14:textId="77777777" w:rsidTr="007742A5">
        <w:trPr>
          <w:trHeight w:val="756"/>
          <w:jc w:val="center"/>
        </w:trPr>
        <w:tc>
          <w:tcPr>
            <w:tcW w:w="6390" w:type="dxa"/>
            <w:tcBorders>
              <w:top w:val="nil"/>
              <w:left w:val="nil"/>
              <w:bottom w:val="nil"/>
              <w:right w:val="nil"/>
            </w:tcBorders>
            <w:vAlign w:val="center"/>
          </w:tcPr>
          <w:p w14:paraId="4456F8DD" w14:textId="77777777" w:rsidR="00442CE7" w:rsidRPr="00832F7C" w:rsidRDefault="00000000" w:rsidP="009E4A22">
            <w:pPr>
              <w:spacing w:line="240" w:lineRule="auto"/>
              <w:ind w:firstLine="0"/>
              <w:rPr>
                <w:rFonts w:eastAsia="MS Mincho"/>
              </w:rPr>
            </w:pPr>
            <w:r w:rsidRPr="00832F7C">
              <w:rPr>
                <w:rFonts w:eastAsia="MS Mincho"/>
              </w:rPr>
              <w:t>Hedges and colleagues meta-analysis via Field’s “Meta_Basic_r.sps”</w:t>
            </w:r>
          </w:p>
        </w:tc>
        <w:tc>
          <w:tcPr>
            <w:tcW w:w="630" w:type="dxa"/>
            <w:tcBorders>
              <w:top w:val="nil"/>
              <w:left w:val="nil"/>
              <w:bottom w:val="nil"/>
              <w:right w:val="nil"/>
            </w:tcBorders>
            <w:shd w:val="clear" w:color="auto" w:fill="D9D9D9"/>
            <w:vAlign w:val="center"/>
          </w:tcPr>
          <w:p w14:paraId="57960C3A"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615" w:type="dxa"/>
            <w:tcBorders>
              <w:top w:val="nil"/>
              <w:left w:val="nil"/>
              <w:bottom w:val="nil"/>
              <w:right w:val="nil"/>
            </w:tcBorders>
            <w:shd w:val="clear" w:color="auto" w:fill="D9D9D9"/>
            <w:vAlign w:val="center"/>
          </w:tcPr>
          <w:p w14:paraId="325FF406"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717" w:type="dxa"/>
            <w:tcBorders>
              <w:top w:val="nil"/>
              <w:left w:val="nil"/>
              <w:bottom w:val="nil"/>
              <w:right w:val="nil"/>
            </w:tcBorders>
            <w:shd w:val="clear" w:color="auto" w:fill="auto"/>
            <w:noWrap/>
            <w:vAlign w:val="center"/>
          </w:tcPr>
          <w:p w14:paraId="262153B0" w14:textId="77777777" w:rsidR="00442CE7" w:rsidRPr="00832F7C" w:rsidRDefault="00000000" w:rsidP="009E4A22">
            <w:pPr>
              <w:spacing w:line="240" w:lineRule="auto"/>
              <w:ind w:firstLine="0"/>
              <w:jc w:val="center"/>
              <w:rPr>
                <w:rFonts w:eastAsia="MS Mincho"/>
              </w:rPr>
            </w:pPr>
            <w:r w:rsidRPr="00832F7C">
              <w:rPr>
                <w:rFonts w:eastAsia="MS Mincho"/>
              </w:rPr>
              <w:t>No</w:t>
            </w:r>
          </w:p>
        </w:tc>
        <w:tc>
          <w:tcPr>
            <w:tcW w:w="2808" w:type="dxa"/>
            <w:tcBorders>
              <w:top w:val="nil"/>
              <w:left w:val="nil"/>
              <w:bottom w:val="nil"/>
              <w:right w:val="nil"/>
            </w:tcBorders>
            <w:shd w:val="clear" w:color="auto" w:fill="auto"/>
            <w:vAlign w:val="center"/>
          </w:tcPr>
          <w:p w14:paraId="679441AE" w14:textId="77777777" w:rsidR="00442CE7" w:rsidRPr="00832F7C" w:rsidRDefault="00000000" w:rsidP="009E4A22">
            <w:pPr>
              <w:spacing w:line="240" w:lineRule="auto"/>
              <w:ind w:firstLine="0"/>
              <w:jc w:val="center"/>
              <w:rPr>
                <w:rFonts w:eastAsia="MS Mincho"/>
              </w:rPr>
            </w:pPr>
            <w:r w:rsidRPr="00832F7C">
              <w:rPr>
                <w:rFonts w:eastAsia="MS Mincho"/>
              </w:rPr>
              <w:t>Overton corrections,</w:t>
            </w:r>
          </w:p>
          <w:p w14:paraId="3DA899A3" w14:textId="77777777" w:rsidR="00442CE7" w:rsidRPr="00832F7C" w:rsidRDefault="00000000" w:rsidP="009E4A22">
            <w:pPr>
              <w:spacing w:line="240" w:lineRule="auto"/>
              <w:ind w:firstLine="0"/>
              <w:jc w:val="center"/>
              <w:rPr>
                <w:rFonts w:eastAsia="MS Mincho"/>
              </w:rPr>
            </w:pPr>
            <w:r w:rsidRPr="00832F7C">
              <w:rPr>
                <w:rFonts w:eastAsia="MS Mincho"/>
              </w:rPr>
              <w:t xml:space="preserve">Fisher’s </w:t>
            </w:r>
            <w:r w:rsidRPr="00832F7C">
              <w:rPr>
                <w:rFonts w:eastAsia="MS Mincho"/>
                <w:i/>
                <w:iCs/>
              </w:rPr>
              <w:t>r</w:t>
            </w:r>
            <w:r w:rsidRPr="00832F7C">
              <w:rPr>
                <w:rFonts w:eastAsia="MS Mincho"/>
              </w:rPr>
              <w:t>-to-</w:t>
            </w:r>
            <w:r w:rsidRPr="00832F7C">
              <w:rPr>
                <w:rFonts w:eastAsia="MS Mincho"/>
                <w:i/>
                <w:iCs/>
              </w:rPr>
              <w:t>z</w:t>
            </w:r>
          </w:p>
        </w:tc>
        <w:tc>
          <w:tcPr>
            <w:tcW w:w="1800" w:type="dxa"/>
            <w:tcBorders>
              <w:top w:val="nil"/>
              <w:left w:val="nil"/>
              <w:bottom w:val="nil"/>
              <w:right w:val="nil"/>
            </w:tcBorders>
            <w:shd w:val="clear" w:color="auto" w:fill="D9D9D9"/>
            <w:vAlign w:val="center"/>
          </w:tcPr>
          <w:p w14:paraId="081ACB80" w14:textId="77777777" w:rsidR="00442CE7" w:rsidRPr="00832F7C" w:rsidRDefault="00000000" w:rsidP="009E4A22">
            <w:pPr>
              <w:spacing w:line="240" w:lineRule="auto"/>
              <w:ind w:firstLine="0"/>
              <w:jc w:val="center"/>
              <w:rPr>
                <w:rFonts w:eastAsia="MS Mincho"/>
              </w:rPr>
            </w:pPr>
            <w:r w:rsidRPr="00832F7C">
              <w:rPr>
                <w:rFonts w:eastAsia="MS Mincho"/>
              </w:rPr>
              <w:t>No</w:t>
            </w:r>
          </w:p>
        </w:tc>
      </w:tr>
      <w:tr w:rsidR="00AA6907" w:rsidRPr="00832F7C" w14:paraId="5B4697E8" w14:textId="77777777" w:rsidTr="007742A5">
        <w:trPr>
          <w:trHeight w:val="720"/>
          <w:jc w:val="center"/>
        </w:trPr>
        <w:tc>
          <w:tcPr>
            <w:tcW w:w="6390" w:type="dxa"/>
            <w:tcBorders>
              <w:top w:val="nil"/>
              <w:left w:val="nil"/>
              <w:bottom w:val="single" w:sz="4" w:space="0" w:color="auto"/>
              <w:right w:val="nil"/>
            </w:tcBorders>
            <w:vAlign w:val="center"/>
          </w:tcPr>
          <w:p w14:paraId="490A4007" w14:textId="77777777" w:rsidR="00442CE7" w:rsidRPr="00832F7C" w:rsidRDefault="00000000" w:rsidP="009E4A22">
            <w:pPr>
              <w:spacing w:line="240" w:lineRule="auto"/>
              <w:ind w:firstLine="0"/>
              <w:rPr>
                <w:rFonts w:eastAsia="MS Mincho"/>
              </w:rPr>
            </w:pPr>
            <w:r w:rsidRPr="00832F7C">
              <w:rPr>
                <w:rFonts w:eastAsia="MS Mincho"/>
              </w:rPr>
              <w:t>Hunter &amp; Schmidt meta-analysis via a modification of Field’s "Meta_Basic_r.sps" to remove apparently erroneous Overton correction**</w:t>
            </w:r>
          </w:p>
        </w:tc>
        <w:tc>
          <w:tcPr>
            <w:tcW w:w="630" w:type="dxa"/>
            <w:tcBorders>
              <w:top w:val="nil"/>
              <w:left w:val="nil"/>
              <w:bottom w:val="single" w:sz="4" w:space="0" w:color="auto"/>
              <w:right w:val="nil"/>
            </w:tcBorders>
            <w:shd w:val="clear" w:color="auto" w:fill="D9D9D9"/>
            <w:vAlign w:val="center"/>
          </w:tcPr>
          <w:p w14:paraId="29473B10"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615" w:type="dxa"/>
            <w:tcBorders>
              <w:top w:val="nil"/>
              <w:left w:val="nil"/>
              <w:bottom w:val="single" w:sz="4" w:space="0" w:color="auto"/>
              <w:right w:val="nil"/>
            </w:tcBorders>
            <w:vAlign w:val="center"/>
          </w:tcPr>
          <w:p w14:paraId="2CB1AB95" w14:textId="77777777" w:rsidR="00442CE7" w:rsidRPr="00832F7C" w:rsidRDefault="00000000" w:rsidP="009E4A22">
            <w:pPr>
              <w:spacing w:line="240" w:lineRule="auto"/>
              <w:ind w:firstLine="0"/>
              <w:jc w:val="center"/>
              <w:rPr>
                <w:rFonts w:eastAsia="MS Mincho"/>
              </w:rPr>
            </w:pPr>
            <w:r w:rsidRPr="00832F7C">
              <w:rPr>
                <w:rFonts w:eastAsia="MS Mincho"/>
              </w:rPr>
              <w:t>No</w:t>
            </w:r>
          </w:p>
        </w:tc>
        <w:tc>
          <w:tcPr>
            <w:tcW w:w="717" w:type="dxa"/>
            <w:tcBorders>
              <w:top w:val="nil"/>
              <w:left w:val="nil"/>
              <w:bottom w:val="single" w:sz="4" w:space="0" w:color="auto"/>
              <w:right w:val="nil"/>
            </w:tcBorders>
            <w:shd w:val="clear" w:color="auto" w:fill="D9D9D9"/>
            <w:noWrap/>
            <w:vAlign w:val="center"/>
          </w:tcPr>
          <w:p w14:paraId="371033A5" w14:textId="77777777" w:rsidR="00442CE7" w:rsidRPr="00832F7C" w:rsidRDefault="00000000" w:rsidP="009E4A22">
            <w:pPr>
              <w:spacing w:line="240" w:lineRule="auto"/>
              <w:ind w:firstLine="0"/>
              <w:jc w:val="center"/>
              <w:rPr>
                <w:rFonts w:eastAsia="MS Mincho"/>
              </w:rPr>
            </w:pPr>
            <w:r w:rsidRPr="00832F7C">
              <w:rPr>
                <w:rFonts w:eastAsia="MS Mincho"/>
              </w:rPr>
              <w:t>Yes</w:t>
            </w:r>
          </w:p>
        </w:tc>
        <w:tc>
          <w:tcPr>
            <w:tcW w:w="2808" w:type="dxa"/>
            <w:tcBorders>
              <w:top w:val="nil"/>
              <w:left w:val="nil"/>
              <w:bottom w:val="single" w:sz="4" w:space="0" w:color="auto"/>
              <w:right w:val="nil"/>
            </w:tcBorders>
            <w:shd w:val="clear" w:color="auto" w:fill="D9D9D9"/>
            <w:vAlign w:val="center"/>
          </w:tcPr>
          <w:p w14:paraId="039A037B" w14:textId="77777777" w:rsidR="00442CE7" w:rsidRPr="00832F7C" w:rsidRDefault="00000000" w:rsidP="009E4A22">
            <w:pPr>
              <w:spacing w:line="240" w:lineRule="auto"/>
              <w:ind w:firstLine="0"/>
              <w:jc w:val="center"/>
              <w:rPr>
                <w:rFonts w:eastAsia="MS Mincho"/>
              </w:rPr>
            </w:pPr>
            <w:r w:rsidRPr="00832F7C">
              <w:rPr>
                <w:rFonts w:eastAsia="MS Mincho"/>
              </w:rPr>
              <w:t xml:space="preserve">Fisher’s </w:t>
            </w:r>
            <w:r w:rsidRPr="00832F7C">
              <w:rPr>
                <w:rFonts w:eastAsia="MS Mincho"/>
                <w:i/>
                <w:iCs/>
              </w:rPr>
              <w:t>r</w:t>
            </w:r>
            <w:r w:rsidRPr="00832F7C">
              <w:rPr>
                <w:rFonts w:eastAsia="MS Mincho"/>
              </w:rPr>
              <w:t>-to-</w:t>
            </w:r>
            <w:r w:rsidRPr="00832F7C">
              <w:rPr>
                <w:rFonts w:eastAsia="MS Mincho"/>
                <w:i/>
                <w:iCs/>
              </w:rPr>
              <w:t>z</w:t>
            </w:r>
          </w:p>
        </w:tc>
        <w:tc>
          <w:tcPr>
            <w:tcW w:w="1800" w:type="dxa"/>
            <w:tcBorders>
              <w:top w:val="nil"/>
              <w:left w:val="nil"/>
              <w:bottom w:val="single" w:sz="4" w:space="0" w:color="auto"/>
              <w:right w:val="nil"/>
            </w:tcBorders>
            <w:shd w:val="clear" w:color="auto" w:fill="D9D9D9"/>
            <w:vAlign w:val="center"/>
          </w:tcPr>
          <w:p w14:paraId="4684448C" w14:textId="77777777" w:rsidR="00442CE7" w:rsidRPr="00832F7C" w:rsidRDefault="00000000" w:rsidP="009E4A22">
            <w:pPr>
              <w:spacing w:line="240" w:lineRule="auto"/>
              <w:ind w:firstLine="0"/>
              <w:jc w:val="center"/>
              <w:rPr>
                <w:rFonts w:eastAsia="MS Mincho"/>
              </w:rPr>
            </w:pPr>
            <w:r w:rsidRPr="00832F7C">
              <w:rPr>
                <w:rFonts w:eastAsia="MS Mincho"/>
              </w:rPr>
              <w:t>No</w:t>
            </w:r>
          </w:p>
        </w:tc>
      </w:tr>
      <w:tr w:rsidR="00AA6907" w:rsidRPr="00832F7C" w14:paraId="7F54B5BD" w14:textId="77777777" w:rsidTr="009E4A22">
        <w:trPr>
          <w:trHeight w:val="1845"/>
          <w:jc w:val="center"/>
        </w:trPr>
        <w:tc>
          <w:tcPr>
            <w:tcW w:w="12960" w:type="dxa"/>
            <w:gridSpan w:val="6"/>
            <w:tcBorders>
              <w:top w:val="single" w:sz="4" w:space="0" w:color="auto"/>
              <w:left w:val="nil"/>
              <w:bottom w:val="nil"/>
              <w:right w:val="nil"/>
            </w:tcBorders>
            <w:vAlign w:val="center"/>
          </w:tcPr>
          <w:p w14:paraId="3E3E9272" w14:textId="77777777" w:rsidR="00442CE7" w:rsidRPr="00832F7C" w:rsidRDefault="00000000" w:rsidP="009E4A22">
            <w:pPr>
              <w:spacing w:line="240" w:lineRule="auto"/>
              <w:ind w:firstLine="0"/>
              <w:rPr>
                <w:rFonts w:eastAsia="MS Mincho"/>
              </w:rPr>
            </w:pPr>
            <w:r w:rsidRPr="00832F7C">
              <w:rPr>
                <w:rFonts w:eastAsia="MS Mincho"/>
                <w:i/>
                <w:iCs/>
              </w:rPr>
              <w:t xml:space="preserve">Notes: </w:t>
            </w:r>
            <w:r w:rsidRPr="00832F7C">
              <w:rPr>
                <w:rFonts w:eastAsia="MS Mincho"/>
              </w:rPr>
              <w:t xml:space="preserve">Shaded cells match the requirements to be capable of producing the same type of output as reported in Vahey et al. (2015), agnostic to whether the numerical results match those reported in Vahey et al. (2015). </w:t>
            </w:r>
          </w:p>
          <w:p w14:paraId="0185003A" w14:textId="77777777" w:rsidR="00442CE7" w:rsidRPr="00832F7C" w:rsidRDefault="00000000" w:rsidP="009E4A22">
            <w:pPr>
              <w:spacing w:line="240" w:lineRule="auto"/>
              <w:ind w:firstLine="0"/>
              <w:rPr>
                <w:rFonts w:eastAsia="MS Mincho"/>
              </w:rPr>
            </w:pPr>
            <w:r w:rsidRPr="00832F7C">
              <w:rPr>
                <w:rFonts w:eastAsia="MS Mincho"/>
              </w:rPr>
              <w:t xml:space="preserve">* Vahey et al. (2015) did not explicitly state using any transformations. However, their forest plot's (their Figure 1) individual effect sizes have asymmetric confidence intervals implying a transformation; their funnel plot (their Figure 2) is labeled as employing Fisher's </w:t>
            </w:r>
            <w:r w:rsidRPr="00832F7C">
              <w:rPr>
                <w:rFonts w:eastAsia="MS Mincho"/>
                <w:i/>
                <w:iCs/>
              </w:rPr>
              <w:t>r</w:t>
            </w:r>
            <w:r w:rsidRPr="00832F7C">
              <w:rPr>
                <w:rFonts w:eastAsia="MS Mincho"/>
              </w:rPr>
              <w:t>-to-</w:t>
            </w:r>
            <w:r w:rsidRPr="00832F7C">
              <w:rPr>
                <w:rFonts w:eastAsia="MS Mincho"/>
                <w:i/>
                <w:iCs/>
              </w:rPr>
              <w:t>z</w:t>
            </w:r>
            <w:r w:rsidRPr="00832F7C">
              <w:rPr>
                <w:rFonts w:eastAsia="MS Mincho"/>
              </w:rPr>
              <w:t xml:space="preserve"> transformed values; and the method they state they followed employs Fisher's </w:t>
            </w:r>
            <w:r w:rsidRPr="00832F7C">
              <w:rPr>
                <w:rFonts w:eastAsia="MS Mincho"/>
                <w:i/>
                <w:iCs/>
              </w:rPr>
              <w:t>r</w:t>
            </w:r>
            <w:r w:rsidRPr="00832F7C">
              <w:rPr>
                <w:rFonts w:eastAsia="MS Mincho"/>
              </w:rPr>
              <w:t>-to-</w:t>
            </w:r>
            <w:r w:rsidRPr="00832F7C">
              <w:rPr>
                <w:rFonts w:eastAsia="MS Mincho"/>
                <w:i/>
                <w:iCs/>
              </w:rPr>
              <w:t>z</w:t>
            </w:r>
            <w:r w:rsidRPr="00832F7C">
              <w:rPr>
                <w:rFonts w:eastAsia="MS Mincho"/>
              </w:rPr>
              <w:t xml:space="preserve"> transformations.</w:t>
            </w:r>
          </w:p>
          <w:p w14:paraId="66665841" w14:textId="77777777" w:rsidR="00442CE7" w:rsidRPr="00832F7C" w:rsidRDefault="00000000" w:rsidP="009E4A22">
            <w:pPr>
              <w:spacing w:line="240" w:lineRule="auto"/>
              <w:ind w:firstLine="0"/>
              <w:rPr>
                <w:rFonts w:eastAsia="MS Mincho"/>
              </w:rPr>
            </w:pPr>
            <w:r w:rsidRPr="00832F7C">
              <w:rPr>
                <w:rFonts w:eastAsia="MS Mincho"/>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355CA1EF" w14:textId="77777777" w:rsidR="00442CE7" w:rsidRPr="00832F7C" w:rsidRDefault="00442CE7" w:rsidP="00D77465">
      <w:pPr>
        <w:rPr>
          <w:rFonts w:eastAsia="MS Mincho"/>
          <w:lang w:val=""/>
        </w:rPr>
      </w:pPr>
    </w:p>
    <w:p w14:paraId="3DBD2664" w14:textId="77777777" w:rsidR="00442CE7" w:rsidRPr="00832F7C" w:rsidRDefault="00442CE7" w:rsidP="00D77465">
      <w:pPr>
        <w:rPr>
          <w:rFonts w:eastAsia="MS Mincho"/>
          <w:lang w:val=""/>
        </w:rPr>
        <w:sectPr w:rsidR="00442CE7" w:rsidRPr="00832F7C" w:rsidSect="00D77465">
          <w:type w:val="continuous"/>
          <w:pgSz w:w="16840" w:h="11900" w:orient="landscape"/>
          <w:pgMar w:top="1440" w:right="1440" w:bottom="1440" w:left="1440" w:header="709" w:footer="709" w:gutter="0"/>
          <w:cols w:space="340"/>
          <w:titlePg/>
          <w:docGrid w:linePitch="360"/>
          <w15:footnoteColumns w:val="1"/>
        </w:sectPr>
      </w:pPr>
    </w:p>
    <w:p w14:paraId="0CCA2B36" w14:textId="1F26028E" w:rsidR="00442CE7" w:rsidRPr="00832F7C" w:rsidRDefault="00442CE7" w:rsidP="009E4A22">
      <w:pPr>
        <w:ind w:firstLine="0"/>
        <w:rPr>
          <w:rFonts w:eastAsia="MS Mincho"/>
          <w:lang w:val=""/>
        </w:rPr>
        <w:sectPr w:rsidR="00442CE7" w:rsidRPr="00832F7C" w:rsidSect="00D77465">
          <w:type w:val="continuous"/>
          <w:pgSz w:w="16840" w:h="11900" w:orient="landscape"/>
          <w:pgMar w:top="1440" w:right="1440" w:bottom="1440" w:left="1440" w:header="709" w:footer="709" w:gutter="0"/>
          <w:cols w:space="340"/>
          <w:titlePg/>
          <w:docGrid w:linePitch="360"/>
          <w15:footnoteColumns w:val="1"/>
        </w:sectPr>
      </w:pPr>
    </w:p>
    <w:p w14:paraId="7886DC6B" w14:textId="77777777" w:rsidR="00F0424A" w:rsidRPr="00832F7C" w:rsidRDefault="00F0424A" w:rsidP="00D77465">
      <w:r w:rsidRPr="00832F7C">
        <w:lastRenderedPageBreak/>
        <w:t xml:space="preserve">Table 2 </w:t>
      </w:r>
      <w:proofErr w:type="spellStart"/>
      <w:r w:rsidRPr="00832F7C">
        <w:t>catalogs</w:t>
      </w:r>
      <w:proofErr w:type="spellEnd"/>
      <w:r w:rsidRPr="00832F7C">
        <w:t xml:space="preserve"> the metrics reported in Vahey et al. (2015) and those nominally calculated by the scripts, based on an inspection of their code. Table 2 illustrates that neither script’s features (e.g., use of corrections, transformations, and reliability estimates) nor outputs (point estimates and types of intervals, which I discuss in detail later) correspond with the results reported in Vahey et al. (2015). </w:t>
      </w:r>
    </w:p>
    <w:p w14:paraId="57761AD7" w14:textId="45606706" w:rsidR="000E5C0F" w:rsidRPr="00832F7C" w:rsidRDefault="00F0424A" w:rsidP="00D77465">
      <w:r w:rsidRPr="00832F7C">
        <w:t xml:space="preserve">Specifically, </w:t>
      </w:r>
      <w:r w:rsidR="00741DC7">
        <w:t xml:space="preserve">the analyses reported in </w:t>
      </w:r>
      <w:r w:rsidRPr="00832F7C">
        <w:t xml:space="preserve">Vahey et al. (2015) likely </w:t>
      </w:r>
      <w:r w:rsidR="00741DC7">
        <w:t xml:space="preserve">– </w:t>
      </w:r>
      <w:r w:rsidRPr="00832F7C">
        <w:t>but</w:t>
      </w:r>
      <w:r w:rsidR="00741DC7">
        <w:t xml:space="preserve"> </w:t>
      </w:r>
      <w:r w:rsidRPr="00832F7C">
        <w:t>not definitely, or perhaps not consistently across analyses</w:t>
      </w:r>
      <w:r w:rsidR="00741DC7">
        <w:t xml:space="preserve"> – </w:t>
      </w:r>
      <w:r w:rsidRPr="00832F7C">
        <w:t>used</w:t>
      </w:r>
      <w:r w:rsidR="00741DC7">
        <w:t xml:space="preserve"> </w:t>
      </w:r>
      <w:r w:rsidRPr="00832F7C">
        <w:t xml:space="preserve">Fisher’s </w:t>
      </w:r>
      <w:r w:rsidRPr="00832F7C">
        <w:rPr>
          <w:i/>
          <w:iCs/>
        </w:rPr>
        <w:t>r</w:t>
      </w:r>
      <w:r w:rsidRPr="00832F7C">
        <w:t>-to-</w:t>
      </w:r>
      <w:r w:rsidRPr="00832F7C">
        <w:rPr>
          <w:i/>
          <w:iCs/>
        </w:rPr>
        <w:t>z</w:t>
      </w:r>
      <w:r w:rsidRPr="00832F7C">
        <w:t xml:space="preserve"> transformations (e.g., due to asymmetric Confidence Intervals in the weighted mean effect sizes in their Figure 1, and the reference to this transformation in Figure 2), and reported both Confidence Intervals and Credibility Intervals. In </w:t>
      </w:r>
      <w:r w:rsidR="000E5C0F" w:rsidRPr="00832F7C">
        <w:t>contrast, “</w:t>
      </w:r>
      <w:proofErr w:type="spellStart"/>
      <w:r w:rsidR="000E5C0F" w:rsidRPr="00832F7C">
        <w:t>h_s</w:t>
      </w:r>
      <w:proofErr w:type="spellEnd"/>
      <w:r w:rsidR="000E5C0F" w:rsidRPr="00832F7C">
        <w:t xml:space="preserve"> </w:t>
      </w:r>
      <w:proofErr w:type="spellStart"/>
      <w:r w:rsidR="000E5C0F" w:rsidRPr="00832F7C">
        <w:t>syntax.sps</w:t>
      </w:r>
      <w:proofErr w:type="spellEnd"/>
      <w:r w:rsidR="000E5C0F" w:rsidRPr="00832F7C">
        <w:t>” script’s Hunter and Schmidt style meta-analysis does not calculate Confidence Intervals; the “</w:t>
      </w:r>
      <w:proofErr w:type="spellStart"/>
      <w:r w:rsidR="000E5C0F" w:rsidRPr="00832F7C">
        <w:t>Meta_Basic_R.sps</w:t>
      </w:r>
      <w:proofErr w:type="spellEnd"/>
      <w:r w:rsidR="000E5C0F" w:rsidRPr="00832F7C">
        <w:t xml:space="preserve">” script’s </w:t>
      </w:r>
      <w:r w:rsidR="00C42A74">
        <w:t>Hunter and Schmidt</w:t>
      </w:r>
      <w:r w:rsidR="000E5C0F" w:rsidRPr="00832F7C">
        <w:t xml:space="preserve"> style meta-analysis does not report Confidence Intervals; and its Hedges and </w:t>
      </w:r>
      <w:proofErr w:type="gramStart"/>
      <w:r w:rsidR="000E5C0F" w:rsidRPr="00832F7C">
        <w:t>colleagues</w:t>
      </w:r>
      <w:proofErr w:type="gramEnd"/>
      <w:r w:rsidR="000E5C0F" w:rsidRPr="00832F7C">
        <w:t xml:space="preserve"> style meta-analysis does not use Fisher’s </w:t>
      </w:r>
      <w:r w:rsidR="000E5C0F" w:rsidRPr="00832F7C">
        <w:rPr>
          <w:i/>
          <w:iCs/>
        </w:rPr>
        <w:t>r</w:t>
      </w:r>
      <w:r w:rsidR="000E5C0F" w:rsidRPr="00832F7C">
        <w:t>-to-</w:t>
      </w:r>
      <w:r w:rsidR="000E5C0F" w:rsidRPr="00832F7C">
        <w:rPr>
          <w:i/>
          <w:iCs/>
        </w:rPr>
        <w:t>z</w:t>
      </w:r>
      <w:r w:rsidR="000E5C0F" w:rsidRPr="00832F7C">
        <w:t xml:space="preserve"> transformations or report Credibility Intervals. In addition to this, the “</w:t>
      </w:r>
      <w:proofErr w:type="spellStart"/>
      <w:r w:rsidR="000E5C0F" w:rsidRPr="00832F7C">
        <w:t>h_s</w:t>
      </w:r>
      <w:proofErr w:type="spellEnd"/>
      <w:r w:rsidR="000E5C0F" w:rsidRPr="00832F7C">
        <w:t xml:space="preserve"> </w:t>
      </w:r>
      <w:proofErr w:type="spellStart"/>
      <w:r w:rsidR="000E5C0F" w:rsidRPr="00832F7C">
        <w:t>syntax.sps</w:t>
      </w:r>
      <w:proofErr w:type="spellEnd"/>
      <w:r w:rsidR="000E5C0F" w:rsidRPr="00832F7C">
        <w:t xml:space="preserve">” script requires the researcher 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0E5C0F" w:rsidRPr="00832F7C">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0E5C0F" w:rsidRPr="00832F7C">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0E5C0F" w:rsidRPr="00832F7C">
        <w:t xml:space="preserve">) </w:t>
      </w:r>
      <w:proofErr w:type="gramStart"/>
      <w:r w:rsidR="000E5C0F" w:rsidRPr="00832F7C">
        <w:t>in order to</w:t>
      </w:r>
      <w:proofErr w:type="gramEnd"/>
      <w:r w:rsidR="000E5C0F" w:rsidRPr="00832F7C">
        <w:t xml:space="preserve"> correct the effect sizes for attenuation. Vahey et al. (2015) </w:t>
      </w:r>
      <w:r w:rsidR="00266282">
        <w:t>did</w:t>
      </w:r>
      <w:r w:rsidR="000E5C0F" w:rsidRPr="00832F7C">
        <w:t xml:space="preserve"> not report extracting or using reliability estimates in this way in their article or supplementary materials. </w:t>
      </w:r>
    </w:p>
    <w:p w14:paraId="68F09912" w14:textId="1EF48F77" w:rsidR="000E5C0F" w:rsidRPr="00832F7C" w:rsidRDefault="000E5C0F" w:rsidP="00D77465">
      <w:r w:rsidRPr="00832F7C">
        <w:t xml:space="preserve">Based on these facts, we could conclude that Vahey et al. (2015) did not in fact employ the </w:t>
      </w:r>
      <w:r w:rsidR="00C42A74">
        <w:t>Hunter and Schmidt</w:t>
      </w:r>
      <w:r w:rsidRPr="00832F7C">
        <w:t xml:space="preserve"> style meta-analysis specified in </w:t>
      </w:r>
      <w:r w:rsidR="00C42A74">
        <w:t>Field and Gillett</w:t>
      </w:r>
      <w:r w:rsidRPr="00832F7C">
        <w:t xml:space="preserve"> (2010), as stated. It is possible they ran more than one type or implementation of the meta-analyses implemented in these scripts and reported them as one, or perhaps they modified the analytic strategy in an undisclosed way. </w:t>
      </w:r>
    </w:p>
    <w:p w14:paraId="712D481D" w14:textId="6C9C8118" w:rsidR="000E5C0F" w:rsidRPr="00832F7C" w:rsidRDefault="000E5C0F" w:rsidP="00D77465">
      <w:proofErr w:type="gramStart"/>
      <w:r w:rsidRPr="00832F7C">
        <w:t>In light of</w:t>
      </w:r>
      <w:proofErr w:type="gramEnd"/>
      <w:r w:rsidRPr="00832F7C">
        <w:t xml:space="preserve"> this, I therefore altered the implementations in multiple ways in order to attempt to reproduce </w:t>
      </w:r>
      <w:r w:rsidR="00266282">
        <w:t xml:space="preserve">the results reported in </w:t>
      </w:r>
      <w:r w:rsidRPr="00832F7C">
        <w:t xml:space="preserve">Vahey et al. (2015). The code used to implement </w:t>
      </w:r>
      <w:r w:rsidRPr="00832F7C">
        <w:lastRenderedPageBreak/>
        <w:t>each verification attempt, notes on what was modified from the default original code, and the results of the meta-analyses are reported in Table 3. Copies of all original and modified scripts are available in the supplementary materials.</w:t>
      </w:r>
    </w:p>
    <w:p w14:paraId="7134750C" w14:textId="77777777" w:rsidR="000E5C0F" w:rsidRPr="00832F7C" w:rsidRDefault="000E5C0F" w:rsidP="00974D7B">
      <w:pPr>
        <w:pStyle w:val="Heading3"/>
      </w:pPr>
      <w:r w:rsidRPr="00832F7C">
        <w:t>Definitions of different types of intervals</w:t>
      </w:r>
    </w:p>
    <w:p w14:paraId="06368346" w14:textId="309E1386" w:rsidR="000E5C0F" w:rsidRPr="00832F7C" w:rsidRDefault="000E5C0F" w:rsidP="00F47E0E">
      <w:r w:rsidRPr="00832F7C">
        <w:t>Vahey et al. (2015) report</w:t>
      </w:r>
      <w:r w:rsidR="00266282">
        <w:t>ed</w:t>
      </w:r>
      <w:r w:rsidRPr="00832F7C">
        <w:t xml:space="preserve"> both Confidence Intervals (CI) and Credibility Intervals (CR which attempt to estimate the generalizability of the meta-effect size </w:t>
      </w:r>
      <w:r w:rsidRPr="00832F7C">
        <w:fldChar w:fldCharType="begin"/>
      </w:r>
      <w:r w:rsidRPr="00832F7C">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832F7C">
        <w:fldChar w:fldCharType="separate"/>
      </w:r>
      <w:r w:rsidRPr="00832F7C">
        <w:rPr>
          <w:noProof/>
        </w:rPr>
        <w:t>(Field &amp; Gillett, 2010; Hunter &amp; Schmidt, 2004)</w:t>
      </w:r>
      <w:r w:rsidRPr="00832F7C">
        <w:fldChar w:fldCharType="end"/>
      </w:r>
      <w:r w:rsidRPr="00832F7C">
        <w:t>. Vahey et al. (2015) state</w:t>
      </w:r>
      <w:r w:rsidR="00266282">
        <w:t>d</w:t>
      </w:r>
      <w:r w:rsidRPr="00832F7C">
        <w:t xml:space="preserve"> that such “Credibility Intervals are generally wider and thus more conservative than corresponding Confidence Intervals” (p.61), however, this is not the case: Confidence Intervals and Credibility Intervals have different </w:t>
      </w:r>
      <w:proofErr w:type="spellStart"/>
      <w:r w:rsidRPr="00832F7C">
        <w:t>estimands</w:t>
      </w:r>
      <w:proofErr w:type="spellEnd"/>
      <w:r w:rsidRPr="00832F7C">
        <w:t xml:space="preserve">. Confidence Intervals quantify the precision of the estimate given sampling error (i.e., 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832F7C">
        <w:t>), whereas Credibility Intervals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832F7C">
        <w:t xml:space="preserve">: see Field &amp; Gillett, 2010, equations 2, 3, 4, and 5). A third type of interval, Prediction Intervals (PI), take both into account and are often reported for meta-analyses (e.g.,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w:t>
      </w:r>
      <w:r w:rsidR="00B27846">
        <w:t>the analyses in that article</w:t>
      </w:r>
      <w:r w:rsidRPr="00832F7C">
        <w:t xml:space="preserve"> calculated PIs but mislabelled </w:t>
      </w:r>
      <w:r w:rsidR="00B27846">
        <w:t xml:space="preserve">them </w:t>
      </w:r>
      <w:r w:rsidRPr="00832F7C">
        <w:t>as Credibility Intervals</w:t>
      </w:r>
      <w:r w:rsidR="00B27846">
        <w:t>, or some other alternative</w:t>
      </w:r>
      <w:r w:rsidRPr="00832F7C">
        <w:t xml:space="preserve">. </w:t>
      </w:r>
      <w:proofErr w:type="gramStart"/>
      <w:r w:rsidRPr="00832F7C">
        <w:t>In order to</w:t>
      </w:r>
      <w:proofErr w:type="gramEnd"/>
      <w:r w:rsidRPr="00832F7C">
        <w:t xml:space="preserve"> attempt to resolve this for the purpose of verification, it is useful to define all three to highlight the differences between them: </w:t>
      </w:r>
    </w:p>
    <w:p w14:paraId="203254E8" w14:textId="77777777" w:rsidR="000C7F5A" w:rsidRPr="00832F7C" w:rsidRDefault="000C7F5A" w:rsidP="00D77465"/>
    <w:p w14:paraId="2315C498" w14:textId="77777777" w:rsidR="000C7F5A" w:rsidRPr="00832F7C" w:rsidRDefault="000C7F5A" w:rsidP="00D77465"/>
    <w:p w14:paraId="7456D16B" w14:textId="77777777" w:rsidR="000E5C0F" w:rsidRPr="00832F7C" w:rsidRDefault="000E5C0F" w:rsidP="00D77465"/>
    <w:p w14:paraId="22945239" w14:textId="1523B3CB" w:rsidR="000E5C0F" w:rsidRPr="00832F7C" w:rsidRDefault="00000000" w:rsidP="000C7F5A">
      <m:oMathPara>
        <m:oMath>
          <m:eqArr>
            <m:eqArrPr>
              <m:maxDist m:val="1"/>
              <m:ctrlPr>
                <w:rPr>
                  <w:rFonts w:ascii="Cambria Math" w:hAnsi="Cambria Math"/>
                  <w:i/>
                </w:rPr>
              </m:ctrlPr>
            </m:eqArrPr>
            <m:e>
              <m:r>
                <m:rPr>
                  <m:sty m:val="p"/>
                </m:rPr>
                <w:rPr>
                  <w:rFonts w:ascii="Cambria Math" w:hAnsi="Cambria Math"/>
                </w:rPr>
                <m:t>95% CI=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6EAD1CDB" w14:textId="15B52B8B" w:rsidR="000E5C0F" w:rsidRPr="00832F7C" w:rsidRDefault="00000000" w:rsidP="000C7F5A">
      <m:oMathPara>
        <m:oMath>
          <m:eqArr>
            <m:eqArrPr>
              <m:maxDist m:val="1"/>
              <m:ctrlPr>
                <w:rPr>
                  <w:rFonts w:ascii="Cambria Math" w:hAnsi="Cambria Math"/>
                  <w:i/>
                </w:rPr>
              </m:ctrlPr>
            </m:eqArrPr>
            <m:e>
              <m:r>
                <m:rPr>
                  <m:sty m:val="p"/>
                </m:rPr>
                <w:rPr>
                  <w:rFonts w:ascii="Cambria Math" w:hAnsi="Cambria Math"/>
                </w:rPr>
                <m:t>95% CR=</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0238E81C" w14:textId="77777777" w:rsidR="000E5C0F" w:rsidRPr="00832F7C" w:rsidRDefault="00000000" w:rsidP="00D77465">
      <m:oMathPara>
        <m:oMath>
          <m:eqArr>
            <m:eqArrPr>
              <m:maxDist m:val="1"/>
              <m:ctrlPr>
                <w:rPr>
                  <w:rFonts w:ascii="Cambria Math" w:hAnsi="Cambria Math"/>
                  <w:i/>
                </w:rPr>
              </m:ctrlPr>
            </m:eqArrPr>
            <m:e>
              <m:r>
                <m:rPr>
                  <m:sty m:val="p"/>
                </m:rPr>
                <w:rPr>
                  <w:rFonts w:ascii="Cambria Math" w:hAnsi="Cambria Math"/>
                </w:rPr>
                <m:t>95% PI=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4DEC3794" w14:textId="77777777" w:rsidR="000E5C0F" w:rsidRPr="00832F7C" w:rsidRDefault="000E5C0F" w:rsidP="007A3C94">
      <w:pPr>
        <w:ind w:firstLine="0"/>
      </w:pPr>
    </w:p>
    <w:p w14:paraId="7A1D14CF" w14:textId="77777777" w:rsidR="000E5C0F" w:rsidRPr="00832F7C" w:rsidRDefault="000E5C0F" w:rsidP="007A3C94">
      <w:pPr>
        <w:ind w:firstLine="0"/>
      </w:pPr>
      <w:r w:rsidRPr="00832F7C">
        <w:t xml:space="preserve">Where </w:t>
      </w:r>
      <m:oMath>
        <m:acc>
          <m:accPr>
            <m:chr m:val="̅"/>
            <m:ctrlPr>
              <w:rPr>
                <w:rFonts w:ascii="Cambria Math" w:hAnsi="Cambria Math"/>
                <w:i/>
              </w:rPr>
            </m:ctrlPr>
          </m:accPr>
          <m:e>
            <m:r>
              <w:rPr>
                <w:rFonts w:ascii="Cambria Math" w:hAnsi="Cambria Math"/>
              </w:rPr>
              <m:t>r</m:t>
            </m:r>
          </m:e>
        </m:acc>
      </m:oMath>
      <w:r w:rsidRPr="00832F7C">
        <w:t xml:space="preserve"> is the weighted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832F7C">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832F7C">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832F7C">
        <w:t xml:space="preserve"> is the estimated between-study variance (heterogeneity). </w:t>
      </w:r>
    </w:p>
    <w:p w14:paraId="47038B14" w14:textId="6514645E" w:rsidR="000E5C0F" w:rsidRPr="00832F7C" w:rsidRDefault="000E5C0F" w:rsidP="007A3C94">
      <w:r w:rsidRPr="00832F7C">
        <w:t>An important point to appreciate regarding Credibility Intervals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832F7C">
        <w:t xml:space="preserve"> = 0), the CR interval width will also be zero, as is the case in the results of the verification attempts reported later. 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832F7C">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t xml:space="preserve"> to zero (see “h_s syntax.sps” script). 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832F7C">
        <w:t>). This would represent an important case in which Confidence Intervals are both wider than Credibility Intervals, contrary to Vahey et al.'s (2015) claim and indeed where the Credibility Intervals are implausibly narrow (i.e., 0).</w:t>
      </w:r>
    </w:p>
    <w:p w14:paraId="1FB770AC" w14:textId="4E989C59" w:rsidR="00056983" w:rsidRPr="00832F7C" w:rsidRDefault="00056983" w:rsidP="00D77465">
      <w:pPr>
        <w:sectPr w:rsidR="00056983" w:rsidRPr="00832F7C" w:rsidSect="00D77465">
          <w:pgSz w:w="11900" w:h="16840"/>
          <w:pgMar w:top="1440" w:right="1440" w:bottom="1440" w:left="1440" w:header="709" w:footer="709" w:gutter="0"/>
          <w:cols w:space="340"/>
          <w:titlePg/>
          <w:docGrid w:linePitch="360"/>
          <w15:footnoteColumns w:val="1"/>
        </w:sectPr>
      </w:pPr>
    </w:p>
    <w:p w14:paraId="14BB7E51" w14:textId="119840C2" w:rsidR="004219D9" w:rsidRPr="00832F7C" w:rsidRDefault="00000000" w:rsidP="000C7F5A">
      <w:pPr>
        <w:ind w:firstLine="0"/>
        <w:rPr>
          <w:rFonts w:eastAsia="MS Mincho"/>
          <w:lang w:val=""/>
        </w:rPr>
      </w:pPr>
      <w:r w:rsidRPr="00832F7C">
        <w:rPr>
          <w:rFonts w:eastAsia="MS Mincho"/>
          <w:b/>
          <w:bCs/>
          <w:lang w:val=""/>
        </w:rPr>
        <w:lastRenderedPageBreak/>
        <w:t xml:space="preserve">Table </w:t>
      </w:r>
      <w:r w:rsidR="00BD4CA2" w:rsidRPr="00832F7C">
        <w:rPr>
          <w:rFonts w:eastAsia="MS Mincho"/>
          <w:b/>
          <w:bCs/>
          <w:lang w:val=""/>
        </w:rPr>
        <w:t>3</w:t>
      </w:r>
      <w:r w:rsidRPr="00832F7C">
        <w:rPr>
          <w:rFonts w:eastAsia="MS Mincho"/>
          <w:b/>
          <w:bCs/>
          <w:lang w:val=""/>
        </w:rPr>
        <w:t xml:space="preserve">. </w:t>
      </w:r>
      <w:r w:rsidRPr="00832F7C">
        <w:rPr>
          <w:rFonts w:eastAsia="MS Mincho"/>
          <w:lang w:val=""/>
        </w:rPr>
        <w:t>Verification attempts for the meta-analysis</w:t>
      </w:r>
    </w:p>
    <w:tbl>
      <w:tblPr>
        <w:tblStyle w:val="TableGrid1"/>
        <w:tblW w:w="0" w:type="auto"/>
        <w:jc w:val="center"/>
        <w:tblLook w:val="04A0" w:firstRow="1" w:lastRow="0" w:firstColumn="1" w:lastColumn="0" w:noHBand="0" w:noVBand="1"/>
      </w:tblPr>
      <w:tblGrid>
        <w:gridCol w:w="1349"/>
        <w:gridCol w:w="3143"/>
        <w:gridCol w:w="3785"/>
        <w:gridCol w:w="706"/>
        <w:gridCol w:w="843"/>
        <w:gridCol w:w="816"/>
        <w:gridCol w:w="843"/>
        <w:gridCol w:w="816"/>
        <w:gridCol w:w="843"/>
        <w:gridCol w:w="816"/>
      </w:tblGrid>
      <w:tr w:rsidR="00AA6907" w:rsidRPr="00832F7C" w14:paraId="5C785B6C" w14:textId="77777777" w:rsidTr="002D69CC">
        <w:trPr>
          <w:trHeight w:val="269"/>
          <w:jc w:val="center"/>
        </w:trPr>
        <w:tc>
          <w:tcPr>
            <w:tcW w:w="1080" w:type="dxa"/>
            <w:tcBorders>
              <w:top w:val="single" w:sz="4" w:space="0" w:color="auto"/>
              <w:left w:val="nil"/>
              <w:bottom w:val="nil"/>
              <w:right w:val="nil"/>
            </w:tcBorders>
            <w:vAlign w:val="center"/>
          </w:tcPr>
          <w:p w14:paraId="77E99AA7" w14:textId="77777777" w:rsidR="009B4A0E" w:rsidRPr="00832F7C" w:rsidRDefault="009B4A0E" w:rsidP="000C7F5A">
            <w:pPr>
              <w:spacing w:line="240" w:lineRule="auto"/>
              <w:ind w:firstLine="0"/>
              <w:rPr>
                <w:rFonts w:eastAsia="MS Mincho"/>
              </w:rPr>
            </w:pPr>
          </w:p>
        </w:tc>
        <w:tc>
          <w:tcPr>
            <w:tcW w:w="3420" w:type="dxa"/>
            <w:tcBorders>
              <w:top w:val="single" w:sz="4" w:space="0" w:color="auto"/>
              <w:left w:val="nil"/>
              <w:bottom w:val="nil"/>
              <w:right w:val="nil"/>
            </w:tcBorders>
            <w:vAlign w:val="center"/>
          </w:tcPr>
          <w:p w14:paraId="57DEDF78" w14:textId="77777777" w:rsidR="009B4A0E" w:rsidRPr="00832F7C" w:rsidRDefault="009B4A0E" w:rsidP="000C7F5A">
            <w:pPr>
              <w:spacing w:line="240" w:lineRule="auto"/>
              <w:ind w:firstLine="0"/>
              <w:rPr>
                <w:rFonts w:eastAsia="MS Mincho"/>
              </w:rPr>
            </w:pPr>
          </w:p>
        </w:tc>
        <w:tc>
          <w:tcPr>
            <w:tcW w:w="4332" w:type="dxa"/>
            <w:tcBorders>
              <w:top w:val="single" w:sz="4" w:space="0" w:color="auto"/>
              <w:left w:val="nil"/>
              <w:bottom w:val="nil"/>
              <w:right w:val="nil"/>
            </w:tcBorders>
            <w:vAlign w:val="center"/>
          </w:tcPr>
          <w:p w14:paraId="1C2FE087" w14:textId="77777777" w:rsidR="009B4A0E" w:rsidRPr="00832F7C" w:rsidRDefault="009B4A0E" w:rsidP="000C7F5A">
            <w:pPr>
              <w:spacing w:line="240" w:lineRule="auto"/>
              <w:ind w:firstLine="0"/>
              <w:rPr>
                <w:rFonts w:eastAsia="MS Mincho"/>
              </w:rPr>
            </w:pPr>
          </w:p>
        </w:tc>
        <w:tc>
          <w:tcPr>
            <w:tcW w:w="706" w:type="dxa"/>
            <w:tcBorders>
              <w:top w:val="single" w:sz="4" w:space="0" w:color="auto"/>
              <w:left w:val="nil"/>
              <w:bottom w:val="nil"/>
              <w:right w:val="nil"/>
            </w:tcBorders>
            <w:noWrap/>
            <w:vAlign w:val="center"/>
          </w:tcPr>
          <w:p w14:paraId="73C55E07" w14:textId="77777777" w:rsidR="009B4A0E" w:rsidRPr="00832F7C" w:rsidRDefault="009B4A0E" w:rsidP="000C7F5A">
            <w:pPr>
              <w:spacing w:line="240" w:lineRule="auto"/>
              <w:ind w:firstLine="0"/>
              <w:rPr>
                <w:rFonts w:eastAsia="MS Mincho"/>
              </w:rPr>
            </w:pPr>
          </w:p>
        </w:tc>
        <w:tc>
          <w:tcPr>
            <w:tcW w:w="1412" w:type="dxa"/>
            <w:gridSpan w:val="2"/>
            <w:tcBorders>
              <w:top w:val="single" w:sz="4" w:space="0" w:color="auto"/>
              <w:left w:val="nil"/>
              <w:bottom w:val="single" w:sz="4" w:space="0" w:color="auto"/>
              <w:right w:val="nil"/>
            </w:tcBorders>
            <w:noWrap/>
            <w:vAlign w:val="center"/>
          </w:tcPr>
          <w:p w14:paraId="75B51B37" w14:textId="77777777" w:rsidR="009B4A0E" w:rsidRPr="00832F7C" w:rsidRDefault="00000000" w:rsidP="000C7F5A">
            <w:pPr>
              <w:spacing w:line="240" w:lineRule="auto"/>
              <w:ind w:firstLine="0"/>
              <w:rPr>
                <w:rFonts w:eastAsia="MS Mincho"/>
              </w:rPr>
            </w:pPr>
            <w:r w:rsidRPr="00832F7C">
              <w:rPr>
                <w:rFonts w:eastAsia="MS Mincho"/>
              </w:rPr>
              <w:t>95% CI</w:t>
            </w:r>
          </w:p>
        </w:tc>
        <w:tc>
          <w:tcPr>
            <w:tcW w:w="1412" w:type="dxa"/>
            <w:gridSpan w:val="2"/>
            <w:tcBorders>
              <w:top w:val="single" w:sz="4" w:space="0" w:color="auto"/>
              <w:left w:val="nil"/>
              <w:bottom w:val="single" w:sz="4" w:space="0" w:color="auto"/>
              <w:right w:val="nil"/>
            </w:tcBorders>
            <w:noWrap/>
            <w:vAlign w:val="center"/>
          </w:tcPr>
          <w:p w14:paraId="3FE203BE" w14:textId="77777777" w:rsidR="009B4A0E" w:rsidRPr="00832F7C" w:rsidRDefault="00000000" w:rsidP="000C7F5A">
            <w:pPr>
              <w:spacing w:line="240" w:lineRule="auto"/>
              <w:ind w:firstLine="0"/>
              <w:rPr>
                <w:rFonts w:eastAsia="MS Mincho"/>
              </w:rPr>
            </w:pPr>
            <w:r w:rsidRPr="00832F7C">
              <w:rPr>
                <w:rFonts w:eastAsia="MS Mincho"/>
              </w:rPr>
              <w:t>95% CR</w:t>
            </w:r>
          </w:p>
        </w:tc>
        <w:tc>
          <w:tcPr>
            <w:tcW w:w="1412" w:type="dxa"/>
            <w:gridSpan w:val="2"/>
            <w:tcBorders>
              <w:top w:val="single" w:sz="4" w:space="0" w:color="auto"/>
              <w:left w:val="nil"/>
              <w:bottom w:val="single" w:sz="4" w:space="0" w:color="auto"/>
              <w:right w:val="nil"/>
            </w:tcBorders>
            <w:vAlign w:val="center"/>
          </w:tcPr>
          <w:p w14:paraId="5CB6661D" w14:textId="77777777" w:rsidR="009B4A0E" w:rsidRPr="00832F7C" w:rsidRDefault="00000000" w:rsidP="000C7F5A">
            <w:pPr>
              <w:spacing w:line="240" w:lineRule="auto"/>
              <w:ind w:firstLine="0"/>
              <w:rPr>
                <w:rFonts w:eastAsia="MS Mincho"/>
              </w:rPr>
            </w:pPr>
            <w:r w:rsidRPr="00832F7C">
              <w:rPr>
                <w:rFonts w:eastAsia="MS Mincho"/>
              </w:rPr>
              <w:t>95% PI</w:t>
            </w:r>
          </w:p>
        </w:tc>
      </w:tr>
      <w:tr w:rsidR="00AA6907" w:rsidRPr="00832F7C" w14:paraId="23B185AD" w14:textId="77777777" w:rsidTr="002D69CC">
        <w:trPr>
          <w:trHeight w:val="269"/>
          <w:jc w:val="center"/>
        </w:trPr>
        <w:tc>
          <w:tcPr>
            <w:tcW w:w="1080" w:type="dxa"/>
            <w:tcBorders>
              <w:top w:val="nil"/>
              <w:left w:val="nil"/>
              <w:bottom w:val="single" w:sz="4" w:space="0" w:color="auto"/>
              <w:right w:val="nil"/>
            </w:tcBorders>
            <w:vAlign w:val="center"/>
            <w:hideMark/>
          </w:tcPr>
          <w:p w14:paraId="105825DD" w14:textId="77777777" w:rsidR="009B4A0E" w:rsidRPr="00832F7C" w:rsidRDefault="00000000" w:rsidP="000C7F5A">
            <w:pPr>
              <w:spacing w:line="240" w:lineRule="auto"/>
              <w:ind w:firstLine="0"/>
              <w:rPr>
                <w:rFonts w:eastAsia="MS Mincho"/>
              </w:rPr>
            </w:pPr>
            <w:r w:rsidRPr="00832F7C">
              <w:rPr>
                <w:rFonts w:eastAsia="MS Mincho"/>
              </w:rPr>
              <w:t>Source</w:t>
            </w:r>
          </w:p>
        </w:tc>
        <w:tc>
          <w:tcPr>
            <w:tcW w:w="3420" w:type="dxa"/>
            <w:tcBorders>
              <w:top w:val="nil"/>
              <w:left w:val="nil"/>
              <w:bottom w:val="single" w:sz="4" w:space="0" w:color="auto"/>
              <w:right w:val="nil"/>
            </w:tcBorders>
            <w:vAlign w:val="center"/>
            <w:hideMark/>
          </w:tcPr>
          <w:p w14:paraId="20B14AC8" w14:textId="77777777" w:rsidR="009B4A0E" w:rsidRPr="00832F7C" w:rsidRDefault="00000000" w:rsidP="000C7F5A">
            <w:pPr>
              <w:spacing w:line="240" w:lineRule="auto"/>
              <w:ind w:firstLine="0"/>
              <w:rPr>
                <w:rFonts w:eastAsia="MS Mincho"/>
              </w:rPr>
            </w:pPr>
            <w:r w:rsidRPr="00832F7C">
              <w:rPr>
                <w:rFonts w:eastAsia="MS Mincho"/>
              </w:rPr>
              <w:t>Implementation</w:t>
            </w:r>
          </w:p>
        </w:tc>
        <w:tc>
          <w:tcPr>
            <w:tcW w:w="4332" w:type="dxa"/>
            <w:tcBorders>
              <w:top w:val="nil"/>
              <w:left w:val="nil"/>
              <w:bottom w:val="single" w:sz="4" w:space="0" w:color="auto"/>
              <w:right w:val="nil"/>
            </w:tcBorders>
            <w:vAlign w:val="center"/>
            <w:hideMark/>
          </w:tcPr>
          <w:p w14:paraId="4C8E96AC" w14:textId="77777777" w:rsidR="009B4A0E" w:rsidRPr="00832F7C" w:rsidRDefault="00000000" w:rsidP="000C7F5A">
            <w:pPr>
              <w:spacing w:line="240" w:lineRule="auto"/>
              <w:ind w:firstLine="0"/>
              <w:rPr>
                <w:rFonts w:eastAsia="MS Mincho"/>
              </w:rPr>
            </w:pPr>
            <w:r w:rsidRPr="00832F7C">
              <w:rPr>
                <w:rFonts w:eastAsia="MS Mincho"/>
              </w:rPr>
              <w:t>Modifications from the original code</w:t>
            </w:r>
          </w:p>
        </w:tc>
        <w:tc>
          <w:tcPr>
            <w:tcW w:w="706" w:type="dxa"/>
            <w:tcBorders>
              <w:top w:val="nil"/>
              <w:left w:val="nil"/>
              <w:bottom w:val="single" w:sz="4" w:space="0" w:color="auto"/>
              <w:right w:val="nil"/>
            </w:tcBorders>
            <w:noWrap/>
            <w:vAlign w:val="center"/>
            <w:hideMark/>
          </w:tcPr>
          <w:p w14:paraId="15373148" w14:textId="77777777" w:rsidR="009B4A0E" w:rsidRPr="00832F7C" w:rsidRDefault="00000000" w:rsidP="000C7F5A">
            <w:pPr>
              <w:spacing w:line="240" w:lineRule="auto"/>
              <w:ind w:firstLine="0"/>
              <w:rPr>
                <w:rFonts w:eastAsia="MS Mincho"/>
              </w:rPr>
            </w:pPr>
            <m:oMathPara>
              <m:oMath>
                <m:acc>
                  <m:accPr>
                    <m:chr m:val="̅"/>
                    <m:ctrlPr>
                      <w:rPr>
                        <w:rFonts w:ascii="Cambria Math" w:eastAsia="MS Mincho" w:hAnsi="Cambria Math"/>
                      </w:rPr>
                    </m:ctrlPr>
                  </m:accPr>
                  <m:e>
                    <m:r>
                      <w:rPr>
                        <w:rFonts w:ascii="Cambria Math" w:eastAsia="MS Mincho" w:hAnsi="Cambria Math"/>
                      </w:rPr>
                      <m:t>r</m:t>
                    </m:r>
                  </m:e>
                </m:acc>
              </m:oMath>
            </m:oMathPara>
          </w:p>
        </w:tc>
        <w:tc>
          <w:tcPr>
            <w:tcW w:w="706" w:type="dxa"/>
            <w:tcBorders>
              <w:top w:val="single" w:sz="4" w:space="0" w:color="auto"/>
              <w:left w:val="nil"/>
              <w:bottom w:val="single" w:sz="4" w:space="0" w:color="auto"/>
              <w:right w:val="nil"/>
            </w:tcBorders>
            <w:noWrap/>
            <w:vAlign w:val="center"/>
            <w:hideMark/>
          </w:tcPr>
          <w:p w14:paraId="016A671C" w14:textId="77777777" w:rsidR="009B4A0E" w:rsidRPr="00832F7C" w:rsidRDefault="00000000" w:rsidP="000C7F5A">
            <w:pPr>
              <w:spacing w:line="240" w:lineRule="auto"/>
              <w:ind w:firstLine="0"/>
              <w:rPr>
                <w:rFonts w:eastAsia="MS Mincho"/>
              </w:rPr>
            </w:pPr>
            <w:r w:rsidRPr="00832F7C">
              <w:rPr>
                <w:rFonts w:eastAsia="MS Mincho"/>
              </w:rPr>
              <w:t>Lower</w:t>
            </w:r>
          </w:p>
        </w:tc>
        <w:tc>
          <w:tcPr>
            <w:tcW w:w="706" w:type="dxa"/>
            <w:tcBorders>
              <w:top w:val="single" w:sz="4" w:space="0" w:color="auto"/>
              <w:left w:val="nil"/>
              <w:bottom w:val="single" w:sz="4" w:space="0" w:color="auto"/>
              <w:right w:val="nil"/>
            </w:tcBorders>
            <w:noWrap/>
            <w:vAlign w:val="center"/>
            <w:hideMark/>
          </w:tcPr>
          <w:p w14:paraId="6A024961" w14:textId="77777777" w:rsidR="009B4A0E" w:rsidRPr="00832F7C" w:rsidRDefault="00000000" w:rsidP="000C7F5A">
            <w:pPr>
              <w:spacing w:line="240" w:lineRule="auto"/>
              <w:ind w:firstLine="0"/>
              <w:rPr>
                <w:rFonts w:eastAsia="MS Mincho"/>
              </w:rPr>
            </w:pPr>
            <w:r w:rsidRPr="00832F7C">
              <w:rPr>
                <w:rFonts w:eastAsia="MS Mincho"/>
              </w:rPr>
              <w:t>Upper</w:t>
            </w:r>
          </w:p>
        </w:tc>
        <w:tc>
          <w:tcPr>
            <w:tcW w:w="706" w:type="dxa"/>
            <w:tcBorders>
              <w:top w:val="single" w:sz="4" w:space="0" w:color="auto"/>
              <w:left w:val="nil"/>
              <w:bottom w:val="single" w:sz="4" w:space="0" w:color="auto"/>
              <w:right w:val="nil"/>
            </w:tcBorders>
            <w:noWrap/>
            <w:vAlign w:val="center"/>
            <w:hideMark/>
          </w:tcPr>
          <w:p w14:paraId="74C5EE85" w14:textId="77777777" w:rsidR="009B4A0E" w:rsidRPr="00832F7C" w:rsidRDefault="00000000" w:rsidP="000C7F5A">
            <w:pPr>
              <w:spacing w:line="240" w:lineRule="auto"/>
              <w:ind w:firstLine="0"/>
              <w:rPr>
                <w:rFonts w:eastAsia="MS Mincho"/>
              </w:rPr>
            </w:pPr>
            <w:r w:rsidRPr="00832F7C">
              <w:rPr>
                <w:rFonts w:eastAsia="MS Mincho"/>
              </w:rPr>
              <w:t>Lower</w:t>
            </w:r>
          </w:p>
        </w:tc>
        <w:tc>
          <w:tcPr>
            <w:tcW w:w="706" w:type="dxa"/>
            <w:tcBorders>
              <w:top w:val="single" w:sz="4" w:space="0" w:color="auto"/>
              <w:left w:val="nil"/>
              <w:bottom w:val="single" w:sz="4" w:space="0" w:color="auto"/>
              <w:right w:val="nil"/>
            </w:tcBorders>
            <w:noWrap/>
            <w:vAlign w:val="center"/>
            <w:hideMark/>
          </w:tcPr>
          <w:p w14:paraId="685C5947" w14:textId="77777777" w:rsidR="009B4A0E" w:rsidRPr="00832F7C" w:rsidRDefault="00000000" w:rsidP="000C7F5A">
            <w:pPr>
              <w:spacing w:line="240" w:lineRule="auto"/>
              <w:ind w:firstLine="0"/>
              <w:rPr>
                <w:rFonts w:eastAsia="MS Mincho"/>
              </w:rPr>
            </w:pPr>
            <w:r w:rsidRPr="00832F7C">
              <w:rPr>
                <w:rFonts w:eastAsia="MS Mincho"/>
              </w:rPr>
              <w:t>Upper</w:t>
            </w:r>
          </w:p>
        </w:tc>
        <w:tc>
          <w:tcPr>
            <w:tcW w:w="706" w:type="dxa"/>
            <w:tcBorders>
              <w:top w:val="single" w:sz="4" w:space="0" w:color="auto"/>
              <w:left w:val="nil"/>
              <w:bottom w:val="single" w:sz="4" w:space="0" w:color="auto"/>
              <w:right w:val="nil"/>
            </w:tcBorders>
            <w:vAlign w:val="center"/>
          </w:tcPr>
          <w:p w14:paraId="39D9E776" w14:textId="77777777" w:rsidR="009B4A0E" w:rsidRPr="00832F7C" w:rsidRDefault="00000000" w:rsidP="000C7F5A">
            <w:pPr>
              <w:spacing w:line="240" w:lineRule="auto"/>
              <w:ind w:firstLine="0"/>
              <w:rPr>
                <w:rFonts w:eastAsia="MS Mincho"/>
              </w:rPr>
            </w:pPr>
            <w:r w:rsidRPr="00832F7C">
              <w:rPr>
                <w:rFonts w:eastAsia="MS Mincho"/>
              </w:rPr>
              <w:t>Lower</w:t>
            </w:r>
          </w:p>
        </w:tc>
        <w:tc>
          <w:tcPr>
            <w:tcW w:w="706" w:type="dxa"/>
            <w:tcBorders>
              <w:top w:val="single" w:sz="4" w:space="0" w:color="auto"/>
              <w:left w:val="nil"/>
              <w:bottom w:val="single" w:sz="4" w:space="0" w:color="auto"/>
              <w:right w:val="nil"/>
            </w:tcBorders>
            <w:vAlign w:val="center"/>
          </w:tcPr>
          <w:p w14:paraId="77917E91" w14:textId="77777777" w:rsidR="009B4A0E" w:rsidRPr="00832F7C" w:rsidRDefault="00000000" w:rsidP="000C7F5A">
            <w:pPr>
              <w:spacing w:line="240" w:lineRule="auto"/>
              <w:ind w:firstLine="0"/>
              <w:rPr>
                <w:rFonts w:eastAsia="MS Mincho"/>
              </w:rPr>
            </w:pPr>
            <w:r w:rsidRPr="00832F7C">
              <w:rPr>
                <w:rFonts w:eastAsia="MS Mincho"/>
              </w:rPr>
              <w:t>Upper</w:t>
            </w:r>
          </w:p>
        </w:tc>
      </w:tr>
      <w:tr w:rsidR="000C7F5A" w:rsidRPr="00832F7C" w14:paraId="26151E18" w14:textId="77777777" w:rsidTr="004219D9">
        <w:trPr>
          <w:trHeight w:val="806"/>
          <w:jc w:val="center"/>
        </w:trPr>
        <w:tc>
          <w:tcPr>
            <w:tcW w:w="1080" w:type="dxa"/>
            <w:tcBorders>
              <w:top w:val="single" w:sz="4" w:space="0" w:color="auto"/>
              <w:left w:val="nil"/>
              <w:bottom w:val="nil"/>
              <w:right w:val="nil"/>
            </w:tcBorders>
            <w:vAlign w:val="center"/>
            <w:hideMark/>
          </w:tcPr>
          <w:p w14:paraId="6C620135" w14:textId="77777777" w:rsidR="009B4A0E" w:rsidRPr="00832F7C" w:rsidRDefault="00000000" w:rsidP="000C7F5A">
            <w:pPr>
              <w:spacing w:line="240" w:lineRule="auto"/>
              <w:ind w:firstLine="0"/>
              <w:rPr>
                <w:rFonts w:eastAsia="MS Mincho"/>
              </w:rPr>
            </w:pPr>
            <w:r w:rsidRPr="00832F7C">
              <w:rPr>
                <w:rFonts w:eastAsia="MS Mincho"/>
              </w:rPr>
              <w:t>Vahey et al. (2015)</w:t>
            </w:r>
          </w:p>
        </w:tc>
        <w:tc>
          <w:tcPr>
            <w:tcW w:w="3420" w:type="dxa"/>
            <w:tcBorders>
              <w:top w:val="single" w:sz="4" w:space="0" w:color="auto"/>
              <w:left w:val="nil"/>
              <w:bottom w:val="nil"/>
              <w:right w:val="nil"/>
            </w:tcBorders>
            <w:vAlign w:val="center"/>
            <w:hideMark/>
          </w:tcPr>
          <w:p w14:paraId="06D53369" w14:textId="77777777" w:rsidR="009B4A0E" w:rsidRPr="00832F7C" w:rsidRDefault="00000000" w:rsidP="000C7F5A">
            <w:pPr>
              <w:spacing w:line="240" w:lineRule="auto"/>
              <w:ind w:firstLine="0"/>
              <w:rPr>
                <w:rFonts w:eastAsia="MS Mincho"/>
              </w:rPr>
            </w:pPr>
            <w:r w:rsidRPr="00832F7C">
              <w:rPr>
                <w:rFonts w:eastAsia="MS Mincho"/>
              </w:rPr>
              <w:t xml:space="preserve">Vahey </w:t>
            </w:r>
            <w:r w:rsidR="003A52F0" w:rsidRPr="00832F7C">
              <w:rPr>
                <w:rFonts w:eastAsia="MS Mincho"/>
              </w:rPr>
              <w:t xml:space="preserve">et al. (2015) state they followed </w:t>
            </w:r>
            <w:r w:rsidRPr="00832F7C">
              <w:rPr>
                <w:rFonts w:eastAsia="MS Mincho"/>
              </w:rPr>
              <w:t>Field &amp; Gillett’s (2010)</w:t>
            </w:r>
            <w:r w:rsidR="004219D9" w:rsidRPr="00832F7C">
              <w:rPr>
                <w:rFonts w:eastAsia="MS Mincho"/>
              </w:rPr>
              <w:t xml:space="preserve"> description of a Hunter and Schmidt style meta-analysis</w:t>
            </w:r>
          </w:p>
        </w:tc>
        <w:tc>
          <w:tcPr>
            <w:tcW w:w="4332" w:type="dxa"/>
            <w:tcBorders>
              <w:top w:val="single" w:sz="4" w:space="0" w:color="auto"/>
              <w:left w:val="nil"/>
              <w:bottom w:val="nil"/>
              <w:right w:val="nil"/>
            </w:tcBorders>
            <w:vAlign w:val="center"/>
            <w:hideMark/>
          </w:tcPr>
          <w:p w14:paraId="3C21FEDD" w14:textId="77777777" w:rsidR="009B4A0E" w:rsidRPr="00832F7C" w:rsidRDefault="00000000" w:rsidP="000C7F5A">
            <w:pPr>
              <w:spacing w:line="240" w:lineRule="auto"/>
              <w:ind w:firstLine="0"/>
              <w:rPr>
                <w:rFonts w:eastAsia="MS Mincho"/>
              </w:rPr>
            </w:pPr>
            <w:r w:rsidRPr="00832F7C">
              <w:rPr>
                <w:rFonts w:eastAsia="MS Mincho"/>
              </w:rPr>
              <w:t>Unknown.</w:t>
            </w:r>
          </w:p>
        </w:tc>
        <w:tc>
          <w:tcPr>
            <w:tcW w:w="706" w:type="dxa"/>
            <w:tcBorders>
              <w:top w:val="single" w:sz="4" w:space="0" w:color="auto"/>
              <w:left w:val="nil"/>
              <w:bottom w:val="nil"/>
              <w:right w:val="nil"/>
            </w:tcBorders>
            <w:shd w:val="clear" w:color="auto" w:fill="D9D9D9"/>
            <w:noWrap/>
            <w:vAlign w:val="center"/>
            <w:hideMark/>
          </w:tcPr>
          <w:p w14:paraId="7F3B3534" w14:textId="77777777" w:rsidR="009B4A0E" w:rsidRPr="00832F7C" w:rsidRDefault="00000000" w:rsidP="007742A5">
            <w:pPr>
              <w:spacing w:line="240" w:lineRule="auto"/>
              <w:ind w:firstLine="0"/>
              <w:jc w:val="center"/>
              <w:rPr>
                <w:rFonts w:eastAsia="MS Mincho"/>
              </w:rPr>
            </w:pPr>
            <w:r w:rsidRPr="00832F7C">
              <w:rPr>
                <w:rFonts w:eastAsia="MS Mincho"/>
              </w:rPr>
              <w:t>.45</w:t>
            </w:r>
          </w:p>
        </w:tc>
        <w:tc>
          <w:tcPr>
            <w:tcW w:w="706" w:type="dxa"/>
            <w:tcBorders>
              <w:top w:val="single" w:sz="4" w:space="0" w:color="auto"/>
              <w:left w:val="nil"/>
              <w:bottom w:val="nil"/>
              <w:right w:val="nil"/>
            </w:tcBorders>
            <w:shd w:val="clear" w:color="auto" w:fill="D9D9D9"/>
            <w:noWrap/>
            <w:vAlign w:val="center"/>
            <w:hideMark/>
          </w:tcPr>
          <w:p w14:paraId="1D7512B0" w14:textId="77777777" w:rsidR="009B4A0E" w:rsidRPr="00832F7C" w:rsidRDefault="00000000" w:rsidP="007742A5">
            <w:pPr>
              <w:spacing w:line="240" w:lineRule="auto"/>
              <w:ind w:firstLine="0"/>
              <w:jc w:val="center"/>
              <w:rPr>
                <w:rFonts w:eastAsia="MS Mincho"/>
              </w:rPr>
            </w:pPr>
            <w:r w:rsidRPr="00832F7C">
              <w:rPr>
                <w:rFonts w:eastAsia="MS Mincho"/>
              </w:rPr>
              <w:t>.40</w:t>
            </w:r>
          </w:p>
        </w:tc>
        <w:tc>
          <w:tcPr>
            <w:tcW w:w="706" w:type="dxa"/>
            <w:tcBorders>
              <w:top w:val="single" w:sz="4" w:space="0" w:color="auto"/>
              <w:left w:val="nil"/>
              <w:bottom w:val="nil"/>
              <w:right w:val="nil"/>
            </w:tcBorders>
            <w:shd w:val="clear" w:color="auto" w:fill="D9D9D9"/>
            <w:noWrap/>
            <w:vAlign w:val="center"/>
            <w:hideMark/>
          </w:tcPr>
          <w:p w14:paraId="2F5ABB16" w14:textId="77777777" w:rsidR="009B4A0E" w:rsidRPr="00832F7C" w:rsidRDefault="00000000" w:rsidP="007742A5">
            <w:pPr>
              <w:spacing w:line="240" w:lineRule="auto"/>
              <w:ind w:firstLine="0"/>
              <w:jc w:val="center"/>
              <w:rPr>
                <w:rFonts w:eastAsia="MS Mincho"/>
              </w:rPr>
            </w:pPr>
            <w:r w:rsidRPr="00832F7C">
              <w:rPr>
                <w:rFonts w:eastAsia="MS Mincho"/>
              </w:rPr>
              <w:t>.54</w:t>
            </w:r>
          </w:p>
        </w:tc>
        <w:tc>
          <w:tcPr>
            <w:tcW w:w="706" w:type="dxa"/>
            <w:tcBorders>
              <w:top w:val="single" w:sz="4" w:space="0" w:color="auto"/>
              <w:left w:val="nil"/>
              <w:bottom w:val="nil"/>
              <w:right w:val="nil"/>
            </w:tcBorders>
            <w:shd w:val="clear" w:color="auto" w:fill="D9D9D9"/>
            <w:noWrap/>
            <w:vAlign w:val="center"/>
            <w:hideMark/>
          </w:tcPr>
          <w:p w14:paraId="46C809F7" w14:textId="77777777" w:rsidR="009B4A0E" w:rsidRPr="00832F7C" w:rsidRDefault="00000000" w:rsidP="007742A5">
            <w:pPr>
              <w:spacing w:line="240" w:lineRule="auto"/>
              <w:ind w:firstLine="0"/>
              <w:jc w:val="center"/>
              <w:rPr>
                <w:rFonts w:eastAsia="MS Mincho"/>
              </w:rPr>
            </w:pPr>
            <w:r w:rsidRPr="00832F7C">
              <w:rPr>
                <w:rFonts w:eastAsia="MS Mincho"/>
              </w:rPr>
              <w:t>.23</w:t>
            </w:r>
          </w:p>
        </w:tc>
        <w:tc>
          <w:tcPr>
            <w:tcW w:w="706" w:type="dxa"/>
            <w:tcBorders>
              <w:top w:val="single" w:sz="4" w:space="0" w:color="auto"/>
              <w:left w:val="nil"/>
              <w:bottom w:val="nil"/>
              <w:right w:val="nil"/>
            </w:tcBorders>
            <w:shd w:val="clear" w:color="auto" w:fill="D9D9D9"/>
            <w:noWrap/>
            <w:vAlign w:val="center"/>
            <w:hideMark/>
          </w:tcPr>
          <w:p w14:paraId="033333CF" w14:textId="77777777" w:rsidR="009B4A0E" w:rsidRPr="00832F7C" w:rsidRDefault="00000000" w:rsidP="007742A5">
            <w:pPr>
              <w:spacing w:line="240" w:lineRule="auto"/>
              <w:ind w:firstLine="0"/>
              <w:jc w:val="center"/>
              <w:rPr>
                <w:rFonts w:eastAsia="MS Mincho"/>
              </w:rPr>
            </w:pPr>
            <w:r w:rsidRPr="00832F7C">
              <w:rPr>
                <w:rFonts w:eastAsia="MS Mincho"/>
              </w:rPr>
              <w:t>.67</w:t>
            </w:r>
          </w:p>
        </w:tc>
        <w:tc>
          <w:tcPr>
            <w:tcW w:w="706" w:type="dxa"/>
            <w:tcBorders>
              <w:top w:val="single" w:sz="4" w:space="0" w:color="auto"/>
              <w:left w:val="nil"/>
              <w:bottom w:val="nil"/>
              <w:right w:val="nil"/>
            </w:tcBorders>
            <w:shd w:val="clear" w:color="auto" w:fill="D9D9D9"/>
            <w:vAlign w:val="center"/>
          </w:tcPr>
          <w:p w14:paraId="5E572EF7" w14:textId="77777777" w:rsidR="009B4A0E"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single" w:sz="4" w:space="0" w:color="auto"/>
              <w:left w:val="nil"/>
              <w:bottom w:val="nil"/>
              <w:right w:val="nil"/>
            </w:tcBorders>
            <w:shd w:val="clear" w:color="auto" w:fill="D9D9D9"/>
            <w:vAlign w:val="center"/>
          </w:tcPr>
          <w:p w14:paraId="51B19E5C" w14:textId="77777777" w:rsidR="009B4A0E" w:rsidRPr="00832F7C" w:rsidRDefault="00000000" w:rsidP="007742A5">
            <w:pPr>
              <w:spacing w:line="240" w:lineRule="auto"/>
              <w:ind w:firstLine="0"/>
              <w:jc w:val="center"/>
              <w:rPr>
                <w:rFonts w:eastAsia="MS Mincho"/>
              </w:rPr>
            </w:pPr>
            <w:r w:rsidRPr="00832F7C">
              <w:rPr>
                <w:rFonts w:eastAsia="MS Mincho"/>
              </w:rPr>
              <w:t>-</w:t>
            </w:r>
          </w:p>
        </w:tc>
      </w:tr>
      <w:tr w:rsidR="00AA6907" w:rsidRPr="00832F7C" w14:paraId="4176787A" w14:textId="77777777" w:rsidTr="002D69CC">
        <w:trPr>
          <w:trHeight w:val="540"/>
          <w:jc w:val="center"/>
        </w:trPr>
        <w:tc>
          <w:tcPr>
            <w:tcW w:w="1080" w:type="dxa"/>
            <w:tcBorders>
              <w:top w:val="nil"/>
              <w:left w:val="nil"/>
              <w:bottom w:val="nil"/>
              <w:right w:val="nil"/>
            </w:tcBorders>
            <w:vAlign w:val="center"/>
            <w:hideMark/>
          </w:tcPr>
          <w:p w14:paraId="13303D10" w14:textId="77777777" w:rsidR="009B4A0E" w:rsidRPr="00832F7C" w:rsidRDefault="00000000" w:rsidP="000C7F5A">
            <w:pPr>
              <w:spacing w:line="240" w:lineRule="auto"/>
              <w:ind w:firstLine="0"/>
              <w:rPr>
                <w:rFonts w:eastAsia="MS Mincho"/>
              </w:rPr>
            </w:pPr>
            <w:r w:rsidRPr="00832F7C">
              <w:rPr>
                <w:rFonts w:eastAsia="MS Mincho"/>
              </w:rPr>
              <w:t>Verification attempt 1</w:t>
            </w:r>
          </w:p>
        </w:tc>
        <w:tc>
          <w:tcPr>
            <w:tcW w:w="3420" w:type="dxa"/>
            <w:tcBorders>
              <w:top w:val="nil"/>
              <w:left w:val="nil"/>
              <w:bottom w:val="nil"/>
              <w:right w:val="nil"/>
            </w:tcBorders>
            <w:vAlign w:val="center"/>
            <w:hideMark/>
          </w:tcPr>
          <w:p w14:paraId="3CA34716" w14:textId="77777777" w:rsidR="009B4A0E" w:rsidRPr="00832F7C" w:rsidRDefault="00000000" w:rsidP="000C7F5A">
            <w:pPr>
              <w:spacing w:line="240" w:lineRule="auto"/>
              <w:ind w:firstLine="0"/>
              <w:rPr>
                <w:rFonts w:eastAsia="MS Mincho"/>
              </w:rPr>
            </w:pPr>
            <w:r w:rsidRPr="00832F7C">
              <w:rPr>
                <w:rFonts w:eastAsia="MS Mincho"/>
              </w:rPr>
              <w:t>Hunter &amp; Schmidt method using Field &amp; Gillett’s (2010) “h_s_syntax.sps”</w:t>
            </w:r>
          </w:p>
        </w:tc>
        <w:tc>
          <w:tcPr>
            <w:tcW w:w="4332" w:type="dxa"/>
            <w:tcBorders>
              <w:top w:val="nil"/>
              <w:left w:val="nil"/>
              <w:bottom w:val="nil"/>
              <w:right w:val="nil"/>
            </w:tcBorders>
            <w:vAlign w:val="center"/>
            <w:hideMark/>
          </w:tcPr>
          <w:p w14:paraId="5EEADA47" w14:textId="77777777" w:rsidR="009B4A0E" w:rsidRPr="00832F7C" w:rsidRDefault="00000000" w:rsidP="000C7F5A">
            <w:pPr>
              <w:spacing w:line="240" w:lineRule="auto"/>
              <w:ind w:firstLine="0"/>
              <w:rPr>
                <w:rFonts w:eastAsia="MS Mincho"/>
              </w:rPr>
            </w:pPr>
            <w:r w:rsidRPr="00832F7C">
              <w:rPr>
                <w:rFonts w:eastAsia="MS Mincho"/>
              </w:rPr>
              <w:t>All reliabilities were set to 0.</w:t>
            </w:r>
          </w:p>
        </w:tc>
        <w:tc>
          <w:tcPr>
            <w:tcW w:w="706" w:type="dxa"/>
            <w:tcBorders>
              <w:top w:val="nil"/>
              <w:left w:val="nil"/>
              <w:bottom w:val="nil"/>
              <w:right w:val="nil"/>
            </w:tcBorders>
            <w:noWrap/>
            <w:vAlign w:val="center"/>
            <w:hideMark/>
          </w:tcPr>
          <w:p w14:paraId="72C4B3FA" w14:textId="77777777" w:rsidR="009B4A0E"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noWrap/>
            <w:vAlign w:val="center"/>
            <w:hideMark/>
          </w:tcPr>
          <w:p w14:paraId="7F396405" w14:textId="77777777" w:rsidR="009B4A0E" w:rsidRPr="00832F7C" w:rsidRDefault="00000000" w:rsidP="007742A5">
            <w:pPr>
              <w:spacing w:line="240" w:lineRule="auto"/>
              <w:ind w:firstLine="0"/>
              <w:jc w:val="center"/>
              <w:rPr>
                <w:rFonts w:eastAsia="MS Mincho"/>
              </w:rPr>
            </w:pPr>
            <w:r w:rsidRPr="00832F7C">
              <w:rPr>
                <w:rFonts w:eastAsia="MS Mincho"/>
              </w:rPr>
              <w:t>.20</w:t>
            </w:r>
          </w:p>
        </w:tc>
        <w:tc>
          <w:tcPr>
            <w:tcW w:w="706" w:type="dxa"/>
            <w:tcBorders>
              <w:top w:val="nil"/>
              <w:left w:val="nil"/>
              <w:bottom w:val="nil"/>
              <w:right w:val="nil"/>
            </w:tcBorders>
            <w:noWrap/>
            <w:vAlign w:val="center"/>
            <w:hideMark/>
          </w:tcPr>
          <w:p w14:paraId="57BF0ABA" w14:textId="77777777" w:rsidR="009B4A0E" w:rsidRPr="00832F7C" w:rsidRDefault="00000000" w:rsidP="007742A5">
            <w:pPr>
              <w:spacing w:line="240" w:lineRule="auto"/>
              <w:ind w:firstLine="0"/>
              <w:jc w:val="center"/>
              <w:rPr>
                <w:rFonts w:eastAsia="MS Mincho"/>
              </w:rPr>
            </w:pPr>
            <w:r w:rsidRPr="00832F7C">
              <w:rPr>
                <w:rFonts w:eastAsia="MS Mincho"/>
              </w:rPr>
              <w:t>.74</w:t>
            </w:r>
          </w:p>
        </w:tc>
        <w:tc>
          <w:tcPr>
            <w:tcW w:w="706" w:type="dxa"/>
            <w:tcBorders>
              <w:top w:val="nil"/>
              <w:left w:val="nil"/>
              <w:bottom w:val="nil"/>
              <w:right w:val="nil"/>
            </w:tcBorders>
            <w:noWrap/>
            <w:vAlign w:val="center"/>
            <w:hideMark/>
          </w:tcPr>
          <w:p w14:paraId="570B6599" w14:textId="77777777" w:rsidR="009B4A0E"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noWrap/>
            <w:vAlign w:val="center"/>
            <w:hideMark/>
          </w:tcPr>
          <w:p w14:paraId="6B458B3A" w14:textId="77777777" w:rsidR="009B4A0E"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vAlign w:val="center"/>
          </w:tcPr>
          <w:p w14:paraId="65FB1872" w14:textId="77777777" w:rsidR="009B4A0E"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vAlign w:val="center"/>
          </w:tcPr>
          <w:p w14:paraId="6CE5A84D" w14:textId="77777777" w:rsidR="009B4A0E" w:rsidRPr="00832F7C" w:rsidRDefault="00000000" w:rsidP="007742A5">
            <w:pPr>
              <w:spacing w:line="240" w:lineRule="auto"/>
              <w:ind w:firstLine="0"/>
              <w:jc w:val="center"/>
              <w:rPr>
                <w:rFonts w:eastAsia="MS Mincho"/>
              </w:rPr>
            </w:pPr>
            <w:r w:rsidRPr="00832F7C">
              <w:rPr>
                <w:rFonts w:eastAsia="MS Mincho"/>
              </w:rPr>
              <w:t>-</w:t>
            </w:r>
          </w:p>
        </w:tc>
      </w:tr>
      <w:tr w:rsidR="00AA6907" w:rsidRPr="00832F7C" w14:paraId="7A91E0E7" w14:textId="77777777" w:rsidTr="000B19C6">
        <w:trPr>
          <w:trHeight w:val="549"/>
          <w:jc w:val="center"/>
        </w:trPr>
        <w:tc>
          <w:tcPr>
            <w:tcW w:w="1080" w:type="dxa"/>
            <w:tcBorders>
              <w:top w:val="nil"/>
              <w:left w:val="nil"/>
              <w:bottom w:val="nil"/>
              <w:right w:val="nil"/>
            </w:tcBorders>
            <w:vAlign w:val="center"/>
          </w:tcPr>
          <w:p w14:paraId="78F8A660" w14:textId="77777777" w:rsidR="000B19C6" w:rsidRPr="00832F7C" w:rsidRDefault="00000000" w:rsidP="000C7F5A">
            <w:pPr>
              <w:spacing w:line="240" w:lineRule="auto"/>
              <w:ind w:firstLine="0"/>
              <w:rPr>
                <w:rFonts w:eastAsia="MS Mincho"/>
              </w:rPr>
            </w:pPr>
            <w:r w:rsidRPr="00832F7C">
              <w:rPr>
                <w:rFonts w:eastAsia="MS Mincho"/>
              </w:rPr>
              <w:t>Verification attempt 2</w:t>
            </w:r>
          </w:p>
        </w:tc>
        <w:tc>
          <w:tcPr>
            <w:tcW w:w="3420" w:type="dxa"/>
            <w:tcBorders>
              <w:top w:val="nil"/>
              <w:left w:val="nil"/>
              <w:bottom w:val="nil"/>
              <w:right w:val="nil"/>
            </w:tcBorders>
            <w:vAlign w:val="center"/>
            <w:hideMark/>
          </w:tcPr>
          <w:p w14:paraId="7613AAB5" w14:textId="77777777" w:rsidR="000B19C6" w:rsidRPr="00832F7C" w:rsidRDefault="00000000" w:rsidP="000C7F5A">
            <w:pPr>
              <w:spacing w:line="240" w:lineRule="auto"/>
              <w:ind w:firstLine="0"/>
              <w:rPr>
                <w:rFonts w:eastAsia="MS Mincho"/>
              </w:rPr>
            </w:pPr>
            <w:r w:rsidRPr="00832F7C">
              <w:rPr>
                <w:rFonts w:eastAsia="MS Mincho"/>
              </w:rPr>
              <w:t>Hunter &amp; Schmidt method using Field &amp; Gillett’s (2010) “Meta_Basic_r.sps” *</w:t>
            </w:r>
          </w:p>
        </w:tc>
        <w:tc>
          <w:tcPr>
            <w:tcW w:w="4332" w:type="dxa"/>
            <w:tcBorders>
              <w:top w:val="nil"/>
              <w:left w:val="nil"/>
              <w:bottom w:val="nil"/>
              <w:right w:val="nil"/>
            </w:tcBorders>
            <w:vAlign w:val="center"/>
            <w:hideMark/>
          </w:tcPr>
          <w:p w14:paraId="6B88C8EE" w14:textId="77777777" w:rsidR="000B19C6" w:rsidRPr="00832F7C" w:rsidRDefault="00000000" w:rsidP="000C7F5A">
            <w:pPr>
              <w:spacing w:line="240" w:lineRule="auto"/>
              <w:ind w:firstLine="0"/>
              <w:rPr>
                <w:rFonts w:eastAsia="MS Mincho"/>
              </w:rPr>
            </w:pPr>
            <w:r w:rsidRPr="00832F7C">
              <w:rPr>
                <w:rFonts w:eastAsia="MS Mincho"/>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9130F1"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shd w:val="clear" w:color="auto" w:fill="auto"/>
            <w:noWrap/>
            <w:vAlign w:val="center"/>
            <w:hideMark/>
          </w:tcPr>
          <w:p w14:paraId="520F8FB3"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shd w:val="clear" w:color="auto" w:fill="auto"/>
            <w:noWrap/>
            <w:vAlign w:val="center"/>
            <w:hideMark/>
          </w:tcPr>
          <w:p w14:paraId="3A08B380"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shd w:val="clear" w:color="auto" w:fill="auto"/>
            <w:noWrap/>
            <w:vAlign w:val="center"/>
            <w:hideMark/>
          </w:tcPr>
          <w:p w14:paraId="7ADAF76F"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shd w:val="clear" w:color="auto" w:fill="auto"/>
            <w:noWrap/>
            <w:vAlign w:val="center"/>
            <w:hideMark/>
          </w:tcPr>
          <w:p w14:paraId="3D535788"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shd w:val="clear" w:color="auto" w:fill="auto"/>
            <w:vAlign w:val="center"/>
          </w:tcPr>
          <w:p w14:paraId="4151E023"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shd w:val="clear" w:color="auto" w:fill="auto"/>
            <w:vAlign w:val="center"/>
          </w:tcPr>
          <w:p w14:paraId="7D106F7C" w14:textId="77777777" w:rsidR="000B19C6" w:rsidRPr="00832F7C" w:rsidRDefault="00000000" w:rsidP="007742A5">
            <w:pPr>
              <w:spacing w:line="240" w:lineRule="auto"/>
              <w:ind w:firstLine="0"/>
              <w:jc w:val="center"/>
              <w:rPr>
                <w:rFonts w:eastAsia="MS Mincho"/>
              </w:rPr>
            </w:pPr>
            <w:r w:rsidRPr="00832F7C">
              <w:rPr>
                <w:rFonts w:eastAsia="MS Mincho"/>
              </w:rPr>
              <w:t>-</w:t>
            </w:r>
          </w:p>
        </w:tc>
      </w:tr>
      <w:tr w:rsidR="00AA6907" w:rsidRPr="00832F7C" w14:paraId="2DA8805C" w14:textId="77777777" w:rsidTr="009B4A0E">
        <w:trPr>
          <w:trHeight w:val="801"/>
          <w:jc w:val="center"/>
        </w:trPr>
        <w:tc>
          <w:tcPr>
            <w:tcW w:w="1080" w:type="dxa"/>
            <w:tcBorders>
              <w:top w:val="nil"/>
              <w:left w:val="nil"/>
              <w:bottom w:val="nil"/>
              <w:right w:val="nil"/>
            </w:tcBorders>
            <w:vAlign w:val="center"/>
          </w:tcPr>
          <w:p w14:paraId="496DFDAC" w14:textId="77777777" w:rsidR="000B19C6" w:rsidRPr="00832F7C" w:rsidRDefault="00000000" w:rsidP="000C7F5A">
            <w:pPr>
              <w:spacing w:line="240" w:lineRule="auto"/>
              <w:ind w:firstLine="0"/>
              <w:rPr>
                <w:rFonts w:eastAsia="MS Mincho"/>
              </w:rPr>
            </w:pPr>
            <w:r w:rsidRPr="00832F7C">
              <w:rPr>
                <w:rFonts w:eastAsia="MS Mincho"/>
              </w:rPr>
              <w:t>Verification attempt 3</w:t>
            </w:r>
          </w:p>
        </w:tc>
        <w:tc>
          <w:tcPr>
            <w:tcW w:w="3420" w:type="dxa"/>
            <w:tcBorders>
              <w:top w:val="nil"/>
              <w:left w:val="nil"/>
              <w:bottom w:val="nil"/>
              <w:right w:val="nil"/>
            </w:tcBorders>
            <w:vAlign w:val="center"/>
          </w:tcPr>
          <w:p w14:paraId="1BA97DC9" w14:textId="77777777" w:rsidR="000B19C6" w:rsidRPr="00832F7C" w:rsidRDefault="00000000" w:rsidP="000C7F5A">
            <w:pPr>
              <w:spacing w:line="240" w:lineRule="auto"/>
              <w:ind w:firstLine="0"/>
              <w:rPr>
                <w:rFonts w:eastAsia="MS Mincho"/>
              </w:rPr>
            </w:pPr>
            <w:r w:rsidRPr="00832F7C">
              <w:rPr>
                <w:rFonts w:eastAsia="MS Mincho"/>
              </w:rPr>
              <w:t>Hunter &amp; Schmidt method using a reimplementation of Field &amp; Gillett’s (2010) “Meta_Basic_r.sps” in R</w:t>
            </w:r>
          </w:p>
        </w:tc>
        <w:tc>
          <w:tcPr>
            <w:tcW w:w="4332" w:type="dxa"/>
            <w:tcBorders>
              <w:top w:val="nil"/>
              <w:left w:val="nil"/>
              <w:bottom w:val="nil"/>
              <w:right w:val="nil"/>
            </w:tcBorders>
            <w:vAlign w:val="center"/>
          </w:tcPr>
          <w:p w14:paraId="504B5ABD" w14:textId="77777777" w:rsidR="000B19C6" w:rsidRPr="00832F7C" w:rsidRDefault="00000000" w:rsidP="000C7F5A">
            <w:pPr>
              <w:spacing w:line="240" w:lineRule="auto"/>
              <w:ind w:firstLine="0"/>
              <w:rPr>
                <w:rFonts w:eastAsia="MS Mincho"/>
              </w:rPr>
            </w:pPr>
            <w:r w:rsidRPr="00832F7C">
              <w:rPr>
                <w:rFonts w:eastAsia="MS Mincho"/>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75E4F2E0" w14:textId="77777777" w:rsidR="000B19C6" w:rsidRPr="00832F7C" w:rsidRDefault="00000000" w:rsidP="007742A5">
            <w:pPr>
              <w:spacing w:line="240" w:lineRule="auto"/>
              <w:ind w:firstLine="0"/>
              <w:jc w:val="center"/>
              <w:rPr>
                <w:rFonts w:eastAsia="MS Mincho"/>
              </w:rPr>
            </w:pPr>
            <w:r w:rsidRPr="00832F7C">
              <w:rPr>
                <w:rFonts w:eastAsia="MS Mincho"/>
              </w:rPr>
              <w:t>.46</w:t>
            </w:r>
          </w:p>
        </w:tc>
        <w:tc>
          <w:tcPr>
            <w:tcW w:w="706" w:type="dxa"/>
            <w:tcBorders>
              <w:top w:val="nil"/>
              <w:left w:val="nil"/>
              <w:bottom w:val="nil"/>
              <w:right w:val="nil"/>
            </w:tcBorders>
            <w:shd w:val="clear" w:color="auto" w:fill="auto"/>
            <w:noWrap/>
            <w:vAlign w:val="center"/>
          </w:tcPr>
          <w:p w14:paraId="6B4682FE"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shd w:val="clear" w:color="auto" w:fill="auto"/>
            <w:noWrap/>
            <w:vAlign w:val="center"/>
          </w:tcPr>
          <w:p w14:paraId="0B1C41A3"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noWrap/>
            <w:vAlign w:val="center"/>
          </w:tcPr>
          <w:p w14:paraId="560ECB54" w14:textId="77777777" w:rsidR="000B19C6" w:rsidRPr="00832F7C" w:rsidRDefault="00000000" w:rsidP="007742A5">
            <w:pPr>
              <w:spacing w:line="240" w:lineRule="auto"/>
              <w:ind w:firstLine="0"/>
              <w:jc w:val="center"/>
              <w:rPr>
                <w:rFonts w:eastAsia="MS Mincho"/>
              </w:rPr>
            </w:pPr>
            <w:r w:rsidRPr="00832F7C">
              <w:rPr>
                <w:rFonts w:eastAsia="MS Mincho"/>
              </w:rPr>
              <w:t>.46</w:t>
            </w:r>
          </w:p>
        </w:tc>
        <w:tc>
          <w:tcPr>
            <w:tcW w:w="706" w:type="dxa"/>
            <w:tcBorders>
              <w:top w:val="nil"/>
              <w:left w:val="nil"/>
              <w:bottom w:val="nil"/>
              <w:right w:val="nil"/>
            </w:tcBorders>
            <w:noWrap/>
            <w:vAlign w:val="center"/>
          </w:tcPr>
          <w:p w14:paraId="109B2970" w14:textId="77777777" w:rsidR="000B19C6" w:rsidRPr="00832F7C" w:rsidRDefault="00000000" w:rsidP="007742A5">
            <w:pPr>
              <w:spacing w:line="240" w:lineRule="auto"/>
              <w:ind w:firstLine="0"/>
              <w:jc w:val="center"/>
              <w:rPr>
                <w:rFonts w:eastAsia="MS Mincho"/>
              </w:rPr>
            </w:pPr>
            <w:r w:rsidRPr="00832F7C">
              <w:rPr>
                <w:rFonts w:eastAsia="MS Mincho"/>
              </w:rPr>
              <w:t>.46</w:t>
            </w:r>
          </w:p>
        </w:tc>
        <w:tc>
          <w:tcPr>
            <w:tcW w:w="706" w:type="dxa"/>
            <w:tcBorders>
              <w:top w:val="nil"/>
              <w:left w:val="nil"/>
              <w:bottom w:val="nil"/>
              <w:right w:val="nil"/>
            </w:tcBorders>
            <w:vAlign w:val="center"/>
          </w:tcPr>
          <w:p w14:paraId="2B9171F3"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vAlign w:val="center"/>
          </w:tcPr>
          <w:p w14:paraId="05CD3CF7" w14:textId="77777777" w:rsidR="000B19C6" w:rsidRPr="00832F7C" w:rsidRDefault="00000000" w:rsidP="007742A5">
            <w:pPr>
              <w:spacing w:line="240" w:lineRule="auto"/>
              <w:ind w:firstLine="0"/>
              <w:jc w:val="center"/>
              <w:rPr>
                <w:rFonts w:eastAsia="MS Mincho"/>
              </w:rPr>
            </w:pPr>
            <w:r w:rsidRPr="00832F7C">
              <w:rPr>
                <w:rFonts w:eastAsia="MS Mincho"/>
              </w:rPr>
              <w:t>-</w:t>
            </w:r>
          </w:p>
        </w:tc>
      </w:tr>
      <w:tr w:rsidR="00AA6907" w:rsidRPr="00832F7C" w14:paraId="2255D6F5" w14:textId="77777777" w:rsidTr="002D69CC">
        <w:trPr>
          <w:trHeight w:val="801"/>
          <w:jc w:val="center"/>
        </w:trPr>
        <w:tc>
          <w:tcPr>
            <w:tcW w:w="1080" w:type="dxa"/>
            <w:tcBorders>
              <w:top w:val="nil"/>
              <w:left w:val="nil"/>
              <w:bottom w:val="nil"/>
              <w:right w:val="nil"/>
            </w:tcBorders>
            <w:vAlign w:val="center"/>
          </w:tcPr>
          <w:p w14:paraId="34511ED7" w14:textId="77777777" w:rsidR="000B19C6" w:rsidRPr="00832F7C" w:rsidRDefault="00000000" w:rsidP="000C7F5A">
            <w:pPr>
              <w:spacing w:line="240" w:lineRule="auto"/>
              <w:ind w:firstLine="0"/>
              <w:rPr>
                <w:rFonts w:eastAsia="MS Mincho"/>
              </w:rPr>
            </w:pPr>
            <w:r w:rsidRPr="00832F7C">
              <w:rPr>
                <w:rFonts w:eastAsia="MS Mincho"/>
              </w:rPr>
              <w:t>Verification attempt 4</w:t>
            </w:r>
          </w:p>
        </w:tc>
        <w:tc>
          <w:tcPr>
            <w:tcW w:w="3420" w:type="dxa"/>
            <w:tcBorders>
              <w:top w:val="nil"/>
              <w:left w:val="nil"/>
              <w:bottom w:val="nil"/>
              <w:right w:val="nil"/>
            </w:tcBorders>
            <w:vAlign w:val="center"/>
          </w:tcPr>
          <w:p w14:paraId="2718FAA5" w14:textId="77777777" w:rsidR="000B19C6" w:rsidRPr="00832F7C" w:rsidRDefault="00000000" w:rsidP="000C7F5A">
            <w:pPr>
              <w:spacing w:line="240" w:lineRule="auto"/>
              <w:ind w:firstLine="0"/>
              <w:rPr>
                <w:rFonts w:eastAsia="MS Mincho"/>
              </w:rPr>
            </w:pPr>
            <w:r w:rsidRPr="00832F7C">
              <w:rPr>
                <w:rFonts w:eastAsia="MS Mincho"/>
              </w:rPr>
              <w:t>Hunter &amp; Schmidt method using a converstion of Field &amp; Gillett’s (2010) “Meta_Basic_r.sps” to R</w:t>
            </w:r>
          </w:p>
        </w:tc>
        <w:tc>
          <w:tcPr>
            <w:tcW w:w="4332" w:type="dxa"/>
            <w:tcBorders>
              <w:top w:val="nil"/>
              <w:left w:val="nil"/>
              <w:bottom w:val="nil"/>
              <w:right w:val="nil"/>
            </w:tcBorders>
            <w:vAlign w:val="center"/>
          </w:tcPr>
          <w:p w14:paraId="04544BEF" w14:textId="77777777" w:rsidR="000B19C6" w:rsidRPr="00832F7C" w:rsidRDefault="00000000" w:rsidP="000C7F5A">
            <w:pPr>
              <w:spacing w:line="240" w:lineRule="auto"/>
              <w:ind w:firstLine="0"/>
              <w:rPr>
                <w:rFonts w:eastAsia="MS Mincho"/>
              </w:rPr>
            </w:pPr>
            <w:r w:rsidRPr="00832F7C">
              <w:rPr>
                <w:rFonts w:eastAsia="MS Mincho"/>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30F1C7F2" w14:textId="77777777" w:rsidR="000B19C6"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shd w:val="clear" w:color="auto" w:fill="auto"/>
            <w:noWrap/>
            <w:vAlign w:val="center"/>
          </w:tcPr>
          <w:p w14:paraId="46906AA0"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shd w:val="clear" w:color="auto" w:fill="auto"/>
            <w:noWrap/>
            <w:vAlign w:val="center"/>
          </w:tcPr>
          <w:p w14:paraId="2D57628E"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noWrap/>
            <w:vAlign w:val="center"/>
          </w:tcPr>
          <w:p w14:paraId="0C6CA0AE" w14:textId="77777777" w:rsidR="000B19C6"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noWrap/>
            <w:vAlign w:val="center"/>
          </w:tcPr>
          <w:p w14:paraId="3E5CE470" w14:textId="77777777" w:rsidR="000B19C6"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vAlign w:val="center"/>
          </w:tcPr>
          <w:p w14:paraId="0CB4837E"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nil"/>
              <w:right w:val="nil"/>
            </w:tcBorders>
            <w:vAlign w:val="center"/>
          </w:tcPr>
          <w:p w14:paraId="04253458" w14:textId="77777777" w:rsidR="000B19C6" w:rsidRPr="00832F7C" w:rsidRDefault="00000000" w:rsidP="007742A5">
            <w:pPr>
              <w:spacing w:line="240" w:lineRule="auto"/>
              <w:ind w:firstLine="0"/>
              <w:jc w:val="center"/>
              <w:rPr>
                <w:rFonts w:eastAsia="MS Mincho"/>
              </w:rPr>
            </w:pPr>
            <w:r w:rsidRPr="00832F7C">
              <w:rPr>
                <w:rFonts w:eastAsia="MS Mincho"/>
              </w:rPr>
              <w:t>-</w:t>
            </w:r>
          </w:p>
        </w:tc>
      </w:tr>
      <w:tr w:rsidR="00AA6907" w:rsidRPr="00832F7C" w14:paraId="27A37D81" w14:textId="77777777" w:rsidTr="008A02C1">
        <w:trPr>
          <w:trHeight w:val="801"/>
          <w:jc w:val="center"/>
        </w:trPr>
        <w:tc>
          <w:tcPr>
            <w:tcW w:w="1080" w:type="dxa"/>
            <w:tcBorders>
              <w:top w:val="nil"/>
              <w:left w:val="nil"/>
              <w:bottom w:val="nil"/>
              <w:right w:val="nil"/>
            </w:tcBorders>
            <w:vAlign w:val="center"/>
          </w:tcPr>
          <w:p w14:paraId="52243751" w14:textId="77777777" w:rsidR="000B19C6" w:rsidRPr="00832F7C" w:rsidRDefault="00000000" w:rsidP="000C7F5A">
            <w:pPr>
              <w:spacing w:line="240" w:lineRule="auto"/>
              <w:ind w:firstLine="0"/>
              <w:rPr>
                <w:rFonts w:eastAsia="MS Mincho"/>
              </w:rPr>
            </w:pPr>
            <w:r w:rsidRPr="00832F7C">
              <w:rPr>
                <w:rFonts w:eastAsia="MS Mincho"/>
              </w:rPr>
              <w:t>Verification attempt 5</w:t>
            </w:r>
          </w:p>
        </w:tc>
        <w:tc>
          <w:tcPr>
            <w:tcW w:w="3420" w:type="dxa"/>
            <w:tcBorders>
              <w:top w:val="nil"/>
              <w:left w:val="nil"/>
              <w:bottom w:val="nil"/>
              <w:right w:val="nil"/>
            </w:tcBorders>
            <w:vAlign w:val="center"/>
          </w:tcPr>
          <w:p w14:paraId="526AEEC0" w14:textId="77777777" w:rsidR="000B19C6" w:rsidRPr="00832F7C" w:rsidRDefault="00000000" w:rsidP="000C7F5A">
            <w:pPr>
              <w:spacing w:line="240" w:lineRule="auto"/>
              <w:ind w:firstLine="0"/>
              <w:rPr>
                <w:rFonts w:eastAsia="MS Mincho"/>
              </w:rPr>
            </w:pPr>
            <w:r w:rsidRPr="00832F7C">
              <w:rPr>
                <w:rFonts w:eastAsia="MS Mincho"/>
              </w:rPr>
              <w:t>Hunter &amp; Schmidt method using Viechtbauer’s (2022) implementation in R and metafor.</w:t>
            </w:r>
          </w:p>
        </w:tc>
        <w:tc>
          <w:tcPr>
            <w:tcW w:w="4332" w:type="dxa"/>
            <w:tcBorders>
              <w:top w:val="nil"/>
              <w:left w:val="nil"/>
              <w:bottom w:val="nil"/>
              <w:right w:val="nil"/>
            </w:tcBorders>
            <w:vAlign w:val="center"/>
          </w:tcPr>
          <w:p w14:paraId="6B560ACC" w14:textId="77777777" w:rsidR="000B19C6" w:rsidRPr="00832F7C" w:rsidRDefault="00000000" w:rsidP="000C7F5A">
            <w:pPr>
              <w:spacing w:line="240" w:lineRule="auto"/>
              <w:ind w:firstLine="0"/>
              <w:rPr>
                <w:rFonts w:eastAsia="MS Mincho"/>
              </w:rPr>
            </w:pPr>
            <w:r w:rsidRPr="00832F7C">
              <w:rPr>
                <w:rFonts w:eastAsia="MS Mincho"/>
              </w:rPr>
              <w:t>Credibility intervals were implemented using Field &amp; Gillett</w:t>
            </w:r>
            <w:r w:rsidR="009862CD" w:rsidRPr="00832F7C">
              <w:rPr>
                <w:rFonts w:eastAsia="MS Mincho"/>
              </w:rPr>
              <w:t>’</w:t>
            </w:r>
            <w:r w:rsidRPr="00832F7C">
              <w:rPr>
                <w:rFonts w:eastAsia="MS Mincho"/>
              </w:rPr>
              <w:t>s (2010) equations 2 to 5.</w:t>
            </w:r>
          </w:p>
        </w:tc>
        <w:tc>
          <w:tcPr>
            <w:tcW w:w="706" w:type="dxa"/>
            <w:tcBorders>
              <w:top w:val="nil"/>
              <w:left w:val="nil"/>
              <w:bottom w:val="nil"/>
              <w:right w:val="nil"/>
            </w:tcBorders>
            <w:noWrap/>
            <w:vAlign w:val="center"/>
          </w:tcPr>
          <w:p w14:paraId="5EE92626" w14:textId="77777777" w:rsidR="000B19C6"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shd w:val="clear" w:color="auto" w:fill="D9D9D9"/>
            <w:noWrap/>
            <w:vAlign w:val="center"/>
          </w:tcPr>
          <w:p w14:paraId="31696B2E" w14:textId="77777777" w:rsidR="000B19C6" w:rsidRPr="00832F7C" w:rsidRDefault="00000000" w:rsidP="007742A5">
            <w:pPr>
              <w:spacing w:line="240" w:lineRule="auto"/>
              <w:ind w:firstLine="0"/>
              <w:jc w:val="center"/>
              <w:rPr>
                <w:rFonts w:eastAsia="MS Mincho"/>
              </w:rPr>
            </w:pPr>
            <w:r w:rsidRPr="00832F7C">
              <w:rPr>
                <w:rFonts w:eastAsia="MS Mincho"/>
              </w:rPr>
              <w:t>.40</w:t>
            </w:r>
          </w:p>
        </w:tc>
        <w:tc>
          <w:tcPr>
            <w:tcW w:w="706" w:type="dxa"/>
            <w:tcBorders>
              <w:top w:val="nil"/>
              <w:left w:val="nil"/>
              <w:bottom w:val="nil"/>
              <w:right w:val="nil"/>
            </w:tcBorders>
            <w:shd w:val="clear" w:color="auto" w:fill="D9D9D9"/>
            <w:noWrap/>
            <w:vAlign w:val="center"/>
          </w:tcPr>
          <w:p w14:paraId="3441825A" w14:textId="77777777" w:rsidR="000B19C6" w:rsidRPr="00832F7C" w:rsidRDefault="00000000" w:rsidP="007742A5">
            <w:pPr>
              <w:spacing w:line="240" w:lineRule="auto"/>
              <w:ind w:firstLine="0"/>
              <w:jc w:val="center"/>
              <w:rPr>
                <w:rFonts w:eastAsia="MS Mincho"/>
              </w:rPr>
            </w:pPr>
            <w:r w:rsidRPr="00832F7C">
              <w:rPr>
                <w:rFonts w:eastAsia="MS Mincho"/>
              </w:rPr>
              <w:t>.54</w:t>
            </w:r>
          </w:p>
        </w:tc>
        <w:tc>
          <w:tcPr>
            <w:tcW w:w="706" w:type="dxa"/>
            <w:tcBorders>
              <w:top w:val="nil"/>
              <w:left w:val="nil"/>
              <w:bottom w:val="nil"/>
              <w:right w:val="nil"/>
            </w:tcBorders>
            <w:noWrap/>
            <w:vAlign w:val="center"/>
          </w:tcPr>
          <w:p w14:paraId="50328AD7" w14:textId="77777777" w:rsidR="000B19C6"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noWrap/>
            <w:vAlign w:val="center"/>
          </w:tcPr>
          <w:p w14:paraId="3E053345" w14:textId="77777777" w:rsidR="000B19C6"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vAlign w:val="center"/>
          </w:tcPr>
          <w:p w14:paraId="688CBDBF" w14:textId="77777777" w:rsidR="000B19C6" w:rsidRPr="00832F7C" w:rsidRDefault="00000000" w:rsidP="007742A5">
            <w:pPr>
              <w:spacing w:line="240" w:lineRule="auto"/>
              <w:ind w:firstLine="0"/>
              <w:jc w:val="center"/>
              <w:rPr>
                <w:rFonts w:eastAsia="MS Mincho"/>
              </w:rPr>
            </w:pPr>
            <w:r w:rsidRPr="00832F7C">
              <w:rPr>
                <w:rFonts w:eastAsia="MS Mincho"/>
              </w:rPr>
              <w:t>.40</w:t>
            </w:r>
          </w:p>
        </w:tc>
        <w:tc>
          <w:tcPr>
            <w:tcW w:w="706" w:type="dxa"/>
            <w:tcBorders>
              <w:top w:val="nil"/>
              <w:left w:val="nil"/>
              <w:bottom w:val="nil"/>
              <w:right w:val="nil"/>
            </w:tcBorders>
            <w:vAlign w:val="center"/>
          </w:tcPr>
          <w:p w14:paraId="7A5846DD" w14:textId="77777777" w:rsidR="000B19C6" w:rsidRPr="00832F7C" w:rsidRDefault="00000000" w:rsidP="007742A5">
            <w:pPr>
              <w:spacing w:line="240" w:lineRule="auto"/>
              <w:ind w:firstLine="0"/>
              <w:jc w:val="center"/>
              <w:rPr>
                <w:rFonts w:eastAsia="MS Mincho"/>
              </w:rPr>
            </w:pPr>
            <w:r w:rsidRPr="00832F7C">
              <w:rPr>
                <w:rFonts w:eastAsia="MS Mincho"/>
              </w:rPr>
              <w:t>.54</w:t>
            </w:r>
          </w:p>
        </w:tc>
      </w:tr>
      <w:tr w:rsidR="00AA6907" w:rsidRPr="00832F7C" w14:paraId="3BC769F8" w14:textId="77777777" w:rsidTr="008A02C1">
        <w:trPr>
          <w:trHeight w:val="729"/>
          <w:jc w:val="center"/>
        </w:trPr>
        <w:tc>
          <w:tcPr>
            <w:tcW w:w="1080" w:type="dxa"/>
            <w:tcBorders>
              <w:top w:val="nil"/>
              <w:left w:val="nil"/>
              <w:bottom w:val="nil"/>
              <w:right w:val="nil"/>
            </w:tcBorders>
            <w:vAlign w:val="center"/>
          </w:tcPr>
          <w:p w14:paraId="46128306" w14:textId="77777777" w:rsidR="000B19C6" w:rsidRPr="00832F7C" w:rsidRDefault="00000000" w:rsidP="000C7F5A">
            <w:pPr>
              <w:spacing w:line="240" w:lineRule="auto"/>
              <w:ind w:firstLine="0"/>
              <w:rPr>
                <w:rFonts w:eastAsia="MS Mincho"/>
              </w:rPr>
            </w:pPr>
            <w:r w:rsidRPr="00832F7C">
              <w:rPr>
                <w:rFonts w:eastAsia="MS Mincho"/>
              </w:rPr>
              <w:t>Verification attempt 6</w:t>
            </w:r>
          </w:p>
        </w:tc>
        <w:tc>
          <w:tcPr>
            <w:tcW w:w="3420" w:type="dxa"/>
            <w:tcBorders>
              <w:top w:val="nil"/>
              <w:left w:val="nil"/>
              <w:bottom w:val="nil"/>
              <w:right w:val="nil"/>
            </w:tcBorders>
            <w:vAlign w:val="center"/>
            <w:hideMark/>
          </w:tcPr>
          <w:p w14:paraId="4F3949C1" w14:textId="77777777" w:rsidR="000B19C6" w:rsidRPr="00832F7C" w:rsidRDefault="00000000" w:rsidP="000C7F5A">
            <w:pPr>
              <w:spacing w:line="240" w:lineRule="auto"/>
              <w:ind w:firstLine="0"/>
              <w:rPr>
                <w:rFonts w:eastAsia="MS Mincho"/>
              </w:rPr>
            </w:pPr>
            <w:r w:rsidRPr="00832F7C">
              <w:rPr>
                <w:rFonts w:eastAsia="MS Mincho"/>
              </w:rPr>
              <w:t xml:space="preserve">A mix of Hunter &amp; Schmidt and Hedges methods using Viechtbauer's (2022) </w:t>
            </w:r>
            <w:r w:rsidRPr="00832F7C">
              <w:rPr>
                <w:rFonts w:eastAsia="MS Mincho"/>
              </w:rPr>
              <w:lastRenderedPageBreak/>
              <w:t>implementation in R and metafor.</w:t>
            </w:r>
          </w:p>
        </w:tc>
        <w:tc>
          <w:tcPr>
            <w:tcW w:w="4332" w:type="dxa"/>
            <w:tcBorders>
              <w:top w:val="nil"/>
              <w:left w:val="nil"/>
              <w:bottom w:val="nil"/>
              <w:right w:val="nil"/>
            </w:tcBorders>
            <w:vAlign w:val="center"/>
            <w:hideMark/>
          </w:tcPr>
          <w:p w14:paraId="63CF6361" w14:textId="77777777" w:rsidR="000B19C6" w:rsidRPr="00832F7C" w:rsidRDefault="00000000" w:rsidP="000C7F5A">
            <w:pPr>
              <w:spacing w:line="240" w:lineRule="auto"/>
              <w:ind w:firstLine="0"/>
              <w:rPr>
                <w:rFonts w:eastAsia="MS Mincho"/>
              </w:rPr>
            </w:pPr>
            <w:r w:rsidRPr="00832F7C">
              <w:rPr>
                <w:rFonts w:eastAsia="MS Mincho"/>
              </w:rPr>
              <w:lastRenderedPageBreak/>
              <w:t>Credibility intervals were implemented using Field &amp; Gillett</w:t>
            </w:r>
            <w:r w:rsidR="009862CD" w:rsidRPr="00832F7C">
              <w:rPr>
                <w:rFonts w:eastAsia="MS Mincho"/>
              </w:rPr>
              <w:t>’</w:t>
            </w:r>
            <w:r w:rsidRPr="00832F7C">
              <w:rPr>
                <w:rFonts w:eastAsia="MS Mincho"/>
              </w:rPr>
              <w:t xml:space="preserve">s (2010) equations 2 to 5. Fisher's </w:t>
            </w:r>
            <w:r w:rsidRPr="00832F7C">
              <w:rPr>
                <w:rFonts w:eastAsia="MS Mincho"/>
                <w:i/>
                <w:iCs/>
              </w:rPr>
              <w:t>r</w:t>
            </w:r>
            <w:r w:rsidRPr="00832F7C">
              <w:rPr>
                <w:rFonts w:eastAsia="MS Mincho"/>
              </w:rPr>
              <w:t>-</w:t>
            </w:r>
            <w:r w:rsidRPr="00832F7C">
              <w:rPr>
                <w:rFonts w:eastAsia="MS Mincho"/>
              </w:rPr>
              <w:lastRenderedPageBreak/>
              <w:t>to-</w:t>
            </w:r>
            <w:r w:rsidRPr="00832F7C">
              <w:rPr>
                <w:rFonts w:eastAsia="MS Mincho"/>
                <w:i/>
                <w:iCs/>
              </w:rPr>
              <w:t>z</w:t>
            </w:r>
            <w:r w:rsidRPr="00832F7C">
              <w:rPr>
                <w:rFonts w:eastAsia="MS Mincho"/>
              </w:rPr>
              <w:t xml:space="preserve"> transformations and </w:t>
            </w:r>
            <w:r w:rsidRPr="00832F7C">
              <w:rPr>
                <w:rFonts w:eastAsia="MS Mincho"/>
                <w:i/>
                <w:iCs/>
              </w:rPr>
              <w:t>z</w:t>
            </w:r>
            <w:r w:rsidRPr="00832F7C">
              <w:rPr>
                <w:rFonts w:eastAsia="MS Mincho"/>
              </w:rPr>
              <w:t>-to-</w:t>
            </w:r>
            <w:r w:rsidRPr="00832F7C">
              <w:rPr>
                <w:rFonts w:eastAsia="MS Mincho"/>
                <w:i/>
                <w:iCs/>
              </w:rPr>
              <w:t>r</w:t>
            </w:r>
            <w:r w:rsidRPr="00832F7C">
              <w:rPr>
                <w:rFonts w:eastAsia="MS Mincho"/>
              </w:rPr>
              <w:t xml:space="preserve"> back transformations.</w:t>
            </w:r>
          </w:p>
        </w:tc>
        <w:tc>
          <w:tcPr>
            <w:tcW w:w="706" w:type="dxa"/>
            <w:tcBorders>
              <w:top w:val="nil"/>
              <w:left w:val="nil"/>
              <w:bottom w:val="nil"/>
              <w:right w:val="nil"/>
            </w:tcBorders>
            <w:noWrap/>
            <w:vAlign w:val="center"/>
            <w:hideMark/>
          </w:tcPr>
          <w:p w14:paraId="26245A27" w14:textId="77777777" w:rsidR="000B19C6" w:rsidRPr="00832F7C" w:rsidRDefault="00000000" w:rsidP="007742A5">
            <w:pPr>
              <w:spacing w:line="240" w:lineRule="auto"/>
              <w:ind w:firstLine="0"/>
              <w:jc w:val="center"/>
              <w:rPr>
                <w:rFonts w:eastAsia="MS Mincho"/>
              </w:rPr>
            </w:pPr>
            <w:r w:rsidRPr="00832F7C">
              <w:rPr>
                <w:rFonts w:eastAsia="MS Mincho"/>
              </w:rPr>
              <w:lastRenderedPageBreak/>
              <w:t>.47</w:t>
            </w:r>
          </w:p>
        </w:tc>
        <w:tc>
          <w:tcPr>
            <w:tcW w:w="706" w:type="dxa"/>
            <w:tcBorders>
              <w:top w:val="nil"/>
              <w:left w:val="nil"/>
              <w:bottom w:val="nil"/>
              <w:right w:val="nil"/>
            </w:tcBorders>
            <w:shd w:val="clear" w:color="auto" w:fill="D9D9D9"/>
            <w:noWrap/>
            <w:vAlign w:val="center"/>
            <w:hideMark/>
          </w:tcPr>
          <w:p w14:paraId="5BA362CF" w14:textId="77777777" w:rsidR="000B19C6" w:rsidRPr="00832F7C" w:rsidRDefault="00000000" w:rsidP="007742A5">
            <w:pPr>
              <w:spacing w:line="240" w:lineRule="auto"/>
              <w:ind w:firstLine="0"/>
              <w:jc w:val="center"/>
              <w:rPr>
                <w:rFonts w:eastAsia="MS Mincho"/>
              </w:rPr>
            </w:pPr>
            <w:r w:rsidRPr="00832F7C">
              <w:rPr>
                <w:rFonts w:eastAsia="MS Mincho"/>
              </w:rPr>
              <w:t>.40</w:t>
            </w:r>
          </w:p>
        </w:tc>
        <w:tc>
          <w:tcPr>
            <w:tcW w:w="706" w:type="dxa"/>
            <w:tcBorders>
              <w:top w:val="nil"/>
              <w:left w:val="nil"/>
              <w:bottom w:val="nil"/>
              <w:right w:val="nil"/>
            </w:tcBorders>
            <w:shd w:val="clear" w:color="auto" w:fill="D9D9D9"/>
            <w:noWrap/>
            <w:vAlign w:val="center"/>
            <w:hideMark/>
          </w:tcPr>
          <w:p w14:paraId="26127478" w14:textId="77777777" w:rsidR="000B19C6" w:rsidRPr="00832F7C" w:rsidRDefault="00000000" w:rsidP="007742A5">
            <w:pPr>
              <w:spacing w:line="240" w:lineRule="auto"/>
              <w:ind w:firstLine="0"/>
              <w:jc w:val="center"/>
              <w:rPr>
                <w:rFonts w:eastAsia="MS Mincho"/>
              </w:rPr>
            </w:pPr>
            <w:r w:rsidRPr="00832F7C">
              <w:rPr>
                <w:rFonts w:eastAsia="MS Mincho"/>
              </w:rPr>
              <w:t>.54</w:t>
            </w:r>
          </w:p>
        </w:tc>
        <w:tc>
          <w:tcPr>
            <w:tcW w:w="706" w:type="dxa"/>
            <w:tcBorders>
              <w:top w:val="nil"/>
              <w:left w:val="nil"/>
              <w:bottom w:val="nil"/>
              <w:right w:val="nil"/>
            </w:tcBorders>
            <w:noWrap/>
            <w:vAlign w:val="center"/>
            <w:hideMark/>
          </w:tcPr>
          <w:p w14:paraId="2D0AEE32" w14:textId="77777777" w:rsidR="000B19C6"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noWrap/>
            <w:vAlign w:val="center"/>
            <w:hideMark/>
          </w:tcPr>
          <w:p w14:paraId="1760BC66" w14:textId="77777777" w:rsidR="000B19C6" w:rsidRPr="00832F7C" w:rsidRDefault="00000000" w:rsidP="007742A5">
            <w:pPr>
              <w:spacing w:line="240" w:lineRule="auto"/>
              <w:ind w:firstLine="0"/>
              <w:jc w:val="center"/>
              <w:rPr>
                <w:rFonts w:eastAsia="MS Mincho"/>
              </w:rPr>
            </w:pPr>
            <w:r w:rsidRPr="00832F7C">
              <w:rPr>
                <w:rFonts w:eastAsia="MS Mincho"/>
              </w:rPr>
              <w:t>.47</w:t>
            </w:r>
          </w:p>
        </w:tc>
        <w:tc>
          <w:tcPr>
            <w:tcW w:w="706" w:type="dxa"/>
            <w:tcBorders>
              <w:top w:val="nil"/>
              <w:left w:val="nil"/>
              <w:bottom w:val="nil"/>
              <w:right w:val="nil"/>
            </w:tcBorders>
            <w:vAlign w:val="center"/>
          </w:tcPr>
          <w:p w14:paraId="75284C6C" w14:textId="77777777" w:rsidR="000B19C6" w:rsidRPr="00832F7C" w:rsidRDefault="00000000" w:rsidP="007742A5">
            <w:pPr>
              <w:spacing w:line="240" w:lineRule="auto"/>
              <w:ind w:firstLine="0"/>
              <w:jc w:val="center"/>
              <w:rPr>
                <w:rFonts w:eastAsia="MS Mincho"/>
              </w:rPr>
            </w:pPr>
            <w:r w:rsidRPr="00832F7C">
              <w:rPr>
                <w:rFonts w:eastAsia="MS Mincho"/>
              </w:rPr>
              <w:t>.40</w:t>
            </w:r>
          </w:p>
        </w:tc>
        <w:tc>
          <w:tcPr>
            <w:tcW w:w="706" w:type="dxa"/>
            <w:tcBorders>
              <w:top w:val="nil"/>
              <w:left w:val="nil"/>
              <w:bottom w:val="nil"/>
              <w:right w:val="nil"/>
            </w:tcBorders>
            <w:vAlign w:val="center"/>
          </w:tcPr>
          <w:p w14:paraId="2608D45B" w14:textId="77777777" w:rsidR="000B19C6" w:rsidRPr="00832F7C" w:rsidRDefault="00000000" w:rsidP="007742A5">
            <w:pPr>
              <w:spacing w:line="240" w:lineRule="auto"/>
              <w:ind w:firstLine="0"/>
              <w:jc w:val="center"/>
              <w:rPr>
                <w:rFonts w:eastAsia="MS Mincho"/>
              </w:rPr>
            </w:pPr>
            <w:r w:rsidRPr="00832F7C">
              <w:rPr>
                <w:rFonts w:eastAsia="MS Mincho"/>
              </w:rPr>
              <w:t>.54</w:t>
            </w:r>
          </w:p>
        </w:tc>
      </w:tr>
      <w:tr w:rsidR="00AA6907" w:rsidRPr="00832F7C" w14:paraId="5544594E" w14:textId="77777777" w:rsidTr="002D69CC">
        <w:trPr>
          <w:trHeight w:val="729"/>
          <w:jc w:val="center"/>
        </w:trPr>
        <w:tc>
          <w:tcPr>
            <w:tcW w:w="1080" w:type="dxa"/>
            <w:tcBorders>
              <w:top w:val="nil"/>
              <w:left w:val="nil"/>
              <w:bottom w:val="single" w:sz="4" w:space="0" w:color="auto"/>
              <w:right w:val="nil"/>
            </w:tcBorders>
            <w:vAlign w:val="center"/>
          </w:tcPr>
          <w:p w14:paraId="6C3930CC" w14:textId="77777777" w:rsidR="000B19C6" w:rsidRPr="00832F7C" w:rsidRDefault="00000000" w:rsidP="000C7F5A">
            <w:pPr>
              <w:spacing w:line="240" w:lineRule="auto"/>
              <w:ind w:firstLine="0"/>
              <w:rPr>
                <w:rFonts w:eastAsia="MS Mincho"/>
              </w:rPr>
            </w:pPr>
            <w:r w:rsidRPr="00832F7C">
              <w:rPr>
                <w:rFonts w:eastAsia="MS Mincho"/>
              </w:rPr>
              <w:t>Verification attempt 7</w:t>
            </w:r>
          </w:p>
        </w:tc>
        <w:tc>
          <w:tcPr>
            <w:tcW w:w="3420" w:type="dxa"/>
            <w:tcBorders>
              <w:top w:val="nil"/>
              <w:left w:val="nil"/>
              <w:bottom w:val="single" w:sz="4" w:space="0" w:color="auto"/>
              <w:right w:val="nil"/>
            </w:tcBorders>
            <w:vAlign w:val="center"/>
          </w:tcPr>
          <w:p w14:paraId="6911FCEA" w14:textId="77777777" w:rsidR="000B19C6" w:rsidRPr="00832F7C" w:rsidRDefault="00000000" w:rsidP="000C7F5A">
            <w:pPr>
              <w:spacing w:line="240" w:lineRule="auto"/>
              <w:ind w:firstLine="0"/>
              <w:rPr>
                <w:rFonts w:eastAsia="MS Mincho"/>
              </w:rPr>
            </w:pPr>
            <w:r w:rsidRPr="00832F7C">
              <w:rPr>
                <w:rFonts w:eastAsia="MS Mincho"/>
              </w:rPr>
              <w:t>Hunter &amp; Schmidt method using Field &amp; Gillett’s (2010) “h_s_syntax.sps”</w:t>
            </w:r>
          </w:p>
        </w:tc>
        <w:tc>
          <w:tcPr>
            <w:tcW w:w="4332" w:type="dxa"/>
            <w:tcBorders>
              <w:top w:val="nil"/>
              <w:left w:val="nil"/>
              <w:bottom w:val="single" w:sz="4" w:space="0" w:color="auto"/>
              <w:right w:val="nil"/>
            </w:tcBorders>
            <w:vAlign w:val="center"/>
          </w:tcPr>
          <w:p w14:paraId="7220921E" w14:textId="77777777" w:rsidR="000B19C6" w:rsidRPr="00832F7C" w:rsidRDefault="00000000" w:rsidP="000C7F5A">
            <w:pPr>
              <w:spacing w:line="240" w:lineRule="auto"/>
              <w:ind w:firstLine="0"/>
              <w:rPr>
                <w:rFonts w:eastAsia="MS Mincho"/>
              </w:rPr>
            </w:pPr>
            <w:r w:rsidRPr="00832F7C">
              <w:rPr>
                <w:rFonts w:eastAsia="MS Mincho"/>
              </w:rPr>
              <w:t>All reliabilities were set to 0. Data were the 56 individual weighted effect sizes rather than 15 weighted average effect sizes.**</w:t>
            </w:r>
          </w:p>
        </w:tc>
        <w:tc>
          <w:tcPr>
            <w:tcW w:w="706" w:type="dxa"/>
            <w:tcBorders>
              <w:top w:val="nil"/>
              <w:left w:val="nil"/>
              <w:bottom w:val="single" w:sz="4" w:space="0" w:color="auto"/>
              <w:right w:val="nil"/>
            </w:tcBorders>
            <w:noWrap/>
            <w:vAlign w:val="center"/>
          </w:tcPr>
          <w:p w14:paraId="6692856D" w14:textId="77777777" w:rsidR="000B19C6" w:rsidRPr="00832F7C" w:rsidRDefault="00000000" w:rsidP="007742A5">
            <w:pPr>
              <w:spacing w:line="240" w:lineRule="auto"/>
              <w:ind w:firstLine="0"/>
              <w:jc w:val="center"/>
              <w:rPr>
                <w:rFonts w:eastAsia="MS Mincho"/>
              </w:rPr>
            </w:pPr>
            <w:r w:rsidRPr="00832F7C">
              <w:rPr>
                <w:rFonts w:eastAsia="MS Mincho"/>
              </w:rPr>
              <w:t>.48</w:t>
            </w:r>
          </w:p>
        </w:tc>
        <w:tc>
          <w:tcPr>
            <w:tcW w:w="706" w:type="dxa"/>
            <w:tcBorders>
              <w:top w:val="nil"/>
              <w:left w:val="nil"/>
              <w:bottom w:val="single" w:sz="4" w:space="0" w:color="auto"/>
              <w:right w:val="nil"/>
            </w:tcBorders>
            <w:shd w:val="clear" w:color="auto" w:fill="D9D9D9"/>
            <w:noWrap/>
            <w:vAlign w:val="center"/>
          </w:tcPr>
          <w:p w14:paraId="1E15A275" w14:textId="77777777" w:rsidR="000B19C6" w:rsidRPr="00832F7C" w:rsidRDefault="00000000" w:rsidP="007742A5">
            <w:pPr>
              <w:spacing w:line="240" w:lineRule="auto"/>
              <w:ind w:firstLine="0"/>
              <w:jc w:val="center"/>
              <w:rPr>
                <w:rFonts w:eastAsia="MS Mincho"/>
              </w:rPr>
            </w:pPr>
            <w:r w:rsidRPr="00832F7C">
              <w:rPr>
                <w:rFonts w:eastAsia="MS Mincho"/>
              </w:rPr>
              <w:t>.20</w:t>
            </w:r>
          </w:p>
        </w:tc>
        <w:tc>
          <w:tcPr>
            <w:tcW w:w="706" w:type="dxa"/>
            <w:tcBorders>
              <w:top w:val="nil"/>
              <w:left w:val="nil"/>
              <w:bottom w:val="single" w:sz="4" w:space="0" w:color="auto"/>
              <w:right w:val="nil"/>
            </w:tcBorders>
            <w:shd w:val="clear" w:color="auto" w:fill="D9D9D9"/>
            <w:noWrap/>
            <w:vAlign w:val="center"/>
          </w:tcPr>
          <w:p w14:paraId="3F061FA5" w14:textId="77777777" w:rsidR="000B19C6" w:rsidRPr="00832F7C" w:rsidRDefault="00000000" w:rsidP="007742A5">
            <w:pPr>
              <w:spacing w:line="240" w:lineRule="auto"/>
              <w:ind w:firstLine="0"/>
              <w:jc w:val="center"/>
              <w:rPr>
                <w:rFonts w:eastAsia="MS Mincho"/>
              </w:rPr>
            </w:pPr>
            <w:r w:rsidRPr="00832F7C">
              <w:rPr>
                <w:rFonts w:eastAsia="MS Mincho"/>
              </w:rPr>
              <w:t>.76</w:t>
            </w:r>
          </w:p>
        </w:tc>
        <w:tc>
          <w:tcPr>
            <w:tcW w:w="706" w:type="dxa"/>
            <w:tcBorders>
              <w:top w:val="nil"/>
              <w:left w:val="nil"/>
              <w:bottom w:val="single" w:sz="4" w:space="0" w:color="auto"/>
              <w:right w:val="nil"/>
            </w:tcBorders>
            <w:noWrap/>
            <w:vAlign w:val="center"/>
          </w:tcPr>
          <w:p w14:paraId="68F8DF2C" w14:textId="77777777" w:rsidR="000B19C6" w:rsidRPr="00832F7C" w:rsidRDefault="00000000" w:rsidP="007742A5">
            <w:pPr>
              <w:spacing w:line="240" w:lineRule="auto"/>
              <w:ind w:firstLine="0"/>
              <w:jc w:val="center"/>
              <w:rPr>
                <w:rFonts w:eastAsia="MS Mincho"/>
              </w:rPr>
            </w:pPr>
            <w:r w:rsidRPr="00832F7C">
              <w:rPr>
                <w:rFonts w:eastAsia="MS Mincho"/>
              </w:rPr>
              <w:t>.39</w:t>
            </w:r>
          </w:p>
        </w:tc>
        <w:tc>
          <w:tcPr>
            <w:tcW w:w="706" w:type="dxa"/>
            <w:tcBorders>
              <w:top w:val="nil"/>
              <w:left w:val="nil"/>
              <w:bottom w:val="single" w:sz="4" w:space="0" w:color="auto"/>
              <w:right w:val="nil"/>
            </w:tcBorders>
            <w:noWrap/>
            <w:vAlign w:val="center"/>
          </w:tcPr>
          <w:p w14:paraId="2E9679D8" w14:textId="77777777" w:rsidR="000B19C6" w:rsidRPr="00832F7C" w:rsidRDefault="00000000" w:rsidP="007742A5">
            <w:pPr>
              <w:spacing w:line="240" w:lineRule="auto"/>
              <w:ind w:firstLine="0"/>
              <w:jc w:val="center"/>
              <w:rPr>
                <w:rFonts w:eastAsia="MS Mincho"/>
              </w:rPr>
            </w:pPr>
            <w:r w:rsidRPr="00832F7C">
              <w:rPr>
                <w:rFonts w:eastAsia="MS Mincho"/>
              </w:rPr>
              <w:t>.57</w:t>
            </w:r>
          </w:p>
        </w:tc>
        <w:tc>
          <w:tcPr>
            <w:tcW w:w="706" w:type="dxa"/>
            <w:tcBorders>
              <w:top w:val="nil"/>
              <w:left w:val="nil"/>
              <w:bottom w:val="single" w:sz="4" w:space="0" w:color="auto"/>
              <w:right w:val="nil"/>
            </w:tcBorders>
            <w:vAlign w:val="center"/>
          </w:tcPr>
          <w:p w14:paraId="5DCD2BA8" w14:textId="77777777" w:rsidR="000B19C6" w:rsidRPr="00832F7C" w:rsidRDefault="00000000" w:rsidP="007742A5">
            <w:pPr>
              <w:spacing w:line="240" w:lineRule="auto"/>
              <w:ind w:firstLine="0"/>
              <w:jc w:val="center"/>
              <w:rPr>
                <w:rFonts w:eastAsia="MS Mincho"/>
              </w:rPr>
            </w:pPr>
            <w:r w:rsidRPr="00832F7C">
              <w:rPr>
                <w:rFonts w:eastAsia="MS Mincho"/>
              </w:rPr>
              <w:t>-</w:t>
            </w:r>
          </w:p>
        </w:tc>
        <w:tc>
          <w:tcPr>
            <w:tcW w:w="706" w:type="dxa"/>
            <w:tcBorders>
              <w:top w:val="nil"/>
              <w:left w:val="nil"/>
              <w:bottom w:val="single" w:sz="4" w:space="0" w:color="auto"/>
              <w:right w:val="nil"/>
            </w:tcBorders>
            <w:vAlign w:val="center"/>
          </w:tcPr>
          <w:p w14:paraId="2310C438" w14:textId="77777777" w:rsidR="000B19C6" w:rsidRPr="00832F7C" w:rsidRDefault="00000000" w:rsidP="007742A5">
            <w:pPr>
              <w:spacing w:line="240" w:lineRule="auto"/>
              <w:ind w:firstLine="0"/>
              <w:jc w:val="center"/>
              <w:rPr>
                <w:rFonts w:eastAsia="MS Mincho"/>
              </w:rPr>
            </w:pPr>
            <w:r w:rsidRPr="00832F7C">
              <w:rPr>
                <w:rFonts w:eastAsia="MS Mincho"/>
              </w:rPr>
              <w:t>-</w:t>
            </w:r>
          </w:p>
        </w:tc>
      </w:tr>
      <w:tr w:rsidR="00AA6907" w:rsidRPr="00832F7C" w14:paraId="73EF218F" w14:textId="77777777" w:rsidTr="002D69CC">
        <w:trPr>
          <w:trHeight w:val="729"/>
          <w:jc w:val="center"/>
        </w:trPr>
        <w:tc>
          <w:tcPr>
            <w:tcW w:w="13774" w:type="dxa"/>
            <w:gridSpan w:val="10"/>
            <w:tcBorders>
              <w:top w:val="single" w:sz="4" w:space="0" w:color="auto"/>
              <w:left w:val="nil"/>
              <w:bottom w:val="nil"/>
              <w:right w:val="nil"/>
            </w:tcBorders>
            <w:vAlign w:val="center"/>
          </w:tcPr>
          <w:p w14:paraId="3A22F1AF" w14:textId="77777777" w:rsidR="009B4A0E" w:rsidRPr="00832F7C" w:rsidRDefault="00000000" w:rsidP="000C7F5A">
            <w:pPr>
              <w:spacing w:line="240" w:lineRule="auto"/>
              <w:ind w:firstLine="0"/>
              <w:rPr>
                <w:rFonts w:eastAsia="MS Mincho"/>
              </w:rPr>
            </w:pPr>
            <w:r w:rsidRPr="00832F7C">
              <w:rPr>
                <w:rFonts w:eastAsia="MS Mincho"/>
                <w:i/>
                <w:iCs/>
              </w:rPr>
              <w:t>Notes:</w:t>
            </w:r>
            <w:r w:rsidRPr="00832F7C">
              <w:rPr>
                <w:rFonts w:eastAsia="MS Mincho"/>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w:t>
            </w:r>
            <w:r w:rsidRPr="00832F7C">
              <w:t>what can be accounted for by rounding or truncation (</w:t>
            </w:r>
            <w:r w:rsidRPr="00832F7C">
              <w:rPr>
                <w:rFonts w:eastAsia="MS Mincho"/>
              </w:rPr>
              <w:t>±.01</w:t>
            </w:r>
            <w:r w:rsidRPr="00832F7C">
              <w:t>)</w:t>
            </w:r>
            <w:r w:rsidRPr="00832F7C">
              <w:rPr>
                <w:rFonts w:eastAsia="MS Mincho"/>
              </w:rPr>
              <w:t>.</w:t>
            </w:r>
          </w:p>
          <w:p w14:paraId="699E9313" w14:textId="77777777" w:rsidR="00845FB9" w:rsidRPr="00832F7C" w:rsidRDefault="00000000" w:rsidP="000C7F5A">
            <w:pPr>
              <w:spacing w:line="240" w:lineRule="auto"/>
              <w:ind w:firstLine="0"/>
              <w:rPr>
                <w:rFonts w:eastAsia="MS Mincho"/>
              </w:rPr>
            </w:pPr>
            <w:r w:rsidRPr="00832F7C">
              <w:rPr>
                <w:rFonts w:eastAsia="MS Mincho"/>
              </w:rPr>
              <w:t xml:space="preserve">* This SPSS script contains multiple </w:t>
            </w:r>
            <w:r w:rsidR="00D44D3B" w:rsidRPr="00832F7C">
              <w:rPr>
                <w:rFonts w:eastAsia="MS Mincho"/>
              </w:rPr>
              <w:t>issues that prevent it from running</w:t>
            </w:r>
            <w:r w:rsidRPr="00832F7C">
              <w:rPr>
                <w:rFonts w:eastAsia="MS Mincho"/>
              </w:rPr>
              <w:t xml:space="preserve">. See main text for discussion.  </w:t>
            </w:r>
          </w:p>
          <w:p w14:paraId="037D2B34" w14:textId="77777777" w:rsidR="00EF3810" w:rsidRPr="00832F7C" w:rsidRDefault="00000000" w:rsidP="000C7F5A">
            <w:pPr>
              <w:spacing w:line="240" w:lineRule="auto"/>
              <w:ind w:firstLine="0"/>
              <w:rPr>
                <w:rFonts w:eastAsia="MS Mincho"/>
              </w:rPr>
            </w:pPr>
            <w:r w:rsidRPr="00832F7C">
              <w:rPr>
                <w:rFonts w:eastAsia="MS Mincho"/>
              </w:rPr>
              <w:t xml:space="preserve">** This verification attempt was performed on the speculative basis that perhaps Vahey et al. (2015) ran their meta-analysis on the 56 individual weighted effect sizes rather than than the 15 weighted average effect sizes. There is some mild alignment between the results of this analysis, but only on the assumption that Vahey et al. (2015) also confused their CIs with their CRs. Alignment is closer but still imperfect, i.e., </w:t>
            </w:r>
            <w:r w:rsidR="00224644" w:rsidRPr="00832F7C">
              <w:rPr>
                <w:rFonts w:eastAsia="MS Mincho"/>
              </w:rPr>
              <w:t xml:space="preserve">reported </w:t>
            </w:r>
            <m:oMath>
              <m:acc>
                <m:accPr>
                  <m:chr m:val="̅"/>
                  <m:ctrlPr>
                    <w:rPr>
                      <w:rFonts w:ascii="Cambria Math" w:eastAsia="MS Mincho" w:hAnsi="Cambria Math"/>
                    </w:rPr>
                  </m:ctrlPr>
                </m:accPr>
                <m:e>
                  <m:r>
                    <w:rPr>
                      <w:rFonts w:ascii="Cambria Math" w:eastAsia="MS Mincho" w:hAnsi="Cambria Math"/>
                    </w:rPr>
                    <m:t>r</m:t>
                  </m:r>
                </m:e>
              </m:acc>
              <m:r>
                <w:rPr>
                  <w:rFonts w:ascii="Cambria Math" w:eastAsia="MS Mincho" w:hAnsi="Cambria Math"/>
                </w:rPr>
                <m:t xml:space="preserve"> </m:t>
              </m:r>
            </m:oMath>
            <w:r w:rsidR="00224644" w:rsidRPr="00832F7C">
              <w:rPr>
                <w:rFonts w:eastAsia="MS Mincho"/>
              </w:rPr>
              <w:t xml:space="preserve">= .45, reclaculated </w:t>
            </w:r>
            <m:oMath>
              <m:acc>
                <m:accPr>
                  <m:chr m:val="̅"/>
                  <m:ctrlPr>
                    <w:rPr>
                      <w:rFonts w:ascii="Cambria Math" w:eastAsia="MS Mincho" w:hAnsi="Cambria Math"/>
                    </w:rPr>
                  </m:ctrlPr>
                </m:accPr>
                <m:e>
                  <m:r>
                    <w:rPr>
                      <w:rFonts w:ascii="Cambria Math" w:eastAsia="MS Mincho" w:hAnsi="Cambria Math"/>
                    </w:rPr>
                    <m:t>r</m:t>
                  </m:r>
                </m:e>
              </m:acc>
              <m:r>
                <w:rPr>
                  <w:rFonts w:ascii="Cambria Math" w:eastAsia="MS Mincho" w:hAnsi="Cambria Math"/>
                </w:rPr>
                <m:t xml:space="preserve"> </m:t>
              </m:r>
            </m:oMath>
            <w:r w:rsidR="00224644" w:rsidRPr="00832F7C">
              <w:rPr>
                <w:rFonts w:eastAsia="MS Mincho"/>
              </w:rPr>
              <w:t xml:space="preserve">= .48; </w:t>
            </w:r>
            <w:r w:rsidRPr="00832F7C">
              <w:rPr>
                <w:rFonts w:eastAsia="MS Mincho"/>
              </w:rPr>
              <w:t xml:space="preserve">reported CI = [.40, .54], </w:t>
            </w:r>
            <w:r w:rsidR="00224644" w:rsidRPr="00832F7C">
              <w:rPr>
                <w:rFonts w:eastAsia="MS Mincho"/>
              </w:rPr>
              <w:t xml:space="preserve">reclaculated </w:t>
            </w:r>
            <w:r w:rsidRPr="00832F7C">
              <w:rPr>
                <w:rFonts w:eastAsia="MS Mincho"/>
              </w:rPr>
              <w:t>CR = [.39, .57]; reported CR = [.23, .67[,</w:t>
            </w:r>
            <w:r w:rsidR="00224644" w:rsidRPr="00832F7C">
              <w:rPr>
                <w:rFonts w:eastAsia="MS Mincho"/>
              </w:rPr>
              <w:t xml:space="preserve">reclaculated </w:t>
            </w:r>
            <w:r w:rsidRPr="00832F7C">
              <w:rPr>
                <w:rFonts w:eastAsia="MS Mincho"/>
              </w:rPr>
              <w:t xml:space="preserve">CI = [.20, 74]. </w:t>
            </w:r>
          </w:p>
        </w:tc>
      </w:tr>
    </w:tbl>
    <w:p w14:paraId="37E76994" w14:textId="77777777" w:rsidR="009B4A0E" w:rsidRPr="00832F7C" w:rsidRDefault="009B4A0E" w:rsidP="00D77465"/>
    <w:p w14:paraId="43CA2B8E" w14:textId="77777777" w:rsidR="003C6701" w:rsidRPr="00832F7C" w:rsidRDefault="003C6701" w:rsidP="00D77465">
      <w:pPr>
        <w:sectPr w:rsidR="003C6701" w:rsidRPr="00832F7C" w:rsidSect="00D77465">
          <w:pgSz w:w="16840" w:h="11900" w:orient="landscape"/>
          <w:pgMar w:top="1440" w:right="1440" w:bottom="1440" w:left="1440" w:header="709" w:footer="709" w:gutter="0"/>
          <w:cols w:space="340"/>
          <w:titlePg/>
          <w:docGrid w:linePitch="360"/>
          <w15:footnoteColumns w:val="1"/>
        </w:sectPr>
      </w:pPr>
    </w:p>
    <w:p w14:paraId="4FB2E610" w14:textId="77777777" w:rsidR="00993E5C" w:rsidRPr="00832F7C" w:rsidRDefault="00993E5C" w:rsidP="00974D7B">
      <w:pPr>
        <w:pStyle w:val="Heading3"/>
      </w:pPr>
      <w:r w:rsidRPr="00832F7C">
        <w:lastRenderedPageBreak/>
        <w:t xml:space="preserve">Verification </w:t>
      </w:r>
      <w:proofErr w:type="gramStart"/>
      <w:r w:rsidRPr="00832F7C">
        <w:t>attempt</w:t>
      </w:r>
      <w:proofErr w:type="gramEnd"/>
      <w:r w:rsidRPr="00832F7C">
        <w:t xml:space="preserve"> 1</w:t>
      </w:r>
    </w:p>
    <w:p w14:paraId="15D76453" w14:textId="14231C31" w:rsidR="001A1FD0" w:rsidRPr="00DD3EEC" w:rsidRDefault="00993E5C" w:rsidP="00DD3EEC">
      <w:r w:rsidRPr="00832F7C">
        <w:t>The first verification attempt employed Field’s “</w:t>
      </w:r>
      <w:proofErr w:type="spellStart"/>
      <w:r w:rsidRPr="00832F7C">
        <w:t>h_s</w:t>
      </w:r>
      <w:proofErr w:type="spellEnd"/>
      <w:r w:rsidRPr="00832F7C">
        <w:t xml:space="preserve"> </w:t>
      </w:r>
      <w:proofErr w:type="spellStart"/>
      <w:r w:rsidRPr="00832F7C">
        <w:t>syntax.sps</w:t>
      </w:r>
      <w:proofErr w:type="spellEnd"/>
      <w:r w:rsidRPr="00832F7C">
        <w:t xml:space="preserve">” SPSS script. The default 80% Credibility Interval widths were changed to 95% to match what was reported by Vahey et al. (2015). One other key assumption was made </w:t>
      </w:r>
      <w:proofErr w:type="gramStart"/>
      <w:r w:rsidRPr="00832F7C">
        <w:t>in order to</w:t>
      </w:r>
      <w:proofErr w:type="gramEnd"/>
      <w:r w:rsidRPr="00832F7C">
        <w:t xml:space="preserve"> allow the script to run. To take a step back, a </w:t>
      </w:r>
      <w:r w:rsidR="00C42A74">
        <w:t>Hunter and Schmidt</w:t>
      </w:r>
      <w:r w:rsidRPr="00832F7C">
        <w:t xml:space="preserve"> style meta-analysis is sometimes referred to as a form of psychometric meta-analysis because it typically involves de-attenuating the effect sizes based on the reliability of the measures that produced them </w:t>
      </w:r>
      <w:r w:rsidRPr="00832F7C">
        <w:fldChar w:fldCharType="begin"/>
      </w:r>
      <w:r w:rsidRPr="00832F7C">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832F7C">
        <w:fldChar w:fldCharType="separate"/>
      </w:r>
      <w:r w:rsidRPr="00832F7C">
        <w:rPr>
          <w:noProof/>
        </w:rPr>
        <w:t>(Field &amp; Gillett, 2010; Hunter &amp; Schmidt, 2004)</w:t>
      </w:r>
      <w:r w:rsidRPr="00832F7C">
        <w:fldChar w:fldCharType="end"/>
      </w:r>
      <w:r w:rsidRPr="00832F7C">
        <w:t>. For Field’s “</w:t>
      </w:r>
      <w:proofErr w:type="spellStart"/>
      <w:r w:rsidRPr="00832F7C">
        <w:t>h_s</w:t>
      </w:r>
      <w:proofErr w:type="spellEnd"/>
      <w:r w:rsidRPr="00832F7C">
        <w:t xml:space="preserve"> </w:t>
      </w:r>
      <w:proofErr w:type="spellStart"/>
      <w:r w:rsidRPr="00832F7C">
        <w:t>syntax.sps</w:t>
      </w:r>
      <w:proofErr w:type="spellEnd"/>
      <w:r w:rsidRPr="00832F7C">
        <w:t xml:space="preserve">” script to run it requires the researcher to provide reliability values for </w:t>
      </w:r>
      <w:proofErr w:type="gramStart"/>
      <w:r w:rsidRPr="00832F7C">
        <w:t>both of the measures</w:t>
      </w:r>
      <w:proofErr w:type="gramEnd"/>
      <w:r w:rsidRPr="00832F7C">
        <w:t xml:space="preserve"> that produced each effect size. Partially missing values can be imputed via the mean, but at least some reliability values must be provided. However, Vahey et al. (2015) do not report any extracting or </w:t>
      </w:r>
      <w:r w:rsidR="008806BD" w:rsidRPr="00832F7C">
        <w:t xml:space="preserve">estimating reliabilities or deattenuating the effect sizes based on them, and no reliability data is available in their manuscript or supplementary materials. In the absence of other information, I set the reliability for all variables to 1.0 </w:t>
      </w:r>
      <w:proofErr w:type="gramStart"/>
      <w:r w:rsidR="008806BD" w:rsidRPr="00832F7C">
        <w:t>in order to</w:t>
      </w:r>
      <w:proofErr w:type="gramEnd"/>
      <w:r w:rsidR="008806BD" w:rsidRPr="00832F7C">
        <w:t xml:space="preserve"> allow the script to run. </w:t>
      </w:r>
      <w:r w:rsidR="008806BD" w:rsidRPr="001A1FD0">
        <w:t xml:space="preserve">This verification attempt did not reproduce the original results for the point estimate, Confidence Interval, or Credibility Interval </w:t>
      </w:r>
      <w:r w:rsidR="001A1FD0" w:rsidRPr="001A1FD0">
        <w:t>(see Table 3).</w:t>
      </w:r>
    </w:p>
    <w:p w14:paraId="7C679743" w14:textId="77777777" w:rsidR="001A1FD0" w:rsidRPr="001A1FD0" w:rsidRDefault="001A1FD0" w:rsidP="001A1FD0">
      <w:pPr>
        <w:rPr>
          <w:b/>
          <w:bCs/>
        </w:rPr>
      </w:pPr>
      <w:r w:rsidRPr="00102224">
        <w:rPr>
          <w:b/>
          <w:bCs/>
        </w:rPr>
        <w:t xml:space="preserve">Verification </w:t>
      </w:r>
      <w:proofErr w:type="gramStart"/>
      <w:r w:rsidRPr="00102224">
        <w:rPr>
          <w:b/>
          <w:bCs/>
        </w:rPr>
        <w:t>attempt</w:t>
      </w:r>
      <w:proofErr w:type="gramEnd"/>
      <w:r w:rsidRPr="00102224">
        <w:rPr>
          <w:b/>
          <w:bCs/>
        </w:rPr>
        <w:t xml:space="preserve"> 2</w:t>
      </w:r>
    </w:p>
    <w:p w14:paraId="010E85CB" w14:textId="79819CC1" w:rsidR="008806BD" w:rsidRPr="001A1FD0" w:rsidRDefault="001A1FD0" w:rsidP="001A1FD0">
      <w:pPr>
        <w:rPr>
          <w:b/>
          <w:bCs/>
        </w:rPr>
      </w:pPr>
      <w:r w:rsidRPr="00102224">
        <w:t>The second verification attempt employed Field’s “</w:t>
      </w:r>
      <w:proofErr w:type="spellStart"/>
      <w:r w:rsidRPr="00102224">
        <w:t>Meta_Basic_r.sps</w:t>
      </w:r>
      <w:proofErr w:type="spellEnd"/>
      <w:r w:rsidRPr="00102224">
        <w:t xml:space="preserve">” script, which implements a Hedges’ style “basic” meta-analysis. I was unable to get this script to run in SPSS. </w:t>
      </w:r>
      <w:r w:rsidRPr="00102224">
        <w:rPr>
          <w:iCs/>
        </w:rPr>
        <w:t xml:space="preserve">It makes use of commands such as </w:t>
      </w:r>
      <w:proofErr w:type="spellStart"/>
      <w:proofErr w:type="gramStart"/>
      <w:r w:rsidRPr="00102224">
        <w:rPr>
          <w:iCs/>
        </w:rPr>
        <w:t>nrow</w:t>
      </w:r>
      <w:proofErr w:type="spellEnd"/>
      <w:r w:rsidRPr="00102224">
        <w:rPr>
          <w:iCs/>
        </w:rPr>
        <w:t>(</w:t>
      </w:r>
      <w:proofErr w:type="gramEnd"/>
      <w:r w:rsidRPr="00102224">
        <w:rPr>
          <w:iCs/>
        </w:rPr>
        <w:t xml:space="preserve">), </w:t>
      </w:r>
      <w:proofErr w:type="spellStart"/>
      <w:r w:rsidRPr="00102224">
        <w:rPr>
          <w:iCs/>
        </w:rPr>
        <w:t>csum</w:t>
      </w:r>
      <w:proofErr w:type="spellEnd"/>
      <w:r w:rsidRPr="00102224">
        <w:rPr>
          <w:iCs/>
        </w:rPr>
        <w:t xml:space="preserve">(), </w:t>
      </w:r>
      <w:proofErr w:type="spellStart"/>
      <w:r w:rsidRPr="00102224">
        <w:rPr>
          <w:iCs/>
        </w:rPr>
        <w:t>sd</w:t>
      </w:r>
      <w:proofErr w:type="spellEnd"/>
      <w:r w:rsidRPr="00102224">
        <w:rPr>
          <w:iCs/>
        </w:rPr>
        <w:t xml:space="preserve">(),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w:t>
      </w:r>
      <w:r w:rsidRPr="00102224">
        <w:rPr>
          <w:iCs/>
        </w:rPr>
        <w:lastRenderedPageBreak/>
        <w:t xml:space="preserve">Field’s website and Field &amp; Gillett (2010) continues to be cited (&gt;1,200 citations at time of writing). </w:t>
      </w:r>
    </w:p>
    <w:p w14:paraId="252F69C8" w14:textId="77777777" w:rsidR="008806BD" w:rsidRPr="00832F7C" w:rsidRDefault="008806BD" w:rsidP="00974D7B">
      <w:pPr>
        <w:pStyle w:val="Heading3"/>
      </w:pPr>
      <w:r w:rsidRPr="00832F7C">
        <w:t xml:space="preserve">Verification </w:t>
      </w:r>
      <w:proofErr w:type="gramStart"/>
      <w:r w:rsidRPr="00832F7C">
        <w:t>attempt</w:t>
      </w:r>
      <w:proofErr w:type="gramEnd"/>
      <w:r w:rsidRPr="00832F7C">
        <w:t xml:space="preserve"> 3</w:t>
      </w:r>
    </w:p>
    <w:p w14:paraId="59CD3788" w14:textId="64DFED59" w:rsidR="008806BD" w:rsidRPr="00FC4A19" w:rsidRDefault="008806BD" w:rsidP="00FC4A19">
      <w:pPr>
        <w:rPr>
          <w:iCs/>
        </w:rPr>
      </w:pPr>
      <w:r w:rsidRPr="00832F7C">
        <w:rPr>
          <w:iCs/>
        </w:rPr>
        <w:t>I then reimplemented the math specified in the “</w:t>
      </w:r>
      <w:proofErr w:type="spellStart"/>
      <w:r w:rsidRPr="00832F7C">
        <w:t>Meta_Basic_r.sps</w:t>
      </w:r>
      <w:proofErr w:type="spellEnd"/>
      <w:r w:rsidRPr="00832F7C">
        <w:t>” and “</w:t>
      </w:r>
      <w:proofErr w:type="spellStart"/>
      <w:r w:rsidRPr="00832F7C">
        <w:t>h_s</w:t>
      </w:r>
      <w:proofErr w:type="spellEnd"/>
      <w:r w:rsidRPr="00832F7C">
        <w:t xml:space="preserve"> </w:t>
      </w:r>
      <w:proofErr w:type="spellStart"/>
      <w:r w:rsidRPr="00832F7C">
        <w:t>syntax.sps</w:t>
      </w:r>
      <w:proofErr w:type="spellEnd"/>
      <w:r w:rsidRPr="00832F7C">
        <w:t xml:space="preserve">” in R. I obtained identical results for the SPSS and R versions of the latter, providing some confidence that the reimplementation of the former was also accurate. One necessary alteration was made to the code: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t xml:space="preserve"> was negative it was set to zero to produce a Credibility Interval width of 0. This correction was specified in “</w:t>
      </w:r>
      <w:proofErr w:type="spellStart"/>
      <w:r w:rsidRPr="00832F7C">
        <w:t>h_s</w:t>
      </w:r>
      <w:proofErr w:type="spellEnd"/>
      <w:r w:rsidRPr="00832F7C">
        <w:t xml:space="preserve"> </w:t>
      </w:r>
      <w:proofErr w:type="spellStart"/>
      <w:r w:rsidRPr="00832F7C">
        <w:t>syntax.sps</w:t>
      </w:r>
      <w:proofErr w:type="spellEnd"/>
      <w:r w:rsidRPr="00832F7C">
        <w:t>” but not “</w:t>
      </w:r>
      <w:proofErr w:type="spellStart"/>
      <w:r w:rsidRPr="00832F7C">
        <w:t>Meta_Basic_r.sps</w:t>
      </w:r>
      <w:proofErr w:type="spellEnd"/>
      <w:r w:rsidRPr="00832F7C">
        <w:t xml:space="preserve">” – I merely applied it in both. Without this alternation,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t xml:space="preserve"> was negative the script would fail to run. </w:t>
      </w:r>
    </w:p>
    <w:p w14:paraId="30D83F6D" w14:textId="77777777" w:rsidR="008806BD" w:rsidRPr="00832F7C" w:rsidRDefault="008806BD" w:rsidP="00D77465">
      <w:pPr>
        <w:rPr>
          <w:iCs/>
        </w:rPr>
      </w:pPr>
      <w:r w:rsidRPr="00832F7C">
        <w:t xml:space="preserve">This verification attempt of the R implementation of the Hunter and </w:t>
      </w:r>
      <w:proofErr w:type="spellStart"/>
      <w:r w:rsidRPr="00832F7C">
        <w:t>Schimdt</w:t>
      </w:r>
      <w:proofErr w:type="spellEnd"/>
      <w:r w:rsidRPr="00832F7C">
        <w:t xml:space="preserve"> style meta-analysis implemented in </w:t>
      </w:r>
      <w:r w:rsidRPr="00832F7C">
        <w:rPr>
          <w:iCs/>
        </w:rPr>
        <w:t>“</w:t>
      </w:r>
      <w:proofErr w:type="spellStart"/>
      <w:r w:rsidRPr="00832F7C">
        <w:t>Meta_Basic_r.sps</w:t>
      </w:r>
      <w:proofErr w:type="spellEnd"/>
      <w:r w:rsidRPr="00832F7C">
        <w:t>” also did not reproduce the original results. The point estimate was off by only a small amount (</w:t>
      </w:r>
      <m:oMath>
        <m:acc>
          <m:accPr>
            <m:chr m:val="̅"/>
            <m:ctrlPr>
              <w:rPr>
                <w:rFonts w:ascii="Cambria Math" w:hAnsi="Cambria Math"/>
                <w:i/>
              </w:rPr>
            </m:ctrlPr>
          </m:accPr>
          <m:e>
            <m:r>
              <w:rPr>
                <w:rFonts w:ascii="Cambria Math" w:hAnsi="Cambria Math"/>
              </w:rPr>
              <m:t>r</m:t>
            </m:r>
          </m:e>
        </m:acc>
      </m:oMath>
      <w:r w:rsidRPr="00832F7C">
        <w:t xml:space="preserve"> = 0.01), although this is more than can be accounted for by common methods of rounding, although it could be obtained via (erroneous) truncation. However, the Confidence Intervals were nearly four times wider than the original results. In addition, the Credibility Intervals again had zero width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rPr>
          <w:iCs/>
        </w:rPr>
        <w:t xml:space="preserve"> was negative and interval width was therefore set to zero) and therefore greatly differed from the original results.</w:t>
      </w:r>
    </w:p>
    <w:p w14:paraId="730600C0" w14:textId="77777777" w:rsidR="008806BD" w:rsidRPr="00832F7C" w:rsidRDefault="008806BD" w:rsidP="00974D7B">
      <w:pPr>
        <w:pStyle w:val="Heading3"/>
      </w:pPr>
      <w:r w:rsidRPr="00832F7C">
        <w:t xml:space="preserve">Verification </w:t>
      </w:r>
      <w:proofErr w:type="gramStart"/>
      <w:r w:rsidRPr="00832F7C">
        <w:t>attempt</w:t>
      </w:r>
      <w:proofErr w:type="gramEnd"/>
      <w:r w:rsidRPr="00832F7C">
        <w:t xml:space="preserve"> 4</w:t>
      </w:r>
    </w:p>
    <w:p w14:paraId="4857C2E1" w14:textId="3111A04C" w:rsidR="008806BD" w:rsidRPr="00832F7C" w:rsidRDefault="008806BD" w:rsidP="00D77465">
      <w:r w:rsidRPr="00832F7C">
        <w:t xml:space="preserve">A close reading of Field &amp; Gillet (2010) and </w:t>
      </w:r>
      <w:r w:rsidRPr="00832F7C">
        <w:rPr>
          <w:iCs/>
        </w:rPr>
        <w:t>“</w:t>
      </w:r>
      <w:proofErr w:type="spellStart"/>
      <w:r w:rsidRPr="00832F7C">
        <w:t>Meta_Basic_r.sps</w:t>
      </w:r>
      <w:proofErr w:type="spellEnd"/>
      <w:r w:rsidRPr="00832F7C">
        <w:t xml:space="preserve">” revealed an inconsistency between them: </w:t>
      </w:r>
      <w:r w:rsidR="00C42A74">
        <w:t>Field and Gillett</w:t>
      </w:r>
      <w:r w:rsidRPr="00832F7C">
        <w:t xml:space="preserve"> state that Overton corrections should be applied to the individual correlations in the Hedges and </w:t>
      </w:r>
      <w:proofErr w:type="gramStart"/>
      <w:r w:rsidRPr="00832F7C">
        <w:t>colleagues</w:t>
      </w:r>
      <w:proofErr w:type="gramEnd"/>
      <w:r w:rsidRPr="00832F7C">
        <w:t xml:space="preserve"> approach but not the Hunter and Schmidt approach. However, the SPSS script applies Overton corrections in both. I therefore removed this correction from my R implementation for attempt 4. This changed </w:t>
      </w:r>
      <w:r w:rsidRPr="00832F7C">
        <w:lastRenderedPageBreak/>
        <w:t xml:space="preserve">the results very little from attempt 3, and did not reproduce </w:t>
      </w:r>
      <w:r w:rsidR="00FC4A19">
        <w:t xml:space="preserve">the results reported in </w:t>
      </w:r>
      <w:r w:rsidRPr="00832F7C">
        <w:t xml:space="preserve">Vahey et al. (2015). </w:t>
      </w:r>
    </w:p>
    <w:p w14:paraId="69DC189D" w14:textId="77777777" w:rsidR="008806BD" w:rsidRPr="00832F7C" w:rsidRDefault="008806BD" w:rsidP="00974D7B">
      <w:pPr>
        <w:pStyle w:val="Heading3"/>
      </w:pPr>
      <w:r w:rsidRPr="00832F7C">
        <w:t xml:space="preserve">Verification </w:t>
      </w:r>
      <w:proofErr w:type="gramStart"/>
      <w:r w:rsidRPr="00832F7C">
        <w:t>attempt</w:t>
      </w:r>
      <w:proofErr w:type="gramEnd"/>
      <w:r w:rsidRPr="00832F7C">
        <w:t xml:space="preserve"> 5</w:t>
      </w:r>
    </w:p>
    <w:p w14:paraId="3BA927EF" w14:textId="0DB08852" w:rsidR="008806BD" w:rsidRPr="00832F7C" w:rsidRDefault="008806BD" w:rsidP="00D77465">
      <w:r w:rsidRPr="00832F7C">
        <w:t xml:space="preserve">In order to try to obtain the original results, I then switched from using manual implementations of the equations reported in </w:t>
      </w:r>
      <w:r w:rsidR="00C42A74">
        <w:t>Field and Gillett</w:t>
      </w:r>
      <w:r w:rsidRPr="00832F7C">
        <w:t xml:space="preserve"> (2010) (i.e., their SPSS code or my translations into R) to instead using an established R package for meta-analyses: </w:t>
      </w:r>
      <w:proofErr w:type="spellStart"/>
      <w:r w:rsidRPr="00832F7C">
        <w:t>Viechtbauer’s</w:t>
      </w:r>
      <w:proofErr w:type="spellEnd"/>
      <w:r w:rsidRPr="00832F7C">
        <w:t xml:space="preserve"> </w:t>
      </w:r>
      <w:r w:rsidRPr="00832F7C">
        <w:fldChar w:fldCharType="begin"/>
      </w:r>
      <w:r w:rsidRPr="00832F7C">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832F7C">
        <w:fldChar w:fldCharType="separate"/>
      </w:r>
      <w:r w:rsidRPr="00832F7C">
        <w:t>(2022)</w:t>
      </w:r>
      <w:r w:rsidRPr="00832F7C">
        <w:fldChar w:fldCharType="end"/>
      </w:r>
      <w:r w:rsidRPr="00832F7C">
        <w:t xml:space="preserve"> implementation of a </w:t>
      </w:r>
      <w:r w:rsidR="00C42A74">
        <w:t>Hunter and Schmidt</w:t>
      </w:r>
      <w:r w:rsidRPr="00832F7C">
        <w:t xml:space="preserve"> style meta-analysis written using the metafor package </w:t>
      </w:r>
      <w:r w:rsidRPr="00832F7C">
        <w:fldChar w:fldCharType="begin"/>
      </w:r>
      <w:r w:rsidRPr="00832F7C">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832F7C">
        <w:fldChar w:fldCharType="separate"/>
      </w:r>
      <w:r w:rsidRPr="00832F7C">
        <w:rPr>
          <w:noProof/>
        </w:rPr>
        <w:t>(Viechtbauer, 2010, 2024)</w:t>
      </w:r>
      <w:r w:rsidRPr="00832F7C">
        <w:fldChar w:fldCharType="end"/>
      </w:r>
      <w:r w:rsidRPr="00832F7C">
        <w:t xml:space="preserve">. This provided new avenues to attempt to reproduce the original results in a programming language and package I was more familiar with, allowing me to try a variety of variations on a given attempt more efficiently. </w:t>
      </w:r>
      <w:r w:rsidR="00C42A74">
        <w:t>Field and Gillett</w:t>
      </w:r>
      <w:r w:rsidRPr="00832F7C">
        <w:t xml:space="preserve">’s (2010) equations 2-5 were used to implement Credibility Intervals. In this attempt, the Confidence Intervals reported </w:t>
      </w:r>
      <w:r w:rsidR="00990C1D">
        <w:t>in</w:t>
      </w:r>
      <w:r w:rsidRPr="00832F7C">
        <w:t xml:space="preserve"> Vahey et al. (2015) were reproduced. However, the point estimate and Credibility Intervals again did not reproduce the original results and matched the results found in verification analyses 1 and 4, as well as being very close to 3. </w:t>
      </w:r>
    </w:p>
    <w:p w14:paraId="636DE10D" w14:textId="50FAFD57" w:rsidR="008806BD" w:rsidRPr="00832F7C" w:rsidRDefault="008806BD" w:rsidP="00D77465">
      <w:r w:rsidRPr="00832F7C">
        <w:t xml:space="preserve">This verification </w:t>
      </w:r>
      <w:proofErr w:type="gramStart"/>
      <w:r w:rsidRPr="00832F7C">
        <w:t>attempt</w:t>
      </w:r>
      <w:proofErr w:type="gramEnd"/>
      <w:r w:rsidRPr="00832F7C">
        <w:t xml:space="preserve"> also attempted to reproduce the original forest plot (Vahey et al., 2015, Figure 1), which was more feasible in R and metafor. It is useful to note that the original forest plot reported asymmetric Confidence Intervals around individual effect sizes. That is, the lower bounds are typically further from the point estimate than the upper bounds. This implies that some form of non-linear transformation was employed, such as a Fisher’s </w:t>
      </w:r>
      <w:r w:rsidRPr="00832F7C">
        <w:rPr>
          <w:i/>
          <w:iCs/>
        </w:rPr>
        <w:t>r</w:t>
      </w:r>
      <w:r w:rsidRPr="00832F7C">
        <w:t>-to-</w:t>
      </w:r>
      <w:r w:rsidRPr="00832F7C">
        <w:rPr>
          <w:i/>
          <w:iCs/>
        </w:rPr>
        <w:t>z</w:t>
      </w:r>
      <w:r w:rsidRPr="00832F7C">
        <w:t xml:space="preserve"> transformation. However, Vahey et al. (2015) d</w:t>
      </w:r>
      <w:r w:rsidR="00990C1D">
        <w:t>id</w:t>
      </w:r>
      <w:r w:rsidRPr="00832F7C">
        <w:t xml:space="preserve"> not report employing any transformations in their meta-analysis or forest plot. The forest plot associated with this verification attempt can be seen in Figure 3. Confidence Intervals around individual effect sizes were symmetric and therefore did not reproduce the original plot.</w:t>
      </w:r>
    </w:p>
    <w:p w14:paraId="2CCB1D53" w14:textId="77777777" w:rsidR="008806BD" w:rsidRPr="00832F7C" w:rsidRDefault="008806BD" w:rsidP="00974D7B">
      <w:pPr>
        <w:pStyle w:val="Heading3"/>
      </w:pPr>
      <w:r w:rsidRPr="00832F7C">
        <w:t xml:space="preserve">Verification </w:t>
      </w:r>
      <w:proofErr w:type="gramStart"/>
      <w:r w:rsidRPr="00832F7C">
        <w:t>attempt</w:t>
      </w:r>
      <w:proofErr w:type="gramEnd"/>
      <w:r w:rsidRPr="00832F7C">
        <w:t xml:space="preserve"> 6</w:t>
      </w:r>
    </w:p>
    <w:p w14:paraId="0730D6BE" w14:textId="77777777" w:rsidR="008806BD" w:rsidRPr="00832F7C" w:rsidRDefault="008806BD" w:rsidP="00D77465">
      <w:r w:rsidRPr="00832F7C">
        <w:lastRenderedPageBreak/>
        <w:t xml:space="preserve">Next, I applied Fisher’s </w:t>
      </w:r>
      <w:r w:rsidRPr="00832F7C">
        <w:rPr>
          <w:i/>
          <w:iCs/>
        </w:rPr>
        <w:t>r</w:t>
      </w:r>
      <w:r w:rsidRPr="00832F7C">
        <w:t>-to-</w:t>
      </w:r>
      <w:r w:rsidRPr="00832F7C">
        <w:rPr>
          <w:i/>
          <w:iCs/>
        </w:rPr>
        <w:t>z</w:t>
      </w:r>
      <w:r w:rsidRPr="00832F7C">
        <w:t xml:space="preserve"> transformations to the individual effect sizes prior to meta-analysis and back transformations prior to reporting and plotting. The analysis was otherwise identical to the previous attempt. All estimated values were identical to attempt 5, therefore the original meta-analysis results were not reproduced. </w:t>
      </w:r>
    </w:p>
    <w:p w14:paraId="212FE982" w14:textId="05AA54BA" w:rsidR="000C7F5A" w:rsidRPr="00832F7C" w:rsidRDefault="008806BD" w:rsidP="000C7F5A">
      <w:r w:rsidRPr="00832F7C">
        <w:t xml:space="preserve">However, the forest plot associated with this attempt did reproduce the Confidence Intervals around the individual effect sizes from </w:t>
      </w:r>
      <w:r w:rsidR="00990C1D">
        <w:t xml:space="preserve">the forest plot presented in </w:t>
      </w:r>
      <w:r w:rsidRPr="00832F7C">
        <w:t>Vahey et al. (2015</w:t>
      </w:r>
      <w:r w:rsidR="00990C1D">
        <w:t xml:space="preserve">, </w:t>
      </w:r>
      <w:r w:rsidRPr="00832F7C">
        <w:t>Figure 1</w:t>
      </w:r>
      <w:r w:rsidR="00990C1D">
        <w:t xml:space="preserve">; see also </w:t>
      </w:r>
      <w:r w:rsidRPr="00832F7C">
        <w:t xml:space="preserve">this manuscript’s Figures 1 and 3), suggesting that </w:t>
      </w:r>
      <w:r w:rsidR="002B41F9">
        <w:t xml:space="preserve">the analyses </w:t>
      </w:r>
      <w:r w:rsidRPr="00832F7C">
        <w:t xml:space="preserve">these transformations </w:t>
      </w:r>
      <w:r w:rsidR="002B41F9">
        <w:t>were employed</w:t>
      </w:r>
      <w:r w:rsidR="00D23A84">
        <w:t xml:space="preserve">, although </w:t>
      </w:r>
      <w:r w:rsidRPr="00832F7C">
        <w:t>not report</w:t>
      </w:r>
      <w:r w:rsidR="002B41F9">
        <w:t>ed in Vahey et al. (2015)</w:t>
      </w:r>
      <w:r w:rsidRPr="00832F7C">
        <w:t xml:space="preserve">. This under-reported data transformation also implies a second form of underreporting: Vahey et al. (2015) reported employing a </w:t>
      </w:r>
      <w:r w:rsidR="00C42A74">
        <w:t>Hunter and Schmidt</w:t>
      </w:r>
      <w:r w:rsidRPr="00832F7C">
        <w:t xml:space="preserve"> style meta-analysis, but this</w:t>
      </w:r>
      <w:r w:rsidR="000C7F5A" w:rsidRPr="00832F7C">
        <w:t xml:space="preserve"> implies that they diverged from this strategy by also applying Hedges style data transformations (in addition to not applying </w:t>
      </w:r>
      <w:r w:rsidR="00C42A74">
        <w:t>Hunter and Schmidt</w:t>
      </w:r>
      <w:r w:rsidR="000C7F5A" w:rsidRPr="00832F7C">
        <w:t xml:space="preserve"> style corrections for reliability). While this reproduction of the original individual effect sizes and their Confidence Intervals gets us one step closer to understanding the original analytic strategy, it nonetheless does not reproduce the meta-analysis results. </w:t>
      </w:r>
    </w:p>
    <w:p w14:paraId="3DF5C9CB" w14:textId="461DEA2E" w:rsidR="00601B7B" w:rsidRPr="00832F7C" w:rsidRDefault="00601B7B" w:rsidP="000C7F5A">
      <w:pPr>
        <w:sectPr w:rsidR="00601B7B" w:rsidRPr="00832F7C" w:rsidSect="00D77465">
          <w:pgSz w:w="11900" w:h="16840"/>
          <w:pgMar w:top="1440" w:right="1440" w:bottom="1440" w:left="1440" w:header="709" w:footer="709" w:gutter="0"/>
          <w:cols w:space="340"/>
          <w:titlePg/>
          <w:docGrid w:linePitch="360"/>
          <w15:footnoteColumns w:val="1"/>
        </w:sectPr>
      </w:pPr>
    </w:p>
    <w:p w14:paraId="194B371B" w14:textId="77777777" w:rsidR="00057A7F" w:rsidRPr="00832F7C" w:rsidRDefault="00057A7F" w:rsidP="00D77465">
      <w:pPr>
        <w:sectPr w:rsidR="00057A7F" w:rsidRPr="00832F7C" w:rsidSect="00D77465">
          <w:type w:val="continuous"/>
          <w:pgSz w:w="11900" w:h="16840"/>
          <w:pgMar w:top="1440" w:right="1440" w:bottom="1440" w:left="1440" w:header="709" w:footer="709" w:gutter="0"/>
          <w:cols w:space="340"/>
          <w:titlePg/>
          <w:docGrid w:linePitch="360"/>
          <w15:footnoteColumns w:val="1"/>
        </w:sectPr>
      </w:pPr>
    </w:p>
    <w:p w14:paraId="27CBBC31" w14:textId="77777777" w:rsidR="000C7F5A" w:rsidRPr="00832F7C" w:rsidRDefault="000C7F5A">
      <w:pPr>
        <w:spacing w:line="240" w:lineRule="auto"/>
        <w:ind w:firstLine="0"/>
        <w:rPr>
          <w:b/>
          <w:bCs/>
        </w:rPr>
      </w:pPr>
      <w:r w:rsidRPr="00832F7C">
        <w:rPr>
          <w:b/>
          <w:bCs/>
        </w:rPr>
        <w:br w:type="page"/>
      </w:r>
    </w:p>
    <w:p w14:paraId="758DCFC9" w14:textId="18F91C9F" w:rsidR="00D0718D" w:rsidRPr="00832F7C" w:rsidRDefault="00000000" w:rsidP="00D77465">
      <w:r w:rsidRPr="00832F7C">
        <w:rPr>
          <w:b/>
          <w:bCs/>
        </w:rPr>
        <w:lastRenderedPageBreak/>
        <w:t xml:space="preserve">Figure </w:t>
      </w:r>
      <w:r w:rsidR="00B21A2E" w:rsidRPr="00832F7C">
        <w:rPr>
          <w:b/>
          <w:bCs/>
        </w:rPr>
        <w:t>3</w:t>
      </w:r>
      <w:r w:rsidRPr="00832F7C">
        <w:rPr>
          <w:b/>
          <w:bCs/>
        </w:rPr>
        <w:t xml:space="preserve">. </w:t>
      </w:r>
      <w:r w:rsidRPr="00832F7C">
        <w:t xml:space="preserve">Forest plot for </w:t>
      </w:r>
      <w:r w:rsidR="001A4627" w:rsidRPr="00832F7C">
        <w:t xml:space="preserve">meta-analysis </w:t>
      </w:r>
      <w:r w:rsidRPr="00832F7C">
        <w:t xml:space="preserve">verification attempt </w:t>
      </w:r>
      <w:r w:rsidR="00C86BC8" w:rsidRPr="00832F7C">
        <w:t>5</w:t>
      </w:r>
      <w:r w:rsidRPr="00832F7C">
        <w:t>.</w:t>
      </w:r>
    </w:p>
    <w:p w14:paraId="5C694F13" w14:textId="77777777" w:rsidR="00D0718D" w:rsidRPr="00832F7C" w:rsidRDefault="00000000" w:rsidP="00D77465">
      <w:r w:rsidRPr="00832F7C">
        <w:rPr>
          <w:noProof/>
        </w:rPr>
        <w:drawing>
          <wp:inline distT="0" distB="0" distL="0" distR="0" wp14:anchorId="6CAF23F5" wp14:editId="16034D9E">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4F0B6BE3" w14:textId="77777777" w:rsidR="00D736B9" w:rsidRPr="00832F7C" w:rsidRDefault="00D736B9" w:rsidP="00D77465"/>
    <w:p w14:paraId="0436B118" w14:textId="77777777" w:rsidR="00D736B9" w:rsidRPr="00832F7C" w:rsidRDefault="00000000" w:rsidP="00D77465">
      <w:r w:rsidRPr="00832F7C">
        <w:rPr>
          <w:b/>
          <w:bCs/>
        </w:rPr>
        <w:t xml:space="preserve">Figure </w:t>
      </w:r>
      <w:r w:rsidR="00B21A2E" w:rsidRPr="00832F7C">
        <w:rPr>
          <w:b/>
          <w:bCs/>
        </w:rPr>
        <w:t>4</w:t>
      </w:r>
      <w:r w:rsidRPr="00832F7C">
        <w:rPr>
          <w:b/>
          <w:bCs/>
        </w:rPr>
        <w:t xml:space="preserve">. </w:t>
      </w:r>
      <w:r w:rsidRPr="00832F7C">
        <w:t xml:space="preserve">Forest plot for meta-analysis verification attempt </w:t>
      </w:r>
      <w:r w:rsidR="00C86BC8" w:rsidRPr="00832F7C">
        <w:t>6</w:t>
      </w:r>
      <w:r w:rsidRPr="00832F7C">
        <w:t>.</w:t>
      </w:r>
    </w:p>
    <w:p w14:paraId="4134A017" w14:textId="77777777" w:rsidR="00D736B9" w:rsidRPr="00832F7C" w:rsidRDefault="00000000" w:rsidP="00D77465">
      <w:r w:rsidRPr="00832F7C">
        <w:rPr>
          <w:noProof/>
        </w:rPr>
        <w:drawing>
          <wp:inline distT="0" distB="0" distL="0" distR="0" wp14:anchorId="17C5512F" wp14:editId="07C8470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1AEE58F1" w14:textId="77777777" w:rsidR="00D0718D" w:rsidRPr="00832F7C" w:rsidRDefault="00D0718D" w:rsidP="00D77465">
      <w:pPr>
        <w:sectPr w:rsidR="00D0718D" w:rsidRPr="00832F7C" w:rsidSect="00D77465">
          <w:type w:val="continuous"/>
          <w:pgSz w:w="11900" w:h="16840"/>
          <w:pgMar w:top="1440" w:right="1440" w:bottom="1440" w:left="1440" w:header="709" w:footer="709" w:gutter="0"/>
          <w:cols w:space="340"/>
          <w:titlePg/>
          <w:docGrid w:linePitch="360"/>
          <w15:footnoteColumns w:val="1"/>
        </w:sectPr>
      </w:pPr>
    </w:p>
    <w:p w14:paraId="44D6CD13" w14:textId="77777777" w:rsidR="00093F1F" w:rsidRPr="00832F7C" w:rsidRDefault="00093F1F" w:rsidP="00D77465">
      <w:pPr>
        <w:sectPr w:rsidR="00093F1F" w:rsidRPr="00832F7C" w:rsidSect="00D77465">
          <w:type w:val="continuous"/>
          <w:pgSz w:w="11900" w:h="16840"/>
          <w:pgMar w:top="1440" w:right="1440" w:bottom="1440" w:left="1440" w:header="709" w:footer="709" w:gutter="0"/>
          <w:cols w:space="340"/>
          <w:titlePg/>
          <w:docGrid w:linePitch="360"/>
          <w15:footnoteColumns w:val="1"/>
        </w:sectPr>
      </w:pPr>
    </w:p>
    <w:p w14:paraId="7F861C3A" w14:textId="77777777" w:rsidR="00093F1F" w:rsidRPr="00832F7C" w:rsidRDefault="00093F1F" w:rsidP="00D77465"/>
    <w:p w14:paraId="56F5E477" w14:textId="77777777" w:rsidR="00093F1F" w:rsidRPr="00832F7C" w:rsidRDefault="00093F1F" w:rsidP="00D77465">
      <w:pPr>
        <w:sectPr w:rsidR="00093F1F" w:rsidRPr="00832F7C" w:rsidSect="00D77465">
          <w:type w:val="continuous"/>
          <w:pgSz w:w="11900" w:h="16840"/>
          <w:pgMar w:top="1440" w:right="1440" w:bottom="1440" w:left="1440" w:header="709" w:footer="709" w:gutter="0"/>
          <w:cols w:space="340"/>
          <w:titlePg/>
          <w:docGrid w:linePitch="360"/>
          <w15:footnoteColumns w:val="1"/>
        </w:sectPr>
      </w:pPr>
    </w:p>
    <w:p w14:paraId="1A47E9DD" w14:textId="77777777" w:rsidR="000C7F5A" w:rsidRPr="00832F7C" w:rsidRDefault="000C7F5A">
      <w:pPr>
        <w:spacing w:line="240" w:lineRule="auto"/>
        <w:ind w:firstLine="0"/>
      </w:pPr>
      <w:r w:rsidRPr="00832F7C">
        <w:br w:type="page"/>
      </w:r>
    </w:p>
    <w:p w14:paraId="171AE7A8" w14:textId="77777777" w:rsidR="00E91332" w:rsidRPr="00832F7C" w:rsidRDefault="00E91332" w:rsidP="00974D7B">
      <w:pPr>
        <w:pStyle w:val="Heading3"/>
      </w:pPr>
      <w:r w:rsidRPr="00832F7C">
        <w:lastRenderedPageBreak/>
        <w:t xml:space="preserve">Verification </w:t>
      </w:r>
      <w:proofErr w:type="gramStart"/>
      <w:r w:rsidRPr="00832F7C">
        <w:t>attempt</w:t>
      </w:r>
      <w:proofErr w:type="gramEnd"/>
      <w:r w:rsidRPr="00832F7C">
        <w:t xml:space="preserve"> 7</w:t>
      </w:r>
    </w:p>
    <w:p w14:paraId="6E391573" w14:textId="23D7E45A" w:rsidR="00917C66" w:rsidRPr="00832F7C" w:rsidRDefault="00E91332" w:rsidP="00D77465">
      <w:r w:rsidRPr="00832F7C">
        <w:t xml:space="preserve">Lastly, I </w:t>
      </w:r>
      <w:proofErr w:type="gramStart"/>
      <w:r w:rsidRPr="00832F7C">
        <w:t>made an attempt</w:t>
      </w:r>
      <w:proofErr w:type="gramEnd"/>
      <w:r w:rsidRPr="00832F7C">
        <w:t xml:space="preserve"> that purposefully made statistical errors and went against </w:t>
      </w:r>
      <w:r w:rsidR="00D05B67">
        <w:t xml:space="preserve">the descriptions in </w:t>
      </w:r>
      <w:r w:rsidRPr="00832F7C">
        <w:t>Vahey et al. (2015) of the</w:t>
      </w:r>
      <w:r w:rsidR="00D05B67">
        <w:t xml:space="preserve"> </w:t>
      </w:r>
      <w:r w:rsidRPr="00832F7C">
        <w:t>analytic strategy</w:t>
      </w:r>
      <w:r w:rsidR="00D05B67">
        <w:t>, in order</w:t>
      </w:r>
      <w:r w:rsidRPr="00832F7C">
        <w:t xml:space="preserve"> to see if </w:t>
      </w:r>
      <w:r w:rsidR="002A7F12">
        <w:t>this</w:t>
      </w:r>
      <w:r w:rsidRPr="00832F7C">
        <w:t xml:space="preserve"> </w:t>
      </w:r>
      <w:r w:rsidR="002A7F12">
        <w:t>w</w:t>
      </w:r>
      <w:r w:rsidRPr="00832F7C">
        <w:t xml:space="preserve">ould allow me to reproduce the original results. Although Vahey et al. (2015) </w:t>
      </w:r>
      <w:r w:rsidR="008F0455">
        <w:t xml:space="preserve">reports that the </w:t>
      </w:r>
      <w:r w:rsidRPr="00832F7C">
        <w:t>the 15 weighted average effect sizes</w:t>
      </w:r>
      <w:r w:rsidR="008F0455">
        <w:t xml:space="preserve"> were meta-</w:t>
      </w:r>
      <w:proofErr w:type="spellStart"/>
      <w:r w:rsidR="008F0455">
        <w:t>analyzed</w:t>
      </w:r>
      <w:proofErr w:type="spellEnd"/>
      <w:r w:rsidRPr="00832F7C">
        <w:t xml:space="preserve">, in this attempt I instead used the 56 individual weighted effect sizes, weighted by the sample sizes reported in the original forest plot (their Figure 1). </w:t>
      </w:r>
      <w:r w:rsidR="006B7744" w:rsidRPr="00832F7C">
        <w:t xml:space="preserve">This analysis therefore </w:t>
      </w:r>
      <w:r w:rsidR="00917C66" w:rsidRPr="00832F7C">
        <w:t xml:space="preserve">purposefully ignored the dependencies among the effect sizes, which </w:t>
      </w:r>
      <w:r w:rsidR="00712433">
        <w:t xml:space="preserve">were acknowledged in </w:t>
      </w:r>
      <w:r w:rsidR="00917C66" w:rsidRPr="00832F7C">
        <w:t xml:space="preserve">Vahey et al. (2015) </w:t>
      </w:r>
      <w:r w:rsidR="00712433">
        <w:t xml:space="preserve">as </w:t>
      </w:r>
      <w:r w:rsidR="00917C66" w:rsidRPr="00832F7C">
        <w:t>problematic (see</w:t>
      </w:r>
      <w:r w:rsidR="009D522D">
        <w:t xml:space="preserve"> Vahey et al., 2015, </w:t>
      </w:r>
      <w:r w:rsidR="00917C66" w:rsidRPr="00832F7C">
        <w:t>Footnote 2). For this, I returned to using the original “</w:t>
      </w:r>
      <w:proofErr w:type="spellStart"/>
      <w:r w:rsidR="00917C66" w:rsidRPr="00832F7C">
        <w:t>h_s</w:t>
      </w:r>
      <w:proofErr w:type="spellEnd"/>
      <w:r w:rsidR="00917C66" w:rsidRPr="00832F7C">
        <w:t xml:space="preserve"> </w:t>
      </w:r>
      <w:proofErr w:type="spellStart"/>
      <w:r w:rsidR="00917C66" w:rsidRPr="00832F7C">
        <w:t>syntax.sps</w:t>
      </w:r>
      <w:proofErr w:type="spellEnd"/>
      <w:r w:rsidR="00917C66" w:rsidRPr="00832F7C">
        <w:t xml:space="preserve">” SPSS script, with all reliabilities still set to 0.0. </w:t>
      </w:r>
    </w:p>
    <w:p w14:paraId="1EF8CFA5" w14:textId="77777777" w:rsidR="00917C66" w:rsidRPr="00832F7C" w:rsidRDefault="00917C66" w:rsidP="00D77465">
      <w:r w:rsidRPr="00832F7C">
        <w:t xml:space="preserve">The results of this verification attempt again did not reproduce the original results (nor did multiple small variations on it, e.g., weighting by degrees of freedom rather than </w:t>
      </w:r>
      <w:r w:rsidRPr="00832F7C">
        <w:rPr>
          <w:i/>
          <w:iCs/>
        </w:rPr>
        <w:t>N</w:t>
      </w:r>
      <w:r w:rsidRPr="00832F7C">
        <w:t xml:space="preserve">, or using no weights). However, one thing was perhaps notable: making one additional purposeful mistake provides the closest reproduction of the original results that I managed to obtain. Specifically, if one mislabels the Credibility Intervals as Confidence Intervals and vice versa, results show some alignment with the originally reported results: reported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832F7C">
        <w:t xml:space="preserve">= .45, recalculated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832F7C">
        <w:t xml:space="preserve">= .48; reported CI = [.40, .54], recalculated CR = [.39, .57]; reported CR = [.23, .67[, recalculated CI = [.20, 74]. </w:t>
      </w:r>
    </w:p>
    <w:p w14:paraId="1841ECDA" w14:textId="77777777" w:rsidR="000C5BDB" w:rsidRPr="00832F7C" w:rsidRDefault="00000000" w:rsidP="00974D7B">
      <w:pPr>
        <w:pStyle w:val="Heading3"/>
      </w:pPr>
      <w:r w:rsidRPr="00832F7C">
        <w:t>Summar</w:t>
      </w:r>
      <w:r w:rsidR="00987DC7" w:rsidRPr="00832F7C">
        <w:t xml:space="preserve">y </w:t>
      </w:r>
      <w:r w:rsidR="009B1C88" w:rsidRPr="00832F7C">
        <w:t>of attempts</w:t>
      </w:r>
    </w:p>
    <w:p w14:paraId="342813A1" w14:textId="77777777" w:rsidR="009B1C88" w:rsidRPr="00832F7C" w:rsidRDefault="00000000" w:rsidP="00D77465">
      <w:r w:rsidRPr="00832F7C">
        <w:t>A large</w:t>
      </w:r>
      <w:r w:rsidR="007F7517" w:rsidRPr="00832F7C">
        <w:t>r</w:t>
      </w:r>
      <w:r w:rsidRPr="00832F7C">
        <w:t xml:space="preserve"> number of small variations on the attempts that are reported here were also tried. For example, alternative values for reliability estimates, and not </w:t>
      </w:r>
      <w:proofErr w:type="gramStart"/>
      <w:r w:rsidRPr="00832F7C">
        <w:t>back-transforming</w:t>
      </w:r>
      <w:proofErr w:type="gramEnd"/>
      <w:r w:rsidRPr="00832F7C">
        <w:t xml:space="preserve"> the </w:t>
      </w:r>
      <w:r w:rsidRPr="00832F7C">
        <w:rPr>
          <w:i/>
          <w:iCs/>
        </w:rPr>
        <w:t>z</w:t>
      </w:r>
      <w:r w:rsidRPr="00832F7C">
        <w:t xml:space="preserve"> values </w:t>
      </w:r>
      <w:r w:rsidR="000D4325" w:rsidRPr="00832F7C">
        <w:t xml:space="preserve">back to </w:t>
      </w:r>
      <w:r w:rsidR="000D4325" w:rsidRPr="00832F7C">
        <w:rPr>
          <w:i/>
          <w:iCs/>
        </w:rPr>
        <w:t>r</w:t>
      </w:r>
      <w:r w:rsidR="000D4325" w:rsidRPr="00832F7C">
        <w:t xml:space="preserve"> values</w:t>
      </w:r>
      <w:r w:rsidRPr="00832F7C">
        <w:t xml:space="preserve">. I also tried </w:t>
      </w:r>
      <w:r w:rsidR="00903996" w:rsidRPr="00832F7C">
        <w:t>several</w:t>
      </w:r>
      <w:r w:rsidRPr="00832F7C">
        <w:t xml:space="preserve"> </w:t>
      </w:r>
      <w:r w:rsidR="00E63B38" w:rsidRPr="00832F7C">
        <w:t xml:space="preserve">other </w:t>
      </w:r>
      <w:r w:rsidRPr="00832F7C">
        <w:t>purposeful mistakes, such as miscalculating Credibility Intervals based on plausible mathematical and coding errors. No attempt successfully reproduced the originally reported results.</w:t>
      </w:r>
    </w:p>
    <w:p w14:paraId="0085D651" w14:textId="77777777" w:rsidR="004735A6" w:rsidRPr="00832F7C" w:rsidRDefault="00000000" w:rsidP="00D77465">
      <w:r w:rsidRPr="00832F7C">
        <w:lastRenderedPageBreak/>
        <w:t>Confidence Interval</w:t>
      </w:r>
      <w:r w:rsidR="002353CA" w:rsidRPr="00832F7C">
        <w:t xml:space="preserve">s around individual effect sizes in the </w:t>
      </w:r>
      <w:r w:rsidR="00E0308B" w:rsidRPr="00832F7C">
        <w:t xml:space="preserve">original </w:t>
      </w:r>
      <w:r w:rsidR="002353CA" w:rsidRPr="00832F7C">
        <w:t xml:space="preserve">forest plot were only reproduced when Fisher’s </w:t>
      </w:r>
      <w:r w:rsidR="002353CA" w:rsidRPr="00832F7C">
        <w:rPr>
          <w:i/>
          <w:iCs/>
        </w:rPr>
        <w:t>r</w:t>
      </w:r>
      <w:r w:rsidR="002353CA" w:rsidRPr="00832F7C">
        <w:t>-to-</w:t>
      </w:r>
      <w:r w:rsidR="002353CA" w:rsidRPr="00832F7C">
        <w:rPr>
          <w:i/>
          <w:iCs/>
        </w:rPr>
        <w:t>z</w:t>
      </w:r>
      <w:r w:rsidR="002353CA" w:rsidRPr="00832F7C">
        <w:t xml:space="preserve"> transformations were applied (verification attempt </w:t>
      </w:r>
      <w:r w:rsidR="00C86BC8" w:rsidRPr="00832F7C">
        <w:t>6</w:t>
      </w:r>
      <w:r w:rsidR="002353CA" w:rsidRPr="00832F7C">
        <w:t xml:space="preserve">) and not when they weren't (verification attempts </w:t>
      </w:r>
      <w:r w:rsidR="00C82E8B" w:rsidRPr="00832F7C">
        <w:t>1-3</w:t>
      </w:r>
      <w:r w:rsidR="002353CA" w:rsidRPr="00832F7C">
        <w:t xml:space="preserve">). </w:t>
      </w:r>
    </w:p>
    <w:p w14:paraId="058AADE8" w14:textId="531A4000" w:rsidR="00710E09" w:rsidRPr="00832F7C" w:rsidRDefault="00000000" w:rsidP="00BF167C">
      <w:r w:rsidRPr="00832F7C">
        <w:t xml:space="preserve">Meta-analysis </w:t>
      </w:r>
      <w:r w:rsidR="00710E09" w:rsidRPr="00832F7C">
        <w:t>C</w:t>
      </w:r>
      <w:r w:rsidRPr="00832F7C">
        <w:t xml:space="preserve">onfidence </w:t>
      </w:r>
      <w:r w:rsidR="00710E09" w:rsidRPr="00832F7C">
        <w:t>I</w:t>
      </w:r>
      <w:r w:rsidRPr="00832F7C">
        <w:t>ntervals were only reproduced when putting Field’s SPSS scripts aside and reconstructing the analyses in R using the metafor package. This is difficult to account for. 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rsidRPr="00832F7C">
        <w:t xml:space="preserve"> It remains unclear how </w:t>
      </w:r>
      <w:r w:rsidR="00D646C2">
        <w:t xml:space="preserve">the Credibility Intervals reported in </w:t>
      </w:r>
      <w:r w:rsidR="00C77A87" w:rsidRPr="00832F7C">
        <w:t xml:space="preserve">Vahey et al. (2015) </w:t>
      </w:r>
      <w:r w:rsidR="00D646C2">
        <w:t xml:space="preserve">were </w:t>
      </w:r>
      <w:r w:rsidR="00C77A87" w:rsidRPr="00832F7C">
        <w:t xml:space="preserve">produced. The closest I came to reproducing them was attempt 7, which had to make two serious mistakes on purpose: using the 56 individual effect sizes rather than the 15 weighted averages, and mislabelling Confidence Intervals as Credibility Intervals and vice versa. </w:t>
      </w:r>
    </w:p>
    <w:p w14:paraId="4405BBCD" w14:textId="39E86CAE" w:rsidR="00625E20" w:rsidRPr="00832F7C" w:rsidRDefault="00000000" w:rsidP="00625E20">
      <w:r w:rsidRPr="00832F7C">
        <w:t xml:space="preserve">Lastly, </w:t>
      </w:r>
      <w:proofErr w:type="gramStart"/>
      <w:r w:rsidRPr="00832F7C">
        <w:t>with regard to</w:t>
      </w:r>
      <w:proofErr w:type="gramEnd"/>
      <w:r w:rsidRPr="00832F7C">
        <w:t xml:space="preserve"> the point estimate of the meta-analytic effect size, I noted previously in the “Issues with the meta-analysis results” section that the original </w:t>
      </w:r>
      <w:r w:rsidR="002C28D0" w:rsidRPr="00832F7C">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rsidRPr="00832F7C">
        <w:t>would</w:t>
      </w:r>
      <w:proofErr w:type="gramEnd"/>
      <w:r w:rsidR="002C28D0" w:rsidRPr="00832F7C">
        <w:t xml:space="preserve"> imply that a correct point estimate of .47 (i.e., at the halfway point between the intervals). A point estimate of .47 combined with Confidence Intervals of [.40, .54] was reproduced in verification attempts</w:t>
      </w:r>
      <w:r w:rsidR="00F45E46" w:rsidRPr="00832F7C">
        <w:t xml:space="preserve"> 5 and 6 using metafor</w:t>
      </w:r>
      <w:r w:rsidR="002C28D0" w:rsidRPr="00832F7C">
        <w:t xml:space="preserve">. </w:t>
      </w:r>
      <w:r w:rsidR="00EC09FF" w:rsidRPr="00832F7C">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Viechtbauer’s (2022) implementation of the analysis in R and metafor, but not using the scripts that </w:t>
      </w:r>
      <w:r w:rsidR="00F67A68">
        <w:t xml:space="preserve">the first author </w:t>
      </w:r>
      <w:r w:rsidR="00F67A68">
        <w:lastRenderedPageBreak/>
        <w:t xml:space="preserve">of </w:t>
      </w:r>
      <w:r w:rsidR="00EC09FF" w:rsidRPr="00832F7C">
        <w:t xml:space="preserve">Vahey et al. (2015) </w:t>
      </w:r>
      <w:r w:rsidR="00F67A68">
        <w:t>reported that he used</w:t>
      </w:r>
      <w:r w:rsidR="00EC09FF" w:rsidRPr="00832F7C">
        <w:t>.</w:t>
      </w:r>
      <w:r w:rsidR="0086020D" w:rsidRPr="00832F7C">
        <w:t xml:space="preserve"> Therefore, it remains unclear how </w:t>
      </w:r>
      <w:r w:rsidR="00AC2DB4">
        <w:t xml:space="preserve">the results of </w:t>
      </w:r>
      <w:r w:rsidR="0086020D" w:rsidRPr="00832F7C">
        <w:t xml:space="preserve">Vahey et al. (2015) </w:t>
      </w:r>
      <w:r w:rsidR="00AC2DB4">
        <w:t xml:space="preserve">were </w:t>
      </w:r>
      <w:r w:rsidR="0086020D" w:rsidRPr="00832F7C">
        <w:t>obtained</w:t>
      </w:r>
      <w:r w:rsidR="00877E70" w:rsidRPr="00832F7C">
        <w:t>, or even which mistakes if any g</w:t>
      </w:r>
      <w:r w:rsidR="00596A69">
        <w:t xml:space="preserve">ave </w:t>
      </w:r>
      <w:r w:rsidR="00877E70" w:rsidRPr="00832F7C">
        <w:t>rise to the</w:t>
      </w:r>
      <w:r w:rsidR="00596A69">
        <w:t xml:space="preserve"> </w:t>
      </w:r>
      <w:r w:rsidR="00877E70" w:rsidRPr="00832F7C">
        <w:t>reported results.</w:t>
      </w:r>
    </w:p>
    <w:p w14:paraId="5327A12E" w14:textId="2212BDBD" w:rsidR="00697E83" w:rsidRPr="00832F7C" w:rsidRDefault="00136B0D" w:rsidP="00625E20">
      <w:pPr>
        <w:pStyle w:val="Heading2"/>
      </w:pPr>
      <w:r w:rsidRPr="00832F7C">
        <w:t>Weighted a</w:t>
      </w:r>
      <w:r w:rsidR="00B95E95" w:rsidRPr="00832F7C">
        <w:t>verage effect sizes</w:t>
      </w:r>
      <w:r w:rsidR="007E5FD2" w:rsidRPr="00832F7C">
        <w:t xml:space="preserve"> </w:t>
      </w:r>
    </w:p>
    <w:p w14:paraId="325F52BE" w14:textId="7542406A" w:rsidR="00F73DA2" w:rsidRPr="00832F7C" w:rsidRDefault="00000000" w:rsidP="00D77465">
      <w:proofErr w:type="gramStart"/>
      <w:r w:rsidRPr="00832F7C">
        <w:t>In order to</w:t>
      </w:r>
      <w:proofErr w:type="gramEnd"/>
      <w:r w:rsidRPr="00832F7C">
        <w:t xml:space="preserve"> </w:t>
      </w:r>
      <w:r w:rsidR="008C347B" w:rsidRPr="00832F7C">
        <w:t xml:space="preserve">attempt to retrace the steps involved in the original </w:t>
      </w:r>
      <w:r w:rsidRPr="00832F7C">
        <w:t xml:space="preserve">analysis, I then noted that </w:t>
      </w:r>
      <w:r w:rsidR="00697E83" w:rsidRPr="00832F7C">
        <w:t xml:space="preserve">Vahey </w:t>
      </w:r>
      <w:r w:rsidRPr="00832F7C">
        <w:t xml:space="preserve">et al. (2015) </w:t>
      </w:r>
      <w:r w:rsidR="00697E83" w:rsidRPr="00832F7C">
        <w:t xml:space="preserve">reported that the </w:t>
      </w:r>
      <w:r w:rsidR="007A6740" w:rsidRPr="00832F7C">
        <w:t xml:space="preserve">15 </w:t>
      </w:r>
      <w:r w:rsidR="00697E83" w:rsidRPr="00832F7C">
        <w:t xml:space="preserve">weighted average effect sizes used in </w:t>
      </w:r>
      <w:r w:rsidR="00C9628A">
        <w:t xml:space="preserve">the </w:t>
      </w:r>
      <w:r w:rsidR="00697E83" w:rsidRPr="00832F7C">
        <w:t xml:space="preserve">meta-analysis were calculated from </w:t>
      </w:r>
      <w:r w:rsidR="007A6740" w:rsidRPr="00832F7C">
        <w:t xml:space="preserve">46 </w:t>
      </w:r>
      <w:r w:rsidR="00697E83" w:rsidRPr="00832F7C">
        <w:t xml:space="preserve">individual effect sizes and </w:t>
      </w:r>
      <w:r w:rsidR="00FA3C97" w:rsidRPr="00832F7C">
        <w:t>degrees of freedom</w:t>
      </w:r>
      <w:r w:rsidR="00697E83" w:rsidRPr="00832F7C">
        <w:t xml:space="preserve"> </w:t>
      </w:r>
      <w:r w:rsidRPr="00832F7C">
        <w:t>taken from 15 studies. Vahey et al. (2015) report</w:t>
      </w:r>
      <w:r w:rsidR="00C315F6" w:rsidRPr="00832F7C">
        <w:t>ed</w:t>
      </w:r>
      <w:r w:rsidRPr="00832F7C">
        <w:t xml:space="preserve"> the individual effect sizes and degrees of freedom in</w:t>
      </w:r>
      <w:r w:rsidR="00697E83" w:rsidRPr="00832F7C">
        <w:t xml:space="preserve"> </w:t>
      </w:r>
      <w:r w:rsidR="0074265E">
        <w:t>the</w:t>
      </w:r>
      <w:r w:rsidR="00697E83" w:rsidRPr="00832F7C">
        <w:t xml:space="preserve"> supplementary materials</w:t>
      </w:r>
      <w:r w:rsidR="0074265E">
        <w:t xml:space="preserve"> for that article</w:t>
      </w:r>
      <w:r w:rsidR="00697E83" w:rsidRPr="00832F7C">
        <w:t xml:space="preserve">. I </w:t>
      </w:r>
      <w:r w:rsidR="00C315F6" w:rsidRPr="00832F7C">
        <w:t xml:space="preserve">therefore </w:t>
      </w:r>
      <w:r w:rsidR="00697E83" w:rsidRPr="00832F7C">
        <w:t xml:space="preserve">attempted to verify </w:t>
      </w:r>
      <w:r w:rsidR="00C315F6" w:rsidRPr="00832F7C">
        <w:t xml:space="preserve">the weighted averages </w:t>
      </w:r>
      <w:r w:rsidR="00697E83" w:rsidRPr="00832F7C">
        <w:t xml:space="preserve">by recalculating </w:t>
      </w:r>
      <w:r w:rsidR="00C315F6" w:rsidRPr="00832F7C">
        <w:t xml:space="preserve">them using </w:t>
      </w:r>
      <w:r w:rsidR="00026328">
        <w:t xml:space="preserve">the strategy reported in </w:t>
      </w:r>
      <w:r w:rsidR="005354BD" w:rsidRPr="00832F7C">
        <w:t xml:space="preserve">Vahey et </w:t>
      </w:r>
      <w:proofErr w:type="spellStart"/>
      <w:r w:rsidR="005354BD" w:rsidRPr="00832F7C">
        <w:t>al</w:t>
      </w:r>
      <w:r w:rsidR="00FA3C97" w:rsidRPr="00832F7C">
        <w:t>'s</w:t>
      </w:r>
      <w:proofErr w:type="spellEnd"/>
      <w:r w:rsidR="00FA3C97" w:rsidRPr="00832F7C">
        <w:t xml:space="preserve"> (2015) of weighting by degrees of freedom</w:t>
      </w:r>
      <w:r w:rsidR="00697E83" w:rsidRPr="00832F7C">
        <w:t xml:space="preserve">. </w:t>
      </w:r>
      <w:r w:rsidR="00B95E95" w:rsidRPr="00832F7C">
        <w:t xml:space="preserve">Results were not </w:t>
      </w:r>
      <w:r w:rsidR="00002C55" w:rsidRPr="00832F7C">
        <w:t xml:space="preserve">fully </w:t>
      </w:r>
      <w:r w:rsidR="00B95E95" w:rsidRPr="00832F7C">
        <w:t>computationally reproducible</w:t>
      </w:r>
      <w:r w:rsidR="0033061C" w:rsidRPr="00832F7C">
        <w:t xml:space="preserve">: </w:t>
      </w:r>
      <w:r w:rsidR="00B95E95" w:rsidRPr="00832F7C">
        <w:t xml:space="preserve">2 of 15 (13%) </w:t>
      </w:r>
      <w:r w:rsidR="0033061C" w:rsidRPr="00832F7C">
        <w:t xml:space="preserve">recomputed weighted averages differed from those reported in </w:t>
      </w:r>
      <w:r w:rsidR="005354BD" w:rsidRPr="00832F7C">
        <w:t>Vahey et al.’s</w:t>
      </w:r>
      <w:r w:rsidR="0033061C" w:rsidRPr="00832F7C">
        <w:t xml:space="preserve"> forest plot</w:t>
      </w:r>
      <w:r w:rsidR="00B95E95" w:rsidRPr="00832F7C">
        <w:t xml:space="preserve">. </w:t>
      </w:r>
      <w:r w:rsidR="008B53FE" w:rsidRPr="00832F7C">
        <w:t>On the one hand, t</w:t>
      </w:r>
      <w:r w:rsidR="00B95E95" w:rsidRPr="00832F7C">
        <w:t>he magnitudes of the differences were small (</w:t>
      </w:r>
      <m:oMath>
        <m:r>
          <m:rPr>
            <m:sty m:val="p"/>
          </m:rPr>
          <w:rPr>
            <w:rFonts w:ascii="Cambria Math" w:hAnsi="Cambria Math"/>
          </w:rPr>
          <m:t>Δ</m:t>
        </m:r>
        <m:acc>
          <m:accPr>
            <m:chr m:val="̅"/>
            <m:ctrlPr>
              <w:rPr>
                <w:rFonts w:ascii="Cambria Math" w:hAnsi="Cambria Math"/>
                <w:i/>
              </w:rPr>
            </m:ctrlPr>
          </m:accPr>
          <m:e>
            <m:r>
              <w:rPr>
                <w:rFonts w:ascii="Cambria Math" w:hAnsi="Cambria Math"/>
              </w:rPr>
              <m:t>r</m:t>
            </m:r>
          </m:e>
        </m:acc>
      </m:oMath>
      <w:r w:rsidR="00C73A84" w:rsidRPr="00832F7C">
        <w:t xml:space="preserve"> </w:t>
      </w:r>
      <w:r w:rsidR="00B95E95" w:rsidRPr="00832F7C">
        <w:t xml:space="preserve"> = -.02 and .05).</w:t>
      </w:r>
      <w:r w:rsidR="007C71A5" w:rsidRPr="00832F7C">
        <w:t xml:space="preserve"> </w:t>
      </w:r>
      <w:r w:rsidR="008B53FE" w:rsidRPr="00832F7C">
        <w:t xml:space="preserve">On the other hand, given the simplicity of these calculations, </w:t>
      </w:r>
      <w:r w:rsidR="001B7C79" w:rsidRPr="00832F7C">
        <w:t>the discrepancy is difficult to understand</w:t>
      </w:r>
      <w:r w:rsidR="008B53FE" w:rsidRPr="00832F7C">
        <w:t>.</w:t>
      </w:r>
      <w:r w:rsidR="00103A1D" w:rsidRPr="00832F7C">
        <w:t xml:space="preserve"> Both instances with discrepancies came from articles whose first authors were co-authors of Vahey et al. (2015)</w:t>
      </w:r>
      <w:r w:rsidR="00466231" w:rsidRPr="00832F7C">
        <w:t>, suggesting that they were not unfamiliar with the original studies.</w:t>
      </w:r>
    </w:p>
    <w:p w14:paraId="0DF609E9" w14:textId="77777777" w:rsidR="00B879CC" w:rsidRPr="00832F7C" w:rsidRDefault="00000000" w:rsidP="00D77465">
      <w:pPr>
        <w:pStyle w:val="Heading2"/>
      </w:pPr>
      <w:r w:rsidRPr="00832F7C">
        <w:t>I</w:t>
      </w:r>
      <w:r w:rsidR="00B95E95" w:rsidRPr="00832F7C">
        <w:t xml:space="preserve">ndividual effect sizes </w:t>
      </w:r>
    </w:p>
    <w:p w14:paraId="32E6DCAD" w14:textId="77777777" w:rsidR="002B663E" w:rsidRPr="00832F7C" w:rsidRDefault="00000000" w:rsidP="00D77465">
      <w:r w:rsidRPr="00832F7C">
        <w:t xml:space="preserve">Next, I attempted to retrace the next step involved in the original analysis: the extraction of effect sizes from original articles. This involves (a) the </w:t>
      </w:r>
      <w:r w:rsidR="00835CAA" w:rsidRPr="00832F7C">
        <w:t xml:space="preserve">correct </w:t>
      </w:r>
      <w:r w:rsidRPr="00832F7C">
        <w:t>application of inclusion criteria</w:t>
      </w:r>
      <w:r w:rsidR="0002030D" w:rsidRPr="00832F7C">
        <w:t xml:space="preserve"> in terms of correct inclusions and the absence of incorrect omissions</w:t>
      </w:r>
      <w:r w:rsidRPr="00832F7C">
        <w:t>, and (</w:t>
      </w:r>
      <w:r w:rsidR="00835CAA" w:rsidRPr="00832F7C">
        <w:t>b</w:t>
      </w:r>
      <w:r w:rsidRPr="00832F7C">
        <w:t>) the extraction and conversion of effect sizes.</w:t>
      </w:r>
    </w:p>
    <w:p w14:paraId="5DACB90E" w14:textId="77777777" w:rsidR="00A64263" w:rsidRPr="00832F7C" w:rsidRDefault="00000000" w:rsidP="00974D7B">
      <w:pPr>
        <w:pStyle w:val="Heading3"/>
      </w:pPr>
      <w:r w:rsidRPr="00832F7C">
        <w:t>Assessment of incorrect inclusion</w:t>
      </w:r>
      <w:r w:rsidR="007E6922" w:rsidRPr="00832F7C">
        <w:t>s</w:t>
      </w:r>
    </w:p>
    <w:p w14:paraId="4644309E" w14:textId="30BF84CB" w:rsidR="00A42C2C" w:rsidRPr="00832F7C" w:rsidRDefault="00000000" w:rsidP="00D77465">
      <w:r w:rsidRPr="00832F7C">
        <w:t xml:space="preserve">Lakens et al. (2016) </w:t>
      </w:r>
      <w:r w:rsidR="00526746" w:rsidRPr="00832F7C">
        <w:t>argued that</w:t>
      </w:r>
      <w:r w:rsidRPr="00832F7C">
        <w:t xml:space="preserve"> </w:t>
      </w:r>
      <w:r w:rsidR="00526746" w:rsidRPr="00832F7C">
        <w:t>“</w:t>
      </w:r>
      <w:r w:rsidRPr="00832F7C">
        <w:t>incorrect inclusion</w:t>
      </w:r>
      <w:r w:rsidR="00526746" w:rsidRPr="00832F7C">
        <w:t>”</w:t>
      </w:r>
      <w:r w:rsidRPr="00832F7C">
        <w:t xml:space="preserve"> </w:t>
      </w:r>
      <w:r w:rsidR="00526746" w:rsidRPr="00832F7C">
        <w:t xml:space="preserve">is </w:t>
      </w:r>
      <w:r w:rsidRPr="00832F7C">
        <w:t>a common type</w:t>
      </w:r>
      <w:r w:rsidR="005C7269" w:rsidRPr="00832F7C">
        <w:t xml:space="preserve"> </w:t>
      </w:r>
      <w:r w:rsidRPr="00832F7C">
        <w:t>of error in meta-analy</w:t>
      </w:r>
      <w:r w:rsidR="004B19F2" w:rsidRPr="00832F7C">
        <w:t>sis</w:t>
      </w:r>
      <w:r w:rsidR="002E34D5" w:rsidRPr="00832F7C">
        <w:t xml:space="preserve">. That is, the </w:t>
      </w:r>
      <w:r w:rsidR="00605CE0" w:rsidRPr="00832F7C">
        <w:t xml:space="preserve">inclusion of effect sizes </w:t>
      </w:r>
      <w:r w:rsidR="005E6648" w:rsidRPr="00832F7C">
        <w:t xml:space="preserve">that do not meet the inclusion criteria. </w:t>
      </w:r>
      <w:r w:rsidR="005E6648" w:rsidRPr="00832F7C">
        <w:lastRenderedPageBreak/>
        <w:t xml:space="preserve">Vahey et al. (2015) stated that the purpose of </w:t>
      </w:r>
      <w:r w:rsidR="00A1578B">
        <w:t>the</w:t>
      </w:r>
      <w:r w:rsidR="005E6648" w:rsidRPr="00832F7C">
        <w:t xml:space="preserve"> meta-analysis was to </w:t>
      </w:r>
      <w:r w:rsidR="005E6648" w:rsidRPr="00832F7C">
        <w:rPr>
          <w:i/>
          <w:iCs/>
        </w:rPr>
        <w:t>“quantify how much IRAP effects from clinically relevant responding co-vary with corresponding clinically relevant criterion variables"</w:t>
      </w:r>
      <w:r w:rsidR="005E6648" w:rsidRPr="00832F7C">
        <w:t xml:space="preserve"> (p.60). Their inclusion criterion was that </w:t>
      </w:r>
      <w:r w:rsidR="005E6648" w:rsidRPr="00832F7C">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832F7C">
        <w:t>(p.60).</w:t>
      </w:r>
      <w:r w:rsidR="0035720E" w:rsidRPr="00832F7C">
        <w:t xml:space="preserve"> </w:t>
      </w:r>
      <w:r w:rsidR="00971ED4" w:rsidRPr="00832F7C">
        <w:t xml:space="preserve">Unfortunately, neither the original article nor its supplementary materials provided data for each extracted effect size regarding which specific </w:t>
      </w:r>
      <w:r w:rsidR="00A22D26" w:rsidRPr="00832F7C">
        <w:t>clinical condition was targeted by the IRAP and the criterion variable</w:t>
      </w:r>
      <w:r w:rsidR="00971ED4" w:rsidRPr="00832F7C">
        <w:t xml:space="preserve">, or </w:t>
      </w:r>
      <w:r w:rsidR="00A22D26" w:rsidRPr="00832F7C">
        <w:t xml:space="preserve">the </w:t>
      </w:r>
      <w:r w:rsidR="00271DC8" w:rsidRPr="00832F7C">
        <w:t>“</w:t>
      </w:r>
      <w:r w:rsidR="00A22D26" w:rsidRPr="00832F7C">
        <w:t>specific empirical literature</w:t>
      </w:r>
      <w:r w:rsidR="00271DC8" w:rsidRPr="00832F7C">
        <w:t>”</w:t>
      </w:r>
      <w:r w:rsidR="00A22D26" w:rsidRPr="00832F7C">
        <w:t xml:space="preserve"> that Vahey et al. (2015) used to justify the inclusion of each criterion. </w:t>
      </w:r>
    </w:p>
    <w:p w14:paraId="629BC290" w14:textId="4D3AD7D2" w:rsidR="00454184" w:rsidRPr="00832F7C" w:rsidRDefault="00000000" w:rsidP="00D77465">
      <w:r w:rsidRPr="00832F7C">
        <w:t xml:space="preserve">Nonetheless, </w:t>
      </w:r>
      <w:r w:rsidR="00A1578B">
        <w:t xml:space="preserve">the </w:t>
      </w:r>
      <w:r w:rsidR="0035720E" w:rsidRPr="00832F7C">
        <w:t xml:space="preserve">inclusion criterion </w:t>
      </w:r>
      <w:r w:rsidR="00A1578B">
        <w:t xml:space="preserve">stated in </w:t>
      </w:r>
      <w:r w:rsidR="00A1578B" w:rsidRPr="00832F7C">
        <w:t>Vahey et al</w:t>
      </w:r>
      <w:r w:rsidR="00A1578B">
        <w:t>.</w:t>
      </w:r>
      <w:r w:rsidR="00A1578B" w:rsidRPr="00832F7C">
        <w:t xml:space="preserve"> (2015) </w:t>
      </w:r>
      <w:r w:rsidR="0035720E" w:rsidRPr="00832F7C">
        <w:t>require that effects referred to covariation between an IRAP and an external clinically relevant criterion variable</w:t>
      </w:r>
      <w:r w:rsidR="003A7B3D" w:rsidRPr="00832F7C">
        <w:t xml:space="preserve">, consistent with the </w:t>
      </w:r>
      <w:r w:rsidR="0035720E" w:rsidRPr="00832F7C">
        <w:t xml:space="preserve">APA Dictionary of Psychology </w:t>
      </w:r>
      <w:r w:rsidR="003A7B3D" w:rsidRPr="00832F7C">
        <w:t xml:space="preserve">definition of </w:t>
      </w:r>
      <w:r w:rsidR="0035720E" w:rsidRPr="00832F7C">
        <w:t xml:space="preserve">criterion validity </w:t>
      </w:r>
      <w:r w:rsidR="00B45502" w:rsidRPr="00832F7C">
        <w:fldChar w:fldCharType="begin"/>
      </w:r>
      <w:r w:rsidR="00B45502" w:rsidRPr="00832F7C">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832F7C">
        <w:fldChar w:fldCharType="separate"/>
      </w:r>
      <w:r w:rsidR="00B45502" w:rsidRPr="00832F7C">
        <w:rPr>
          <w:noProof/>
        </w:rPr>
        <w:t>(American Psychological Association, 2024)</w:t>
      </w:r>
      <w:r w:rsidR="00B45502" w:rsidRPr="00832F7C">
        <w:fldChar w:fldCharType="end"/>
      </w:r>
      <w:r w:rsidR="0035720E" w:rsidRPr="00832F7C">
        <w:t>.</w:t>
      </w:r>
      <w:r w:rsidR="00A42C2C" w:rsidRPr="00832F7C">
        <w:t xml:space="preserve"> </w:t>
      </w:r>
      <w:r w:rsidRPr="00832F7C">
        <w:t xml:space="preserve">Using the descriptions in </w:t>
      </w:r>
      <w:r w:rsidR="00A42C2C" w:rsidRPr="00832F7C">
        <w:t>Vahey et al.’s (2015)</w:t>
      </w:r>
      <w:r w:rsidRPr="00832F7C">
        <w:t xml:space="preserve"> supplementary materials</w:t>
      </w:r>
      <w:r w:rsidR="002506A8" w:rsidRPr="00832F7C">
        <w:t>,</w:t>
      </w:r>
      <w:r w:rsidRPr="00832F7C">
        <w:t xml:space="preserve"> and with reference to the original papers, the individual effect sizes were </w:t>
      </w:r>
      <w:r w:rsidR="0073469D" w:rsidRPr="00832F7C">
        <w:t>re-evaluated</w:t>
      </w:r>
      <w:r w:rsidRPr="00832F7C">
        <w:t xml:space="preserve"> against </w:t>
      </w:r>
      <w:r w:rsidR="006017E5">
        <w:t>the original</w:t>
      </w:r>
      <w:r w:rsidRPr="00832F7C">
        <w:t xml:space="preserve"> inclusion criterion of </w:t>
      </w:r>
      <w:r w:rsidR="00C41C74" w:rsidRPr="00832F7C">
        <w:t xml:space="preserve">covariance between an </w:t>
      </w:r>
      <w:r w:rsidRPr="00832F7C">
        <w:t xml:space="preserve">IRAP and a second external variable. </w:t>
      </w:r>
      <w:r w:rsidR="005E599F" w:rsidRPr="00832F7C">
        <w:t xml:space="preserve">While the clinical relevance of specific effects might be more subjective, the involvement of a criterion variable other than the IRAP can be assessed objectively. Worryingly, </w:t>
      </w:r>
      <w:r w:rsidR="004666D2" w:rsidRPr="00832F7C">
        <w:t>23 of the 56 effect sizes (41%)</w:t>
      </w:r>
      <w:r w:rsidR="005E599F" w:rsidRPr="00832F7C">
        <w:t xml:space="preserve"> </w:t>
      </w:r>
      <w:r w:rsidR="00537B53">
        <w:t xml:space="preserve">included </w:t>
      </w:r>
      <w:r w:rsidR="005E599F" w:rsidRPr="00832F7C">
        <w:t>Vahey et al. (2015)</w:t>
      </w:r>
      <w:r w:rsidR="004666D2" w:rsidRPr="00832F7C">
        <w:t xml:space="preserve"> were found to involve no external variable (i.e., they </w:t>
      </w:r>
      <w:r w:rsidR="005E599F" w:rsidRPr="00832F7C">
        <w:t xml:space="preserve">refer only to </w:t>
      </w:r>
      <w:r w:rsidR="004666D2" w:rsidRPr="00832F7C">
        <w:t>a reaction time differential between the IRAP block types</w:t>
      </w:r>
      <w:r w:rsidR="005E599F" w:rsidRPr="00832F7C">
        <w:t xml:space="preserve">, i.e. from a one-sample </w:t>
      </w:r>
      <w:r w:rsidR="005E599F" w:rsidRPr="00832F7C">
        <w:rPr>
          <w:i/>
          <w:iCs/>
        </w:rPr>
        <w:t>t</w:t>
      </w:r>
      <w:r w:rsidR="005E599F" w:rsidRPr="00832F7C">
        <w:t>-test</w:t>
      </w:r>
      <w:r w:rsidR="004666D2" w:rsidRPr="00832F7C">
        <w:t>)</w:t>
      </w:r>
      <w:r w:rsidR="00C41C74" w:rsidRPr="00832F7C">
        <w:t xml:space="preserve">, and were therefore not suitable to be included in a meta-analysis of the IRAP’s criterion validity. </w:t>
      </w:r>
      <w:r w:rsidR="003E7022" w:rsidRPr="00832F7C">
        <w:t xml:space="preserve">A large </w:t>
      </w:r>
      <w:r w:rsidR="006F5749">
        <w:t>amount</w:t>
      </w:r>
      <w:r w:rsidR="003E7022" w:rsidRPr="00832F7C">
        <w:t xml:space="preserve"> of incorrect inclusion error was therefore detected in </w:t>
      </w:r>
      <w:r w:rsidR="006F5749">
        <w:t xml:space="preserve">the effect sizes included in </w:t>
      </w:r>
      <w:r w:rsidR="003E7022" w:rsidRPr="00832F7C">
        <w:t>Vahey et al. (2015).</w:t>
      </w:r>
    </w:p>
    <w:p w14:paraId="35693575" w14:textId="1F64F08B" w:rsidR="00D154BD" w:rsidRPr="00832F7C" w:rsidRDefault="00D154BD" w:rsidP="00D77465">
      <w:r w:rsidRPr="00832F7C">
        <w:lastRenderedPageBreak/>
        <w:t>An exploratory, non-preregistered Welch</w:t>
      </w:r>
      <w:r w:rsidR="00C42A74">
        <w:t>’</w:t>
      </w:r>
      <w:r w:rsidRPr="00832F7C">
        <w:t xml:space="preserve">s independent </w:t>
      </w:r>
      <w:r w:rsidRPr="00832F7C">
        <w:rPr>
          <w:i/>
          <w:iCs/>
        </w:rPr>
        <w:t>t</w:t>
      </w:r>
      <w:r w:rsidRPr="00832F7C">
        <w:t xml:space="preserve">-test was used to test for differences in means between the individual effect sizes (on the </w:t>
      </w:r>
      <w:r w:rsidRPr="00832F7C">
        <w:rPr>
          <w:i/>
          <w:iCs/>
        </w:rPr>
        <w:t>r</w:t>
      </w:r>
      <w:r w:rsidRPr="00832F7C">
        <w:t xml:space="preserve"> scale) reported in the </w:t>
      </w:r>
      <w:r w:rsidR="001B053C">
        <w:t xml:space="preserve">supplementary materials for </w:t>
      </w:r>
      <w:r w:rsidRPr="00832F7C">
        <w:t xml:space="preserve">Vahey et al. (2015). Erroneously included effect sizes that did not actually involve a criterion variable were found to be larger (mean </w:t>
      </w:r>
      <w:r w:rsidRPr="00832F7C">
        <w:rPr>
          <w:i/>
          <w:iCs/>
        </w:rPr>
        <w:t>r</w:t>
      </w:r>
      <w:r w:rsidRPr="00832F7C">
        <w:t xml:space="preserve"> = .59) than those that did (mean </w:t>
      </w:r>
      <w:r w:rsidRPr="00832F7C">
        <w:rPr>
          <w:i/>
          <w:iCs/>
        </w:rPr>
        <w:t>r</w:t>
      </w:r>
      <w:r w:rsidRPr="00832F7C">
        <w:t xml:space="preserve"> = .41), </w:t>
      </w:r>
      <w:proofErr w:type="gramStart"/>
      <w:r w:rsidRPr="00832F7C">
        <w:rPr>
          <w:i/>
          <w:iCs/>
        </w:rPr>
        <w:t>t</w:t>
      </w:r>
      <w:r w:rsidRPr="00832F7C">
        <w:t>(</w:t>
      </w:r>
      <w:proofErr w:type="gramEnd"/>
      <w:r w:rsidRPr="00832F7C">
        <w:t xml:space="preserve">41.14) = 4.70, </w:t>
      </w:r>
      <w:r w:rsidRPr="00832F7C">
        <w:rPr>
          <w:i/>
          <w:iCs/>
        </w:rPr>
        <w:t>p</w:t>
      </w:r>
      <w:r w:rsidRPr="00832F7C">
        <w:t xml:space="preserve"> = .00003.</w:t>
      </w:r>
      <w:r w:rsidR="003B4E92" w:rsidRPr="00832F7C">
        <w:t xml:space="preserve"> As such, the inappropriate inclusion of these non-criterion effect sizes served to include larger effect sizes.</w:t>
      </w:r>
    </w:p>
    <w:p w14:paraId="7948BFF3" w14:textId="049E5C28" w:rsidR="00E95A1C" w:rsidRPr="00832F7C" w:rsidRDefault="00404F5B" w:rsidP="00D77465">
      <w:pPr>
        <w:rPr>
          <w:lang w:val="en-IE"/>
        </w:rPr>
      </w:pPr>
      <w:r w:rsidRPr="00832F7C">
        <w:t>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w:t>
      </w:r>
      <w:r w:rsidR="00002FEB">
        <w:t>d</w:t>
      </w:r>
      <w:r w:rsidRPr="00832F7C">
        <w:t xml:space="preserve"> on page 60: </w:t>
      </w:r>
      <w:r w:rsidRPr="00832F7C">
        <w:rPr>
          <w:i/>
          <w:iCs/>
        </w:rPr>
        <w:t xml:space="preserve">“To be included within the current meta-analysis a given statistical effect must have described the co-variation of an IRAP effect with a corresponding </w:t>
      </w:r>
      <w:proofErr w:type="gramStart"/>
      <w:r w:rsidRPr="00832F7C">
        <w:rPr>
          <w:i/>
          <w:iCs/>
        </w:rPr>
        <w:t>clinically-focused</w:t>
      </w:r>
      <w:proofErr w:type="gramEnd"/>
      <w:r w:rsidRPr="00832F7C">
        <w:rPr>
          <w:i/>
          <w:iCs/>
        </w:rPr>
        <w:t xml:space="preserve"> criterion variable. To qualify as </w:t>
      </w:r>
      <w:proofErr w:type="gramStart"/>
      <w:r w:rsidRPr="00832F7C">
        <w:rPr>
          <w:i/>
          <w:iCs/>
        </w:rPr>
        <w:t>clinically-focused</w:t>
      </w:r>
      <w:proofErr w:type="gramEnd"/>
      <w:r w:rsidRPr="00832F7C">
        <w:rPr>
          <w:i/>
          <w:iCs/>
        </w:rPr>
        <w:t xml:space="preserve">, the IRAP and criterion variables must have been deemed to target some aspect of a condition included in a major psychiatric diagnostic scheme such as the Diagnostic and Statistical Manual of Mental Disorders (DSM-5, 2013).” </w:t>
      </w:r>
      <w:r w:rsidRPr="00832F7C">
        <w:t>Following, this definition, it is unclear how effect</w:t>
      </w:r>
      <w:r w:rsidR="008853DB" w:rsidRPr="00832F7C">
        <w:t>s</w:t>
      </w:r>
      <w:r w:rsidRPr="00832F7C">
        <w:t xml:space="preserve"> such as </w:t>
      </w:r>
      <w:r w:rsidR="008853DB" w:rsidRPr="00832F7C">
        <w:t xml:space="preserve">Vahey et al.’s </w:t>
      </w:r>
      <w:r w:rsidR="008853DB" w:rsidRPr="00832F7C">
        <w:fldChar w:fldCharType="begin"/>
      </w:r>
      <w:r w:rsidR="008853DB" w:rsidRPr="00832F7C">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rsidRPr="00832F7C">
        <w:fldChar w:fldCharType="separate"/>
      </w:r>
      <w:r w:rsidR="008853DB" w:rsidRPr="00832F7C">
        <w:rPr>
          <w:noProof/>
        </w:rPr>
        <w:t>(2009)</w:t>
      </w:r>
      <w:r w:rsidR="008853DB" w:rsidRPr="00832F7C">
        <w:fldChar w:fldCharType="end"/>
      </w:r>
      <w:r w:rsidR="008853DB" w:rsidRPr="00832F7C">
        <w:t xml:space="preserve"> </w:t>
      </w:r>
      <w:r w:rsidRPr="00832F7C">
        <w:t>differences on a self-esteem IRAP between “</w:t>
      </w:r>
      <w:r w:rsidRPr="00832F7C">
        <w:rPr>
          <w:lang w:val="en-IE"/>
        </w:rPr>
        <w:t xml:space="preserve">mainstream prisoners versus undergraduates and open area prisoners” (from their Supplementary Materials) were clearly linked to a psychiatric condition. First, being a prisoner is not a psychiatric condition. Second, </w:t>
      </w:r>
      <w:r w:rsidR="00096798" w:rsidRPr="00832F7C">
        <w:rPr>
          <w:lang w:val="en-IE"/>
        </w:rPr>
        <w:t xml:space="preserve">to clarify Vahey et al.’s (2015) own description: </w:t>
      </w:r>
      <w:r w:rsidRPr="00832F7C">
        <w:rPr>
          <w:lang w:val="en-IE"/>
        </w:rPr>
        <w:t xml:space="preserve">the extracted effect does not refer to differences between students and prisoners, but a three way ANOVA main effect driven by (a) mainstream prisoners </w:t>
      </w:r>
      <w:r w:rsidR="00EE30BA">
        <w:rPr>
          <w:lang w:val="en-IE"/>
        </w:rPr>
        <w:t xml:space="preserve">on the one hand </w:t>
      </w:r>
      <w:r w:rsidRPr="00832F7C">
        <w:rPr>
          <w:lang w:val="en-IE"/>
        </w:rPr>
        <w:t>vs. (b) undergraduates and open area prisoners</w:t>
      </w:r>
      <w:r w:rsidR="00EE30BA">
        <w:rPr>
          <w:lang w:val="en-IE"/>
        </w:rPr>
        <w:t xml:space="preserve"> on the other</w:t>
      </w:r>
      <w:r w:rsidR="00096798" w:rsidRPr="00832F7C">
        <w:rPr>
          <w:lang w:val="en-IE"/>
        </w:rPr>
        <w:t>. Vahey et al. (2009) provided a</w:t>
      </w:r>
      <w:r w:rsidR="00584F09">
        <w:rPr>
          <w:lang w:val="en-IE"/>
        </w:rPr>
        <w:t xml:space="preserve"> post hoc</w:t>
      </w:r>
      <w:r w:rsidR="00096798" w:rsidRPr="00832F7C">
        <w:rPr>
          <w:lang w:val="en-IE"/>
        </w:rPr>
        <w:t xml:space="preserve"> explanation for these effects in terms of the differential amenities provided to the different prisoner groups, i.e., their explanation for this effect is not rooted in any psychiatric condition</w:t>
      </w:r>
      <w:r w:rsidR="000D31B3">
        <w:rPr>
          <w:lang w:val="en-IE"/>
        </w:rPr>
        <w:t>, contrary to the inclusion criteria.</w:t>
      </w:r>
    </w:p>
    <w:p w14:paraId="358CDA46" w14:textId="77777777" w:rsidR="00B923AB" w:rsidRPr="00832F7C" w:rsidRDefault="00000000" w:rsidP="00974D7B">
      <w:pPr>
        <w:pStyle w:val="Heading3"/>
      </w:pPr>
      <w:r w:rsidRPr="00832F7C">
        <w:lastRenderedPageBreak/>
        <w:t>Assessment of incorrect exclusions</w:t>
      </w:r>
    </w:p>
    <w:p w14:paraId="422EC54C" w14:textId="5BA44828" w:rsidR="004949E1" w:rsidRDefault="00000000" w:rsidP="00D77465">
      <w:r w:rsidRPr="00832F7C">
        <w:t xml:space="preserve">In addition to incorrect inclusions, it is equally plausible that effect sizes that </w:t>
      </w:r>
      <w:r w:rsidR="00D52134" w:rsidRPr="00832F7C">
        <w:t xml:space="preserve">would have </w:t>
      </w:r>
      <w:r w:rsidRPr="00832F7C">
        <w:t xml:space="preserve">met inclusion criteria were erroneously not included. </w:t>
      </w:r>
      <w:r w:rsidR="001B6334" w:rsidRPr="00832F7C">
        <w:t>I therefore re-</w:t>
      </w:r>
      <w:r w:rsidR="00F17E87" w:rsidRPr="00832F7C">
        <w:t>e</w:t>
      </w:r>
      <w:r w:rsidR="001B6334" w:rsidRPr="00832F7C">
        <w:t xml:space="preserve">xamined </w:t>
      </w:r>
      <w:r w:rsidRPr="00832F7C">
        <w:t xml:space="preserve">the same 15 articles </w:t>
      </w:r>
      <w:r w:rsidR="00D64CBF">
        <w:t>included in</w:t>
      </w:r>
      <w:r w:rsidRPr="00832F7C">
        <w:t xml:space="preserve"> Vahey et al. (2015)</w:t>
      </w:r>
      <w:r w:rsidR="001B6334" w:rsidRPr="00832F7C">
        <w:t xml:space="preserve"> and searched for other effect sizes that met </w:t>
      </w:r>
      <w:r w:rsidR="00D64CBF">
        <w:t>the original</w:t>
      </w:r>
      <w:r w:rsidR="001B6334" w:rsidRPr="00832F7C">
        <w:t xml:space="preserve"> inclusion criteria</w:t>
      </w:r>
      <w:r w:rsidRPr="00832F7C">
        <w:t xml:space="preserve">. </w:t>
      </w:r>
      <w:r w:rsidR="00D64CBF">
        <w:t xml:space="preserve">Note that this does not represent an endorsement of those criteria, it was merely an assessment of the correct application of the original criteria. </w:t>
      </w:r>
      <w:r w:rsidR="004949E1">
        <w:t>There data were later used to conduct a new meta-analysis</w:t>
      </w:r>
      <w:r w:rsidR="004949E1">
        <w:t>. A</w:t>
      </w:r>
      <w:r w:rsidR="004949E1">
        <w:t>s I discuss later</w:t>
      </w:r>
      <w:r w:rsidR="004949E1">
        <w:t xml:space="preserve">, this too does not represent an endorsement of its results (e.g., </w:t>
      </w:r>
      <w:r w:rsidR="00AD3BBE">
        <w:t>as</w:t>
      </w:r>
      <w:r w:rsidR="004949E1">
        <w:t xml:space="preserve"> a valid estimate of the IRAP’s criterion validity), but rather it was conducted to illustrate the compound impact of the errors on the </w:t>
      </w:r>
      <w:proofErr w:type="gramStart"/>
      <w:r w:rsidR="004949E1">
        <w:t>final results</w:t>
      </w:r>
      <w:proofErr w:type="gramEnd"/>
      <w:r w:rsidR="004949E1">
        <w:t xml:space="preserve"> reported in Vahey et al. (2015).</w:t>
      </w:r>
    </w:p>
    <w:p w14:paraId="779E82BF" w14:textId="74F6FC02" w:rsidR="00FC6F4E" w:rsidRPr="00832F7C" w:rsidRDefault="00000000" w:rsidP="00D77465">
      <w:r w:rsidRPr="00832F7C">
        <w:t>Following</w:t>
      </w:r>
      <w:r w:rsidR="007F4BEB">
        <w:t xml:space="preserve"> the method described in</w:t>
      </w:r>
      <w:r w:rsidRPr="00832F7C">
        <w:t xml:space="preserve"> Vahey et al. (2015), extractions were not limited to effect sizes reported in the articles, but also considered ones implied by the reported analyses</w:t>
      </w:r>
      <w:r w:rsidR="009D1C09" w:rsidRPr="00832F7C">
        <w:t xml:space="preserve"> (e.g., correlations where only the statistically significant estimates were reported)</w:t>
      </w:r>
      <w:r w:rsidRPr="00832F7C">
        <w:t xml:space="preserve">. Where necessary, </w:t>
      </w:r>
      <w:r w:rsidR="00DC50FB" w:rsidRPr="00832F7C">
        <w:t xml:space="preserve">I contacted the authors of the individual articles </w:t>
      </w:r>
      <w:r w:rsidRPr="00832F7C">
        <w:t xml:space="preserve">to obtain additional </w:t>
      </w:r>
      <w:r w:rsidR="00DC50FB" w:rsidRPr="00832F7C">
        <w:t>estimates or data</w:t>
      </w:r>
      <w:r w:rsidRPr="00832F7C">
        <w:t>. For example, if non-significant correlations were reported as merely “other correlations were non-significant”, these effect sizes were obtained where possible. Two independent raters rated each effect for clinical relevance using Vahey</w:t>
      </w:r>
      <w:r w:rsidR="00D0309F" w:rsidRPr="00832F7C">
        <w:t xml:space="preserve"> et al.</w:t>
      </w:r>
      <w:r w:rsidR="00312C6B" w:rsidRPr="00832F7C">
        <w:t>’</w:t>
      </w:r>
      <w:r w:rsidR="00D0309F" w:rsidRPr="00832F7C">
        <w:t>s (2015)</w:t>
      </w:r>
      <w:r w:rsidRPr="00832F7C">
        <w:t xml:space="preserve"> </w:t>
      </w:r>
      <w:r w:rsidR="00C82775" w:rsidRPr="00832F7C">
        <w:t>criteria</w:t>
      </w:r>
      <w:r w:rsidRPr="00832F7C">
        <w:t>. Agreement was found in 90% of cases (Cohen’s Kappa = 0.8</w:t>
      </w:r>
      <w:r w:rsidR="002D29C7" w:rsidRPr="00832F7C">
        <w:t>7</w:t>
      </w:r>
      <w:r w:rsidRPr="00832F7C">
        <w:t xml:space="preserve">, </w:t>
      </w:r>
      <w:r w:rsidRPr="00832F7C">
        <w:rPr>
          <w:i/>
        </w:rPr>
        <w:t>p</w:t>
      </w:r>
      <w:r w:rsidRPr="00832F7C">
        <w:t xml:space="preserve"> &lt; .001). As in Vahey et al. (2015), if either rater originally rated the effect as clinically relevant then it was included. </w:t>
      </w:r>
    </w:p>
    <w:p w14:paraId="288F9D94" w14:textId="16BAE711" w:rsidR="00625E20" w:rsidRPr="007756AB" w:rsidRDefault="00000000" w:rsidP="007756AB">
      <w:r w:rsidRPr="00832F7C">
        <w:t xml:space="preserve">308 effect sizes were originally extracted. 53 were excluded as non-criterion effect sizes. 99 more were excluded as non-clinically relevant. This left 156 effect sizes for meta-analysis, compared to </w:t>
      </w:r>
      <w:r w:rsidR="00786A29" w:rsidRPr="00832F7C">
        <w:t xml:space="preserve">the 33 included </w:t>
      </w:r>
      <w:r w:rsidR="00517647">
        <w:t>in</w:t>
      </w:r>
      <w:r w:rsidR="00786A29" w:rsidRPr="00832F7C">
        <w:t xml:space="preserve"> </w:t>
      </w:r>
      <w:r w:rsidRPr="00832F7C">
        <w:t>Vahey et al. (2015)</w:t>
      </w:r>
      <w:r w:rsidR="00786A29" w:rsidRPr="00832F7C">
        <w:t xml:space="preserve">, </w:t>
      </w:r>
      <w:r w:rsidR="007A42D1" w:rsidRPr="00832F7C">
        <w:t xml:space="preserve">after </w:t>
      </w:r>
      <w:r w:rsidR="00786A29" w:rsidRPr="00832F7C">
        <w:t xml:space="preserve">I </w:t>
      </w:r>
      <w:r w:rsidR="007A42D1" w:rsidRPr="00832F7C">
        <w:t>exclud</w:t>
      </w:r>
      <w:r w:rsidR="00786A29" w:rsidRPr="00832F7C">
        <w:t xml:space="preserve">ed the </w:t>
      </w:r>
      <w:r w:rsidR="007A42D1" w:rsidRPr="00832F7C">
        <w:t>23 non-criterion effects</w:t>
      </w:r>
      <w:r w:rsidR="00786A29" w:rsidRPr="00832F7C">
        <w:t xml:space="preserve"> (</w:t>
      </w:r>
      <w:r w:rsidR="007A42D1" w:rsidRPr="00832F7C">
        <w:t>as discussed previously)</w:t>
      </w:r>
      <w:r w:rsidRPr="00832F7C">
        <w:t xml:space="preserve">. </w:t>
      </w:r>
      <w:r w:rsidR="00786A29" w:rsidRPr="00832F7C">
        <w:t xml:space="preserve">This suggests that Vahey may have failed to include 85.3% of the effect sizes that met their inclusion criteria, representing a </w:t>
      </w:r>
      <w:r w:rsidR="00646821" w:rsidRPr="00832F7C">
        <w:t xml:space="preserve">potentially </w:t>
      </w:r>
      <w:r w:rsidR="00786A29" w:rsidRPr="00832F7C">
        <w:t xml:space="preserve">serious source of incorrect non-inclusion error. </w:t>
      </w:r>
      <w:r w:rsidRPr="00832F7C">
        <w:t xml:space="preserve">Note that these </w:t>
      </w:r>
      <w:r w:rsidR="00AA2718" w:rsidRPr="00832F7C">
        <w:t>extractions</w:t>
      </w:r>
      <w:r w:rsidRPr="00832F7C">
        <w:t xml:space="preserve"> </w:t>
      </w:r>
      <w:r w:rsidR="00517647">
        <w:t>were</w:t>
      </w:r>
      <w:r w:rsidRPr="00832F7C">
        <w:t xml:space="preserve"> not </w:t>
      </w:r>
      <w:r w:rsidRPr="00832F7C">
        <w:lastRenderedPageBreak/>
        <w:t xml:space="preserve">exhaustive: </w:t>
      </w:r>
      <w:r w:rsidR="00933E13">
        <w:t>a small number of</w:t>
      </w:r>
      <w:r w:rsidRPr="00832F7C">
        <w:t xml:space="preserve"> authors of original studies who </w:t>
      </w:r>
      <w:r w:rsidR="00A84EE3" w:rsidRPr="00832F7C">
        <w:t xml:space="preserve">were reported as having </w:t>
      </w:r>
      <w:r w:rsidRPr="00832F7C">
        <w:t xml:space="preserve">replied to Vahey </w:t>
      </w:r>
      <w:r w:rsidR="00A84EE3" w:rsidRPr="00832F7C">
        <w:t>et al.’s (2015)</w:t>
      </w:r>
      <w:r w:rsidRPr="00832F7C">
        <w:t xml:space="preserve"> requests for additional information did not reply to </w:t>
      </w:r>
      <w:r w:rsidR="007D03FD" w:rsidRPr="00832F7C">
        <w:t>my requests, perhaps due to the passage of time the ‘half-life’ of data</w:t>
      </w:r>
      <w:r w:rsidRPr="00832F7C">
        <w:t xml:space="preserve">. These effect sizes were converted to Pearson’s </w:t>
      </w:r>
      <w:r w:rsidRPr="00832F7C">
        <w:rPr>
          <w:i/>
          <w:iCs/>
        </w:rPr>
        <w:t>r</w:t>
      </w:r>
      <w:r w:rsidRPr="00832F7C">
        <w:t xml:space="preserve"> for </w:t>
      </w:r>
      <w:r w:rsidR="00793532" w:rsidRPr="00832F7C">
        <w:t xml:space="preserve">use in a new </w:t>
      </w:r>
      <w:r w:rsidRPr="00832F7C">
        <w:t>meta-analysis</w:t>
      </w:r>
      <w:r w:rsidR="00C944BA" w:rsidRPr="00832F7C">
        <w:t xml:space="preserve"> that I discuss later</w:t>
      </w:r>
      <w:r w:rsidRPr="00832F7C">
        <w:t xml:space="preserve">. The specific methods of conversion are </w:t>
      </w:r>
      <w:r w:rsidR="005D27AC" w:rsidRPr="00832F7C">
        <w:t>documented</w:t>
      </w:r>
      <w:r w:rsidRPr="00832F7C">
        <w:t xml:space="preserve"> in the supplementary materials. </w:t>
      </w:r>
    </w:p>
    <w:p w14:paraId="194A14D2" w14:textId="4FB0F6F1" w:rsidR="00D85790" w:rsidRPr="00832F7C" w:rsidRDefault="00CA1945" w:rsidP="00974D7B">
      <w:pPr>
        <w:pStyle w:val="Heading3"/>
      </w:pPr>
      <w:r w:rsidRPr="00832F7C">
        <w:t>Selection bias</w:t>
      </w:r>
    </w:p>
    <w:p w14:paraId="0F55FA89" w14:textId="725AA779" w:rsidR="009C30F9" w:rsidRPr="00832F7C" w:rsidRDefault="00D85790" w:rsidP="00D77465">
      <w:r w:rsidRPr="00832F7C">
        <w:t xml:space="preserve">The high rate of inappropriate inclusions and inappropriate non-inclusions raises questions about whether these choices were random or suffered from </w:t>
      </w:r>
      <w:r w:rsidR="00FA5778" w:rsidRPr="00832F7C">
        <w:t xml:space="preserve">some form of </w:t>
      </w:r>
      <w:r w:rsidR="00CA1945" w:rsidRPr="00832F7C">
        <w:t>selection bias</w:t>
      </w:r>
      <w:r w:rsidR="00FA5778" w:rsidRPr="00832F7C">
        <w:t xml:space="preserve">, for example </w:t>
      </w:r>
      <w:r w:rsidR="00CA1945" w:rsidRPr="00832F7C">
        <w:t xml:space="preserve">the </w:t>
      </w:r>
      <w:r w:rsidRPr="00832F7C">
        <w:t>differential inclusion of effect sizes</w:t>
      </w:r>
      <w:r w:rsidR="00FA5778" w:rsidRPr="00832F7C">
        <w:t xml:space="preserve"> dependant on their magnitude</w:t>
      </w:r>
      <w:r w:rsidR="00EB2876" w:rsidRPr="00832F7C">
        <w:t xml:space="preserve"> or statistical significance</w:t>
      </w:r>
      <w:r w:rsidRPr="00832F7C">
        <w:t xml:space="preserve">. </w:t>
      </w:r>
      <w:r w:rsidR="00D154BD" w:rsidRPr="00832F7C">
        <w:t>While not examined systematically</w:t>
      </w:r>
      <w:r w:rsidR="003B4E92" w:rsidRPr="00832F7C">
        <w:t xml:space="preserve"> due to time constraints, </w:t>
      </w:r>
      <w:r w:rsidR="00D154BD" w:rsidRPr="00832F7C">
        <w:t xml:space="preserve">examples of </w:t>
      </w:r>
      <w:r w:rsidR="00CA1945" w:rsidRPr="00832F7C">
        <w:t xml:space="preserve">potential bias </w:t>
      </w:r>
      <w:r w:rsidR="00EB59A6" w:rsidRPr="00832F7C">
        <w:t>can be found</w:t>
      </w:r>
      <w:r w:rsidR="003B4E92" w:rsidRPr="00832F7C">
        <w:t xml:space="preserve">. </w:t>
      </w:r>
      <w:r w:rsidR="000463AA" w:rsidRPr="00832F7C">
        <w:t xml:space="preserve">For example, </w:t>
      </w:r>
      <w:r w:rsidR="003B4E92" w:rsidRPr="00832F7C">
        <w:t xml:space="preserve">Vahey et al. (2015) included six correlations extracted from Carpenter et al.’s </w:t>
      </w:r>
      <w:r w:rsidR="003B4E92" w:rsidRPr="00832F7C">
        <w:fldChar w:fldCharType="begin"/>
      </w:r>
      <w:r w:rsidR="003B4E92" w:rsidRPr="00832F7C">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rsidRPr="00832F7C">
        <w:fldChar w:fldCharType="separate"/>
      </w:r>
      <w:r w:rsidR="003B4E92" w:rsidRPr="00832F7C">
        <w:rPr>
          <w:noProof/>
        </w:rPr>
        <w:t>(2012)</w:t>
      </w:r>
      <w:r w:rsidR="003B4E92" w:rsidRPr="00832F7C">
        <w:fldChar w:fldCharType="end"/>
      </w:r>
      <w:r w:rsidR="003B4E92" w:rsidRPr="00832F7C">
        <w:t xml:space="preserve"> Table 2 that refer to correlations between three treatment variables (voucher earnings in therapy, percent of visits attended, and percent of cocaine-negative urine tests) and three of the IRAP’s trial types (i.e., with cocaine-positive, with cocaine-negative, and no-cocaine negative). These correlations have an average of </w:t>
      </w:r>
      <w:r w:rsidR="003B4E92" w:rsidRPr="00832F7C">
        <w:rPr>
          <w:i/>
          <w:iCs/>
        </w:rPr>
        <w:t>r</w:t>
      </w:r>
      <w:r w:rsidR="003B4E92" w:rsidRPr="00832F7C">
        <w:t xml:space="preserve"> = .45.</w:t>
      </w:r>
      <w:r w:rsidR="00F65C49" w:rsidRPr="00832F7C">
        <w:t xml:space="preserve"> However, </w:t>
      </w:r>
      <w:r w:rsidR="00D5198D" w:rsidRPr="00832F7C">
        <w:t xml:space="preserve">other </w:t>
      </w:r>
      <w:r w:rsidR="00F65C49" w:rsidRPr="00832F7C">
        <w:t xml:space="preserve">correlations </w:t>
      </w:r>
      <w:r w:rsidR="00D5198D" w:rsidRPr="00832F7C">
        <w:t xml:space="preserve">reported in the sample table which appeared to meet the inclusion criteria </w:t>
      </w:r>
      <w:r w:rsidR="00D5198D" w:rsidRPr="00832F7C">
        <w:t>were not included</w:t>
      </w:r>
      <w:r w:rsidR="00D5198D" w:rsidRPr="00832F7C">
        <w:t xml:space="preserve"> (i.e., correlations </w:t>
      </w:r>
      <w:r w:rsidR="00D5198D" w:rsidRPr="00832F7C">
        <w:t>between the criterion variables and the IRAP’s fourth trial type</w:t>
      </w:r>
      <w:r w:rsidR="00D5198D" w:rsidRPr="00832F7C">
        <w:t xml:space="preserve">: </w:t>
      </w:r>
      <w:r w:rsidR="00D5198D" w:rsidRPr="00832F7C">
        <w:t xml:space="preserve">no cocaine-positive). </w:t>
      </w:r>
      <w:r w:rsidR="00D5198D" w:rsidRPr="00832F7C">
        <w:t xml:space="preserve">These excluded correlations </w:t>
      </w:r>
      <w:r w:rsidR="00D5198D" w:rsidRPr="00832F7C">
        <w:t>were much smaller (</w:t>
      </w:r>
      <w:proofErr w:type="spellStart"/>
      <w:r w:rsidR="00D5198D" w:rsidRPr="00832F7C">
        <w:rPr>
          <w:i/>
          <w:iCs/>
        </w:rPr>
        <w:t>r</w:t>
      </w:r>
      <w:r w:rsidR="00D5198D" w:rsidRPr="00832F7C">
        <w:t>s</w:t>
      </w:r>
      <w:proofErr w:type="spellEnd"/>
      <w:r w:rsidR="00D5198D" w:rsidRPr="00832F7C">
        <w:t xml:space="preserve"> = .03, .19, and .19; mean </w:t>
      </w:r>
      <w:r w:rsidR="00D5198D" w:rsidRPr="00832F7C">
        <w:rPr>
          <w:i/>
          <w:iCs/>
        </w:rPr>
        <w:t>r</w:t>
      </w:r>
      <w:r w:rsidR="00D5198D" w:rsidRPr="00832F7C">
        <w:t xml:space="preserve"> = .13)</w:t>
      </w:r>
      <w:r w:rsidR="00F65C49" w:rsidRPr="00832F7C">
        <w:t xml:space="preserve">. </w:t>
      </w:r>
    </w:p>
    <w:p w14:paraId="23D666D5" w14:textId="757EABD5" w:rsidR="00D154BD" w:rsidRPr="00832F7C" w:rsidRDefault="009C30F9" w:rsidP="00D77465">
      <w:r w:rsidRPr="00832F7C">
        <w:t>Similarly, putting aside the issue of a lack of a criterion variable for a moment, Vahey et al. (2015) include</w:t>
      </w:r>
      <w:r w:rsidR="00053439" w:rsidRPr="00832F7C">
        <w:t>d</w:t>
      </w:r>
      <w:r w:rsidRPr="00832F7C">
        <w:t xml:space="preserve"> four effect sizes from Dawson et al. </w:t>
      </w:r>
      <w:r w:rsidRPr="00832F7C">
        <w:fldChar w:fldCharType="begin"/>
      </w:r>
      <w:r w:rsidR="00E77251" w:rsidRPr="00832F7C">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rsidRPr="00832F7C">
        <w:fldChar w:fldCharType="separate"/>
      </w:r>
      <w:r w:rsidRPr="00832F7C">
        <w:rPr>
          <w:noProof/>
        </w:rPr>
        <w:t>(2009)</w:t>
      </w:r>
      <w:r w:rsidRPr="00832F7C">
        <w:fldChar w:fldCharType="end"/>
      </w:r>
      <w:r w:rsidRPr="00832F7C">
        <w:t xml:space="preserve"> that were derived from the magnitude of the effect on each of the four IRAP trial-types in the non-sex offenders group. However, </w:t>
      </w:r>
      <w:r w:rsidR="00B5554C" w:rsidRPr="00832F7C">
        <w:t xml:space="preserve">the analysis did not </w:t>
      </w:r>
      <w:r w:rsidRPr="00832F7C">
        <w:t xml:space="preserve">include </w:t>
      </w:r>
      <w:r w:rsidR="00123ACA" w:rsidRPr="00832F7C">
        <w:t xml:space="preserve">four </w:t>
      </w:r>
      <w:r w:rsidR="00B5554C" w:rsidRPr="00832F7C">
        <w:t xml:space="preserve">additional </w:t>
      </w:r>
      <w:r w:rsidRPr="00832F7C">
        <w:t xml:space="preserve">effects associated with the sex </w:t>
      </w:r>
      <w:proofErr w:type="gramStart"/>
      <w:r w:rsidRPr="00832F7C">
        <w:t>offenders</w:t>
      </w:r>
      <w:proofErr w:type="gramEnd"/>
      <w:r w:rsidRPr="00832F7C">
        <w:t xml:space="preserve"> group, despite </w:t>
      </w:r>
      <w:r w:rsidR="00D13673" w:rsidRPr="00832F7C">
        <w:t>that group</w:t>
      </w:r>
      <w:r w:rsidRPr="00832F7C">
        <w:t xml:space="preserve"> arguably being of greater clinical relevance. Inspection of Dawson et al.’s (2009) Figure 2 demonstrates that the four non-included effect sizes are all </w:t>
      </w:r>
      <w:r w:rsidRPr="00832F7C">
        <w:lastRenderedPageBreak/>
        <w:t>much smaller than the included ones.</w:t>
      </w:r>
      <w:r w:rsidR="007B041D" w:rsidRPr="00832F7C">
        <w:t xml:space="preserve"> Extraction of the means from the plot using </w:t>
      </w:r>
      <w:proofErr w:type="spellStart"/>
      <w:r w:rsidR="007B041D" w:rsidRPr="00832F7C">
        <w:t>WebPlotDigitizer</w:t>
      </w:r>
      <w:proofErr w:type="spellEnd"/>
      <w:r w:rsidR="007B041D" w:rsidRPr="00832F7C">
        <w:t xml:space="preserve"> </w:t>
      </w:r>
      <w:r w:rsidR="007B041D" w:rsidRPr="00832F7C">
        <w:fldChar w:fldCharType="begin"/>
      </w:r>
      <w:r w:rsidR="007B041D" w:rsidRPr="00832F7C">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rsidRPr="00832F7C">
        <w:fldChar w:fldCharType="separate"/>
      </w:r>
      <w:r w:rsidR="007B041D" w:rsidRPr="00832F7C">
        <w:rPr>
          <w:noProof/>
        </w:rPr>
        <w:t>(Marin et al., 2017)</w:t>
      </w:r>
      <w:r w:rsidR="007B041D" w:rsidRPr="00832F7C">
        <w:fldChar w:fldCharType="end"/>
      </w:r>
      <w:r w:rsidR="007B041D" w:rsidRPr="00832F7C">
        <w:t xml:space="preserve"> demonstrated that the means for the effects included in the meta-analysis (.62, .63, .56, .58; </w:t>
      </w:r>
      <w:r w:rsidR="002158B6" w:rsidRPr="00832F7C">
        <w:t>mean</w:t>
      </w:r>
      <w:r w:rsidR="007B041D" w:rsidRPr="00832F7C">
        <w:t xml:space="preserve"> = .59) were twice as large </w:t>
      </w:r>
      <w:r w:rsidR="00900048" w:rsidRPr="00832F7C">
        <w:t xml:space="preserve">on average </w:t>
      </w:r>
      <w:r w:rsidR="007B041D" w:rsidRPr="00832F7C">
        <w:t xml:space="preserve">as the ones that were not (.54, .00, .31, .29; </w:t>
      </w:r>
      <w:r w:rsidR="002158B6" w:rsidRPr="00832F7C">
        <w:t>mean</w:t>
      </w:r>
      <w:r w:rsidR="007B041D" w:rsidRPr="00832F7C">
        <w:t xml:space="preserve"> = .28).</w:t>
      </w:r>
    </w:p>
    <w:p w14:paraId="533911BF" w14:textId="6DD96961" w:rsidR="001B7D5B" w:rsidRPr="00832F7C" w:rsidRDefault="0024266C" w:rsidP="00F0228F">
      <w:r w:rsidRPr="00832F7C">
        <w:t xml:space="preserve">Another example can be found in </w:t>
      </w:r>
      <w:r w:rsidR="000426EF" w:rsidRPr="00832F7C">
        <w:t>the</w:t>
      </w:r>
      <w:r w:rsidRPr="00832F7C">
        <w:t xml:space="preserve"> inclusion of two effect sizes from Vahey et al. </w:t>
      </w:r>
      <w:r w:rsidRPr="00832F7C">
        <w:fldChar w:fldCharType="begin"/>
      </w:r>
      <w:r w:rsidRPr="00832F7C">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rsidRPr="00832F7C">
        <w:fldChar w:fldCharType="separate"/>
      </w:r>
      <w:r w:rsidRPr="00832F7C">
        <w:rPr>
          <w:noProof/>
        </w:rPr>
        <w:t>(2010)</w:t>
      </w:r>
      <w:r w:rsidRPr="00832F7C">
        <w:fldChar w:fldCharType="end"/>
      </w:r>
      <w:r w:rsidRPr="00832F7C">
        <w:t xml:space="preserve"> that were derived from the magnitude of the IRAP effect in the smokers group (</w:t>
      </w:r>
      <w:r w:rsidRPr="00832F7C">
        <w:rPr>
          <w:i/>
          <w:iCs/>
        </w:rPr>
        <w:t>r</w:t>
      </w:r>
      <w:r w:rsidRPr="00832F7C">
        <w:t xml:space="preserve"> = .89 and .55</w:t>
      </w:r>
      <w:r w:rsidR="00C65185" w:rsidRPr="00832F7C">
        <w:t xml:space="preserve">). </w:t>
      </w:r>
      <w:r w:rsidRPr="00832F7C">
        <w:t xml:space="preserve">However, inspection of </w:t>
      </w:r>
      <w:r w:rsidR="00CA45D3">
        <w:t xml:space="preserve">Table 3 in </w:t>
      </w:r>
      <w:r w:rsidRPr="00832F7C">
        <w:t xml:space="preserve">Vahey et al. (2010) demonstrates that six other effects were not </w:t>
      </w:r>
      <w:r w:rsidR="00555731" w:rsidRPr="00832F7C">
        <w:t>included</w:t>
      </w:r>
      <w:r w:rsidRPr="00832F7C">
        <w:t xml:space="preserve">, all of which are much smaller than the included ones. </w:t>
      </w:r>
      <w:r w:rsidR="0069675F" w:rsidRPr="00832F7C">
        <w:t xml:space="preserve">Vahey et al.’s (2010) </w:t>
      </w:r>
      <w:r w:rsidRPr="00832F7C">
        <w:t xml:space="preserve">Table 3 reports only means and not </w:t>
      </w:r>
      <w:proofErr w:type="gramStart"/>
      <w:r w:rsidRPr="00832F7C">
        <w:t>SDs</w:t>
      </w:r>
      <w:proofErr w:type="gramEnd"/>
      <w:r w:rsidRPr="00832F7C">
        <w:t xml:space="preserve"> so it is not possible to recalculate correlations without additional information, but the means used in the included effects were 0.21 and 0.34, whereas the six non-included means ranged from 0.00 to 0.07.</w:t>
      </w:r>
      <w:r w:rsidR="00F0228F">
        <w:t xml:space="preserve"> </w:t>
      </w:r>
      <w:r w:rsidR="000067D6" w:rsidRPr="00832F7C">
        <w:t>These examples</w:t>
      </w:r>
      <w:r w:rsidR="003E7BB7">
        <w:t xml:space="preserve"> </w:t>
      </w:r>
      <w:r w:rsidR="000067D6" w:rsidRPr="00832F7C">
        <w:t xml:space="preserve">suggest that </w:t>
      </w:r>
      <w:r w:rsidR="00FC766B" w:rsidRPr="00832F7C">
        <w:t xml:space="preserve">the effect sizes employed in </w:t>
      </w:r>
      <w:r w:rsidR="000067D6" w:rsidRPr="00832F7C">
        <w:t xml:space="preserve">Vahey et al. (2015) </w:t>
      </w:r>
      <w:r w:rsidR="00FC766B" w:rsidRPr="00832F7C">
        <w:t xml:space="preserve">suffer </w:t>
      </w:r>
      <w:r w:rsidR="005D6255" w:rsidRPr="00832F7C">
        <w:t>from selection bias</w:t>
      </w:r>
      <w:r w:rsidR="003E7BB7">
        <w:t xml:space="preserve"> for larger effect sizes. These examples are </w:t>
      </w:r>
      <w:r w:rsidR="003E7BB7" w:rsidRPr="00832F7C">
        <w:t>illustrative rather than comprehensive,</w:t>
      </w:r>
      <w:r w:rsidR="003E7BB7">
        <w:t xml:space="preserve"> on the basis</w:t>
      </w:r>
      <w:r w:rsidR="00582E9A">
        <w:t xml:space="preserve"> that these verifications were time consuming and, in combination with the other issues found, the results of Vahey et al. (2015) are already severely undermined.</w:t>
      </w:r>
    </w:p>
    <w:p w14:paraId="02BA5BD2" w14:textId="1EFFB7C0" w:rsidR="004112F6" w:rsidRPr="00832F7C" w:rsidRDefault="00000000" w:rsidP="00974D7B">
      <w:pPr>
        <w:pStyle w:val="Heading3"/>
      </w:pPr>
      <w:r w:rsidRPr="00832F7C">
        <w:t>Assessment of erroneous calculation</w:t>
      </w:r>
    </w:p>
    <w:p w14:paraId="294309EB" w14:textId="4EA0E455" w:rsidR="004112F6" w:rsidRPr="00832F7C" w:rsidRDefault="00000000" w:rsidP="005E2603">
      <w:r w:rsidRPr="00832F7C">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832F7C">
        <w:fldChar w:fldCharType="begin"/>
      </w:r>
      <w:r w:rsidRPr="00832F7C">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32F7C">
        <w:fldChar w:fldCharType="separate"/>
      </w:r>
      <w:r w:rsidRPr="00832F7C">
        <w:t>(e.g., Gøtzsche et al., 2007; Maassen et al., 2020)</w:t>
      </w:r>
      <w:r w:rsidRPr="00832F7C">
        <w:fldChar w:fldCharType="end"/>
      </w:r>
      <w:r w:rsidRPr="00832F7C">
        <w:t xml:space="preserve">. </w:t>
      </w:r>
      <w:r w:rsidR="00264450">
        <w:t>T</w:t>
      </w:r>
      <w:r w:rsidRPr="00832F7C">
        <w:t>he supplementary materials</w:t>
      </w:r>
      <w:r w:rsidR="00264450">
        <w:t xml:space="preserve"> </w:t>
      </w:r>
      <w:r w:rsidR="005A56B1">
        <w:t xml:space="preserve">for </w:t>
      </w:r>
      <w:r w:rsidRPr="00832F7C">
        <w:t xml:space="preserve">Vahey et al. (2015) provide explanations and references for how individual effect sizes were converted to Pearson's </w:t>
      </w:r>
      <w:r w:rsidRPr="00832F7C">
        <w:rPr>
          <w:i/>
          <w:iCs/>
        </w:rPr>
        <w:t>r</w:t>
      </w:r>
      <w:r w:rsidRPr="00832F7C">
        <w:t xml:space="preserve">. However, inspection of those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832F7C">
        <w:t xml:space="preserve"> effect sizes taken from ANOVAs, which Vahey et al. (2015) stated that </w:t>
      </w:r>
      <w:r w:rsidRPr="00832F7C">
        <w:lastRenderedPageBreak/>
        <w:t>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832F7C">
        <w:t xml:space="preserve">] with </w:t>
      </w:r>
      <w:r w:rsidRPr="00832F7C">
        <w:rPr>
          <w:i/>
          <w:iCs/>
        </w:rPr>
        <w:t>r</w:t>
      </w:r>
      <w:r w:rsidRPr="00832F7C">
        <w:rPr>
          <w:vertAlign w:val="superscript"/>
        </w:rPr>
        <w:t>2</w:t>
      </w:r>
      <w:r w:rsidRPr="00832F7C">
        <w:t xml:space="preserve"> therefore obtaining </w:t>
      </w:r>
      <w:r w:rsidRPr="00832F7C">
        <w:rPr>
          <w:i/>
          <w:iCs/>
        </w:rPr>
        <w:t>r</w:t>
      </w:r>
      <w:r w:rsidRPr="00832F7C">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832F7C">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832F7C">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832F7C">
        <w:t xml:space="preserve"> cannot be converted to </w:t>
      </w:r>
      <w:r w:rsidRPr="00832F7C">
        <w:rPr>
          <w:i/>
          <w:iCs/>
        </w:rPr>
        <w:t>r</w:t>
      </w:r>
      <w:r w:rsidRPr="00832F7C">
        <w:t>, and therefore these conversions are erroneous.</w:t>
      </w:r>
      <w:r w:rsidR="005E2603">
        <w:t xml:space="preserve"> </w:t>
      </w:r>
      <w:r w:rsidRPr="00832F7C">
        <w:t>A comprehensive assessment of the reproducibility of the conversions of the individual effect sizes to Pearson</w:t>
      </w:r>
      <w:r w:rsidR="00E03E24" w:rsidRPr="00832F7C">
        <w:t>’</w:t>
      </w:r>
      <w:r w:rsidRPr="00832F7C">
        <w:t xml:space="preserve">s </w:t>
      </w:r>
      <w:r w:rsidRPr="00832F7C">
        <w:rPr>
          <w:i/>
          <w:iCs/>
        </w:rPr>
        <w:t>r</w:t>
      </w:r>
      <w:r w:rsidRPr="00832F7C">
        <w:t xml:space="preserve"> was not performed on the basis that the above assessments had already determined these effect sizes to contain several errors (e.g. related to incorrect inclusion).</w:t>
      </w:r>
    </w:p>
    <w:p w14:paraId="0BE050AB" w14:textId="77777777" w:rsidR="009F3291" w:rsidRPr="00832F7C" w:rsidRDefault="00000000" w:rsidP="00D77465">
      <w:pPr>
        <w:pStyle w:val="Heading2"/>
      </w:pPr>
      <w:r w:rsidRPr="00832F7C">
        <w:t>Issues in the publication bias analyses</w:t>
      </w:r>
    </w:p>
    <w:p w14:paraId="488D7F5D" w14:textId="4D2E596D" w:rsidR="009F3291" w:rsidRPr="00832F7C" w:rsidRDefault="00000000" w:rsidP="00657F8B">
      <w:r w:rsidRPr="00832F7C">
        <w:t>Vahey et al. (2015) reported employing tests of funnel plot asymmetry</w:t>
      </w:r>
      <w:r w:rsidR="006E596E" w:rsidRPr="00832F7C">
        <w:t>,</w:t>
      </w:r>
      <w:r w:rsidRPr="00832F7C">
        <w:t xml:space="preserve"> a sensitivity analysis based on selection models</w:t>
      </w:r>
      <w:r w:rsidR="00A20645" w:rsidRPr="00832F7C">
        <w:t xml:space="preserve"> </w:t>
      </w:r>
      <w:r w:rsidR="00750F28" w:rsidRPr="00832F7C">
        <w:fldChar w:fldCharType="begin"/>
      </w:r>
      <w:r w:rsidR="00750F28" w:rsidRPr="00832F7C">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832F7C">
        <w:fldChar w:fldCharType="separate"/>
      </w:r>
      <w:r w:rsidR="00750F28" w:rsidRPr="00832F7C">
        <w:rPr>
          <w:noProof/>
        </w:rPr>
        <w:t>(Vevea &amp; Woods, 2005)</w:t>
      </w:r>
      <w:r w:rsidR="00750F28" w:rsidRPr="00832F7C">
        <w:fldChar w:fldCharType="end"/>
      </w:r>
      <w:r w:rsidR="009F4032" w:rsidRPr="00832F7C">
        <w:t xml:space="preserve">, and Kendall’s </w:t>
      </w:r>
      <m:oMath>
        <m:r>
          <w:rPr>
            <w:rFonts w:ascii="Cambria Math" w:hAnsi="Cambria Math"/>
          </w:rPr>
          <m:t>τ</m:t>
        </m:r>
      </m:oMath>
      <w:r w:rsidR="009F4032" w:rsidRPr="00832F7C">
        <w:t xml:space="preserve"> Rank Correlation Test </w:t>
      </w:r>
      <w:r w:rsidR="009F4032" w:rsidRPr="00832F7C">
        <w:fldChar w:fldCharType="begin"/>
      </w:r>
      <w:r w:rsidR="009F4032" w:rsidRPr="00832F7C">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832F7C">
        <w:fldChar w:fldCharType="separate"/>
      </w:r>
      <w:r w:rsidR="009F4032" w:rsidRPr="00832F7C">
        <w:rPr>
          <w:noProof/>
        </w:rPr>
        <w:t>(e.g., Egger et al., 1997)</w:t>
      </w:r>
      <w:r w:rsidR="009F4032" w:rsidRPr="00832F7C">
        <w:fldChar w:fldCharType="end"/>
      </w:r>
      <w:r w:rsidR="009F4032" w:rsidRPr="00832F7C">
        <w:t>.</w:t>
      </w:r>
      <w:r w:rsidR="00461B7E" w:rsidRPr="00832F7C">
        <w:t xml:space="preserve"> </w:t>
      </w:r>
      <w:r w:rsidR="008147ED" w:rsidRPr="00832F7C">
        <w:t xml:space="preserve">While I did not attempt to systematically verify the results of all of these, two points are worth highlighting here. </w:t>
      </w:r>
      <w:r w:rsidRPr="00832F7C">
        <w:t xml:space="preserve">First, </w:t>
      </w:r>
      <w:r w:rsidR="007E641E">
        <w:t xml:space="preserve">the conclusions reported in </w:t>
      </w:r>
      <w:r w:rsidRPr="00832F7C">
        <w:t xml:space="preserve">Vahey et al. (2015) </w:t>
      </w:r>
      <w:r w:rsidR="007E641E">
        <w:t xml:space="preserve">were that </w:t>
      </w:r>
      <w:r w:rsidRPr="00832F7C">
        <w:t xml:space="preserve">“the current meta-analysis was not subject to publication bias” (p. 62). </w:t>
      </w:r>
      <w:r w:rsidR="00035BB1" w:rsidRPr="00832F7C">
        <w:t xml:space="preserve">However, this falls into a statistical fallacy that is common in original research: non-significant </w:t>
      </w:r>
      <w:r w:rsidR="00035BB1" w:rsidRPr="00832F7C">
        <w:rPr>
          <w:i/>
          <w:iCs/>
        </w:rPr>
        <w:t>p</w:t>
      </w:r>
      <w:r w:rsidR="00035BB1" w:rsidRPr="00832F7C">
        <w:t xml:space="preserve"> values should not be interpreted as evidence for the null hypothesis, only failure to reject the alternative hypothesis</w:t>
      </w:r>
      <w:r w:rsidR="00455DB6" w:rsidRPr="00832F7C">
        <w:t xml:space="preserve"> </w:t>
      </w:r>
      <w:r w:rsidR="00455DB6" w:rsidRPr="00832F7C">
        <w:fldChar w:fldCharType="begin"/>
      </w:r>
      <w:r w:rsidR="00807283" w:rsidRPr="00832F7C">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832F7C">
        <w:fldChar w:fldCharType="separate"/>
      </w:r>
      <w:r w:rsidR="00807283" w:rsidRPr="00832F7C">
        <w:rPr>
          <w:noProof/>
        </w:rPr>
        <w:t>(Aczel et al., 2018; Greenland et al., 2016)</w:t>
      </w:r>
      <w:r w:rsidR="00455DB6" w:rsidRPr="00832F7C">
        <w:fldChar w:fldCharType="end"/>
      </w:r>
      <w:r w:rsidR="00035BB1" w:rsidRPr="00832F7C">
        <w:t>.</w:t>
      </w:r>
      <w:r w:rsidR="00455DB6" w:rsidRPr="00832F7C">
        <w:t xml:space="preserve"> </w:t>
      </w:r>
      <w:r w:rsidR="00035BB1" w:rsidRPr="00832F7C">
        <w:t xml:space="preserve">Put differently, the absence of evidence is not the same as evidence of absence. </w:t>
      </w:r>
      <w:r w:rsidR="00122EDC" w:rsidRPr="00832F7C">
        <w:t>This is especially important in the context of meta-analysis bias tests which frequently have very low power</w:t>
      </w:r>
      <w:r w:rsidR="008E7711" w:rsidRPr="00832F7C">
        <w:t xml:space="preserve"> </w:t>
      </w:r>
      <w:r w:rsidR="008E7711" w:rsidRPr="00832F7C">
        <w:fldChar w:fldCharType="begin"/>
      </w:r>
      <w:r w:rsidR="008E7711" w:rsidRPr="00832F7C">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832F7C">
        <w:fldChar w:fldCharType="separate"/>
      </w:r>
      <w:r w:rsidR="008E7711" w:rsidRPr="00832F7C">
        <w:t>(Rücker et al., 2011; Sterne et al., 2000)</w:t>
      </w:r>
      <w:r w:rsidR="008E7711" w:rsidRPr="00832F7C">
        <w:fldChar w:fldCharType="end"/>
      </w:r>
      <w:r w:rsidR="00122EDC" w:rsidRPr="00832F7C">
        <w:t>, as is the case her</w:t>
      </w:r>
      <w:r w:rsidR="00725437" w:rsidRPr="00832F7C">
        <w:t>e</w:t>
      </w:r>
      <w:r w:rsidR="00122EDC" w:rsidRPr="00832F7C">
        <w:t xml:space="preserve">. </w:t>
      </w:r>
      <w:r w:rsidR="00035BB1" w:rsidRPr="00832F7C">
        <w:t xml:space="preserve">The correct interpretation of </w:t>
      </w:r>
      <w:r w:rsidR="00122EDC" w:rsidRPr="00832F7C">
        <w:t xml:space="preserve">such non-significant results is no evidence of bias was obtained rather than evidence of no bias. This </w:t>
      </w:r>
      <w:r w:rsidR="00455DB6" w:rsidRPr="00832F7C">
        <w:t xml:space="preserve">difference in wording may seem subtle at </w:t>
      </w:r>
      <w:r w:rsidR="00FA3255" w:rsidRPr="00832F7C">
        <w:t>first but</w:t>
      </w:r>
      <w:r w:rsidR="00455DB6" w:rsidRPr="00832F7C">
        <w:t xml:space="preserve"> represents a fundamentally different </w:t>
      </w:r>
      <w:r w:rsidR="00794292" w:rsidRPr="00832F7C">
        <w:t xml:space="preserve">and stronger </w:t>
      </w:r>
      <w:r w:rsidR="00455DB6" w:rsidRPr="00832F7C">
        <w:t>claim.</w:t>
      </w:r>
      <w:r w:rsidR="00794292" w:rsidRPr="00832F7C">
        <w:t xml:space="preserve"> There are few areas of research where publication bias and </w:t>
      </w:r>
      <w:r w:rsidR="00794292" w:rsidRPr="00832F7C">
        <w:rPr>
          <w:i/>
          <w:iCs/>
        </w:rPr>
        <w:t>p</w:t>
      </w:r>
      <w:r w:rsidR="00794292" w:rsidRPr="00832F7C">
        <w:t>-hacking</w:t>
      </w:r>
      <w:r w:rsidR="00ED2533" w:rsidRPr="00832F7C">
        <w:t xml:space="preserve"> </w:t>
      </w:r>
      <w:r w:rsidR="00794292" w:rsidRPr="00832F7C">
        <w:t xml:space="preserve">could reasonably be assumed to be completely absent. As such, direct evidence for this null effect would need to be strong to dismiss the presence of bias as a plausible default assumption. </w:t>
      </w:r>
    </w:p>
    <w:p w14:paraId="775BEBA6" w14:textId="0A9B974C" w:rsidR="00455DB6" w:rsidRPr="00832F7C" w:rsidRDefault="00000000" w:rsidP="00D77465">
      <w:r w:rsidRPr="00832F7C">
        <w:lastRenderedPageBreak/>
        <w:t xml:space="preserve">Second, </w:t>
      </w:r>
      <w:r w:rsidR="00B50FEB" w:rsidRPr="00832F7C">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rsidRPr="00832F7C">
        <w:t>The authors of Vahey et al. (2015) therefore had direct knowledge of whether there was a file drawer of unpublished studies</w:t>
      </w:r>
      <w:r w:rsidR="00273E29" w:rsidRPr="00832F7C">
        <w:t xml:space="preserve"> (or indeed any other source of bias)</w:t>
      </w:r>
      <w:r w:rsidR="00220BB9" w:rsidRPr="00832F7C">
        <w:t xml:space="preserve">, but they do not </w:t>
      </w:r>
      <w:r w:rsidR="005D591A" w:rsidRPr="00832F7C">
        <w:t xml:space="preserve">consider </w:t>
      </w:r>
      <w:r w:rsidR="00220BB9" w:rsidRPr="00832F7C">
        <w:t>this</w:t>
      </w:r>
      <w:r w:rsidR="005D591A" w:rsidRPr="00832F7C">
        <w:t xml:space="preserve"> in their estimation of bias</w:t>
      </w:r>
      <w:r w:rsidR="00220BB9" w:rsidRPr="00832F7C">
        <w:t xml:space="preserve">. </w:t>
      </w:r>
      <w:r w:rsidR="002B7E60" w:rsidRPr="00832F7C">
        <w:t>My own compilation of unpublished IRAP studies suggests that there are at least 6 unpublished PhD theses with clinically relevant IRAP studies, most of which came from Barnes-Holmes's research group</w:t>
      </w:r>
      <w:r w:rsidR="007831AF" w:rsidRPr="00832F7C">
        <w:t xml:space="preserve"> </w:t>
      </w:r>
      <w:r w:rsidR="007831AF" w:rsidRPr="00832F7C">
        <w:fldChar w:fldCharType="begin"/>
      </w:r>
      <w:r w:rsidR="007831AF" w:rsidRPr="00832F7C">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rsidRPr="00832F7C">
        <w:fldChar w:fldCharType="separate"/>
      </w:r>
      <w:r w:rsidR="007831AF" w:rsidRPr="00832F7C">
        <w:rPr>
          <w:noProof/>
        </w:rPr>
        <w:t>(Hussey &amp; Drake, 2022)</w:t>
      </w:r>
      <w:r w:rsidR="007831AF" w:rsidRPr="00832F7C">
        <w:fldChar w:fldCharType="end"/>
      </w:r>
      <w:r w:rsidR="002B7E60" w:rsidRPr="00832F7C">
        <w:t xml:space="preserve">. </w:t>
      </w:r>
      <w:r w:rsidR="003D01B6" w:rsidRPr="00832F7C">
        <w:t xml:space="preserve">Reporting quantitative tests of publication bias without also reporting </w:t>
      </w:r>
      <w:r w:rsidR="003D01B6" w:rsidRPr="00832F7C">
        <w:rPr>
          <w:i/>
          <w:iCs/>
        </w:rPr>
        <w:t>prima facie</w:t>
      </w:r>
      <w:r w:rsidR="003D01B6" w:rsidRPr="00832F7C">
        <w:t xml:space="preserve"> evidence of publication bias from one</w:t>
      </w:r>
      <w:r w:rsidR="00AB07B5">
        <w:t>’</w:t>
      </w:r>
      <w:r w:rsidR="003D01B6" w:rsidRPr="00832F7C">
        <w:t>s own research group ignores important evidence</w:t>
      </w:r>
      <w:r w:rsidR="005B2B9F" w:rsidRPr="00832F7C">
        <w:t xml:space="preserve"> and does so in a way that is biased towards enhancing the </w:t>
      </w:r>
      <w:r w:rsidR="00856724" w:rsidRPr="00832F7C">
        <w:t xml:space="preserve">apparent </w:t>
      </w:r>
      <w:r w:rsidR="005B2B9F" w:rsidRPr="00832F7C">
        <w:t>criterion validity of the measure</w:t>
      </w:r>
      <w:r w:rsidR="008305D8" w:rsidRPr="00832F7C">
        <w:t>.</w:t>
      </w:r>
      <w:r w:rsidR="00986FBB" w:rsidRPr="00832F7C">
        <w:t xml:space="preserve"> </w:t>
      </w:r>
    </w:p>
    <w:p w14:paraId="1C6C297B" w14:textId="4309B688" w:rsidR="004112F6" w:rsidRPr="00832F7C" w:rsidRDefault="00000000" w:rsidP="00D77465">
      <w:pPr>
        <w:pStyle w:val="Heading2"/>
      </w:pPr>
      <w:r w:rsidRPr="00832F7C">
        <w:t>Corrected meta-analysis and power analyses</w:t>
      </w:r>
      <w:r w:rsidR="00B03471">
        <w:t xml:space="preserve"> to illustrate the compound impact of the issues</w:t>
      </w:r>
    </w:p>
    <w:p w14:paraId="17F37291" w14:textId="77777777" w:rsidR="00657F8B" w:rsidRDefault="00000000" w:rsidP="00D77465">
      <w:proofErr w:type="gramStart"/>
      <w:r w:rsidRPr="00832F7C">
        <w:t>In order to</w:t>
      </w:r>
      <w:proofErr w:type="gramEnd"/>
      <w:r w:rsidRPr="00832F7C">
        <w:t xml:space="preserve"> understand the compound impact of the various errors on the conclusions of the meta-analysis, I fitted a new meta-analysis to the 156 effect sizes re-extracted from the original articles. I then used the meta-analysis effect results to calculate new power analyses. </w:t>
      </w:r>
      <w:r w:rsidR="00B03471" w:rsidRPr="00B03471">
        <w:rPr>
          <w:highlight w:val="yellow"/>
        </w:rPr>
        <w:t>Importantly, the purpose of this new meta-analysis was not to present its results as a more accurate estimate of the IRAP’s criterion validity, but rather to illustrate the compound impact of the various errors that were outlined above on the meta-estima</w:t>
      </w:r>
      <w:r w:rsidR="00B03471">
        <w:rPr>
          <w:highlight w:val="yellow"/>
        </w:rPr>
        <w:t>te.</w:t>
      </w:r>
      <w:r w:rsidR="00FA6B89">
        <w:rPr>
          <w:highlight w:val="yellow"/>
        </w:rPr>
        <w:t xml:space="preserve"> I return to this point in the discussion.</w:t>
      </w:r>
      <w:r w:rsidR="00B03471">
        <w:rPr>
          <w:highlight w:val="yellow"/>
        </w:rPr>
        <w:t xml:space="preserve"> </w:t>
      </w:r>
    </w:p>
    <w:p w14:paraId="58D8A7F5" w14:textId="7D8C2114" w:rsidR="004E47BB" w:rsidRPr="00832F7C" w:rsidRDefault="00311FA7" w:rsidP="00657F8B">
      <w:r>
        <w:t>T</w:t>
      </w:r>
      <w:r w:rsidR="001D6214">
        <w:t xml:space="preserve">he </w:t>
      </w:r>
      <w:r w:rsidR="00000000" w:rsidRPr="00832F7C">
        <w:t xml:space="preserve">method </w:t>
      </w:r>
      <w:r>
        <w:t xml:space="preserve">employed in </w:t>
      </w:r>
      <w:r w:rsidRPr="00832F7C">
        <w:t xml:space="preserve">Vahey et al. (2015) </w:t>
      </w:r>
      <w:r w:rsidR="00000000" w:rsidRPr="00832F7C">
        <w:t xml:space="preserve">of dealing with the non-independence of multiple effect sizes </w:t>
      </w:r>
      <w:r w:rsidR="001D6214" w:rsidRPr="00832F7C">
        <w:t xml:space="preserve">taken from the same study </w:t>
      </w:r>
      <w:r w:rsidR="00000000" w:rsidRPr="00832F7C">
        <w:t xml:space="preserve">was to average </w:t>
      </w:r>
      <w:r>
        <w:t xml:space="preserve">those effect sizes at the article level. However, </w:t>
      </w:r>
      <w:r w:rsidR="007D4FD4">
        <w:t xml:space="preserve">best practices for meta-analyses argue </w:t>
      </w:r>
      <w:r w:rsidR="00000000" w:rsidRPr="00832F7C">
        <w:t xml:space="preserve">that it is more appropriate to model these dependencies using three-level meta-analyses (i.e., multi-level meta-analyses: Van den Noortgate et al. 2013). A multi-level random effect meta-analysis with random intercepts for </w:t>
      </w:r>
      <w:r w:rsidR="00000000" w:rsidRPr="00832F7C">
        <w:lastRenderedPageBreak/>
        <w:t xml:space="preserve">study was therefore employed. I employed the metafor packages’ default settings of a Restricted Maximum Likelihood estimator function and weighting by inverse variance (i.e., rather than </w:t>
      </w:r>
      <w:r w:rsidR="00000000" w:rsidRPr="00832F7C">
        <w:rPr>
          <w:i/>
          <w:iCs/>
        </w:rPr>
        <w:t>N</w:t>
      </w:r>
      <w:r w:rsidR="00000000" w:rsidRPr="00832F7C">
        <w:t xml:space="preserve">, given that inverse variance is a better estimate of precision and represents the contemporary standard). </w:t>
      </w:r>
    </w:p>
    <w:p w14:paraId="39C2393B" w14:textId="401C0910" w:rsidR="004E47BB" w:rsidRPr="00832F7C" w:rsidRDefault="00000000" w:rsidP="00657F8B">
      <w:r w:rsidRPr="00832F7C">
        <w:t xml:space="preserve">Results demonstrated a meta effect size </w:t>
      </w:r>
      <m:oMath>
        <m:acc>
          <m:accPr>
            <m:chr m:val="̅"/>
            <m:ctrlPr>
              <w:rPr>
                <w:rFonts w:ascii="Cambria Math" w:hAnsi="Cambria Math"/>
                <w:i/>
              </w:rPr>
            </m:ctrlPr>
          </m:accPr>
          <m:e>
            <m:r>
              <w:rPr>
                <w:rFonts w:ascii="Cambria Math" w:hAnsi="Cambria Math"/>
              </w:rPr>
              <m:t>r</m:t>
            </m:r>
          </m:e>
        </m:acc>
      </m:oMath>
      <w:r w:rsidRPr="00832F7C">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32F7C">
        <w:t xml:space="preserve"> = .45, 95% CI [.40, .54], 95% CR [.23, .67]). Table 1 contains the new power analyses based on this meta-effect size. As can be seen from the table, sample sizes are substantially larger than those recommended </w:t>
      </w:r>
      <w:r w:rsidR="00264108">
        <w:t>in</w:t>
      </w:r>
      <w:r w:rsidRPr="00832F7C">
        <w:t xml:space="preserve"> Vahey et al. (2015). For example, whereas the original abstract includes the recommendation that IRAP studies should employ “</w:t>
      </w:r>
      <w:r w:rsidRPr="00832F7C">
        <w:rPr>
          <w:i/>
          <w:iCs/>
        </w:rPr>
        <w:t>N</w:t>
      </w:r>
      <w:r w:rsidRPr="00832F7C">
        <w:t xml:space="preserve"> of [at least] 29 to 37”, the update numbers for the same tests are </w:t>
      </w:r>
      <w:r w:rsidRPr="00832F7C">
        <w:rPr>
          <w:i/>
          <w:iCs/>
        </w:rPr>
        <w:t>N</w:t>
      </w:r>
      <w:r w:rsidRPr="00832F7C">
        <w:t xml:space="preserve">s of at least 126 to 273. Power analyses for the more common and less liberal two-sided test for Pearson’s </w:t>
      </w:r>
      <w:r w:rsidRPr="00832F7C">
        <w:rPr>
          <w:i/>
          <w:iCs/>
        </w:rPr>
        <w:t>r</w:t>
      </w:r>
      <w:r w:rsidRPr="00832F7C">
        <w:t xml:space="preserve"> correlations would require </w:t>
      </w:r>
      <w:r w:rsidRPr="00832F7C">
        <w:rPr>
          <w:i/>
          <w:iCs/>
        </w:rPr>
        <w:t>N</w:t>
      </w:r>
      <w:r w:rsidRPr="00832F7C">
        <w:t xml:space="preserve">s of at least 160 to 346. </w:t>
      </w:r>
      <w:r w:rsidR="00D5339D" w:rsidRPr="00D5339D">
        <w:rPr>
          <w:highlight w:val="yellow"/>
        </w:rPr>
        <w:t xml:space="preserve">Again, </w:t>
      </w:r>
      <w:r w:rsidR="00D5339D">
        <w:rPr>
          <w:highlight w:val="yellow"/>
        </w:rPr>
        <w:t xml:space="preserve">it is important to note that I do not endorse these </w:t>
      </w:r>
      <w:r w:rsidR="00D5339D" w:rsidRPr="00D5339D">
        <w:rPr>
          <w:highlight w:val="yellow"/>
        </w:rPr>
        <w:t xml:space="preserve">estimates </w:t>
      </w:r>
      <w:r w:rsidR="00D5339D">
        <w:rPr>
          <w:highlight w:val="yellow"/>
        </w:rPr>
        <w:t xml:space="preserve">for the purposes of sample size planning, I present them here only </w:t>
      </w:r>
      <w:r w:rsidR="00D5339D" w:rsidRPr="00D5339D">
        <w:rPr>
          <w:highlight w:val="yellow"/>
        </w:rPr>
        <w:t>to illustrate the compound impact of the errors detected in the results presented in Vahey et al. (2015).</w:t>
      </w:r>
      <w:r w:rsidR="00D5339D">
        <w:t xml:space="preserve"> </w:t>
      </w:r>
    </w:p>
    <w:p w14:paraId="6B1A716F" w14:textId="77777777" w:rsidR="00032ADB" w:rsidRPr="00832F7C" w:rsidRDefault="00032ADB" w:rsidP="00D77465"/>
    <w:p w14:paraId="707EA9D4" w14:textId="77777777" w:rsidR="00032ADB" w:rsidRPr="00832F7C" w:rsidRDefault="00000000" w:rsidP="00D77465">
      <w:pPr>
        <w:rPr>
          <w:b/>
          <w:bCs/>
        </w:rPr>
      </w:pPr>
      <w:r w:rsidRPr="00832F7C">
        <w:br w:type="column"/>
      </w:r>
      <w:r w:rsidRPr="00832F7C">
        <w:rPr>
          <w:b/>
          <w:bCs/>
        </w:rPr>
        <w:lastRenderedPageBreak/>
        <w:t xml:space="preserve">Figure 5. </w:t>
      </w:r>
      <w:r w:rsidRPr="00832F7C">
        <w:t>Forest plot for the new meta-analysis.</w:t>
      </w:r>
    </w:p>
    <w:p w14:paraId="0CB77921" w14:textId="716D90B4" w:rsidR="00D5488E" w:rsidRPr="00832F7C" w:rsidRDefault="00000000" w:rsidP="00625E20">
      <w:pPr>
        <w:ind w:firstLine="0"/>
        <w:jc w:val="center"/>
      </w:pPr>
      <w:r w:rsidRPr="00832F7C">
        <w:rPr>
          <w:noProof/>
        </w:rPr>
        <w:drawing>
          <wp:inline distT="0" distB="0" distL="0" distR="0" wp14:anchorId="295A826F" wp14:editId="53BA9423">
            <wp:extent cx="1674254" cy="8160816"/>
            <wp:effectExtent l="0" t="0" r="254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12431" cy="8346902"/>
                    </a:xfrm>
                    <a:prstGeom prst="rect">
                      <a:avLst/>
                    </a:prstGeom>
                  </pic:spPr>
                </pic:pic>
              </a:graphicData>
            </a:graphic>
          </wp:inline>
        </w:drawing>
      </w:r>
    </w:p>
    <w:p w14:paraId="75AE9B96" w14:textId="77777777" w:rsidR="00B95E95" w:rsidRDefault="00000000" w:rsidP="00D77465">
      <w:pPr>
        <w:pStyle w:val="Heading1"/>
      </w:pPr>
      <w:r w:rsidRPr="00832F7C">
        <w:lastRenderedPageBreak/>
        <w:t>Discussion</w:t>
      </w:r>
    </w:p>
    <w:p w14:paraId="2BDEE3BE" w14:textId="2CF9222E" w:rsidR="00F24EA3" w:rsidRPr="00832F7C" w:rsidRDefault="00000000" w:rsidP="005F6E05">
      <w:r w:rsidRPr="00832F7C">
        <w:t xml:space="preserve">The results </w:t>
      </w:r>
      <w:r w:rsidR="00ED4354" w:rsidRPr="00832F7C">
        <w:t xml:space="preserve">of Vahey et al. (2015) </w:t>
      </w:r>
      <w:r w:rsidRPr="00832F7C">
        <w:t xml:space="preserve">could not be verified at </w:t>
      </w:r>
      <w:r w:rsidR="009D1517" w:rsidRPr="00832F7C">
        <w:t>several</w:t>
      </w:r>
      <w:r w:rsidRPr="00832F7C">
        <w:t xml:space="preserve"> different stages </w:t>
      </w:r>
      <w:r w:rsidR="009D1517" w:rsidRPr="00832F7C">
        <w:t xml:space="preserve">of the data extraction and </w:t>
      </w:r>
      <w:r w:rsidRPr="00832F7C">
        <w:t>analysis</w:t>
      </w:r>
      <w:r w:rsidR="00802D88" w:rsidRPr="00832F7C">
        <w:t xml:space="preserve">, </w:t>
      </w:r>
      <w:r w:rsidR="00751E40" w:rsidRPr="00832F7C">
        <w:t>and</w:t>
      </w:r>
      <w:r w:rsidR="00802D88" w:rsidRPr="00832F7C">
        <w:t xml:space="preserve"> multiple errors </w:t>
      </w:r>
      <w:r w:rsidR="00751E40" w:rsidRPr="00832F7C">
        <w:t>and</w:t>
      </w:r>
      <w:r w:rsidR="00802D88" w:rsidRPr="00832F7C">
        <w:t xml:space="preserve"> </w:t>
      </w:r>
      <w:r w:rsidR="005C6FA5" w:rsidRPr="00832F7C">
        <w:t xml:space="preserve">internal </w:t>
      </w:r>
      <w:r w:rsidR="00802D88" w:rsidRPr="00832F7C">
        <w:t xml:space="preserve">discrepancies </w:t>
      </w:r>
      <w:r w:rsidR="00751E40" w:rsidRPr="00832F7C">
        <w:t xml:space="preserve">were </w:t>
      </w:r>
      <w:r w:rsidR="00802D88" w:rsidRPr="00832F7C">
        <w:t>detected</w:t>
      </w:r>
      <w:r w:rsidRPr="00832F7C">
        <w:t xml:space="preserve">. </w:t>
      </w:r>
      <w:r w:rsidR="00AB2048" w:rsidRPr="00832F7C">
        <w:t xml:space="preserve">The </w:t>
      </w:r>
      <w:r w:rsidR="00EA7DFA" w:rsidRPr="00832F7C">
        <w:t xml:space="preserve">original article’s </w:t>
      </w:r>
      <w:r w:rsidR="00AB2048" w:rsidRPr="00832F7C">
        <w:t xml:space="preserve">inclusion and exclusion criteria were not </w:t>
      </w:r>
      <w:r w:rsidR="000A1DC4" w:rsidRPr="00832F7C">
        <w:t xml:space="preserve">consistently </w:t>
      </w:r>
      <w:r w:rsidR="00AB2048" w:rsidRPr="00832F7C">
        <w:t>applied</w:t>
      </w:r>
      <w:r w:rsidR="00E93CCC" w:rsidRPr="00832F7C">
        <w:t>: m</w:t>
      </w:r>
      <w:r w:rsidR="00AB2048" w:rsidRPr="00832F7C">
        <w:t xml:space="preserve">any effects that met </w:t>
      </w:r>
      <w:r w:rsidR="00FE5843">
        <w:t xml:space="preserve">the </w:t>
      </w:r>
      <w:r w:rsidR="00AB2048" w:rsidRPr="00832F7C">
        <w:t xml:space="preserve">inclusion criteria were not </w:t>
      </w:r>
      <w:r w:rsidR="00BD1219" w:rsidRPr="00832F7C">
        <w:t>included. C</w:t>
      </w:r>
      <w:r w:rsidR="00AB2048" w:rsidRPr="00832F7C">
        <w:t xml:space="preserve">onversely, many effects that were included did not meet inclusion criteria, e.g., </w:t>
      </w:r>
      <w:r w:rsidR="004259E7" w:rsidRPr="00832F7C">
        <w:t>41.1</w:t>
      </w:r>
      <w:r w:rsidR="00AB2048" w:rsidRPr="00832F7C">
        <w:t>% were not criterion effects as they did not involve a</w:t>
      </w:r>
      <w:r w:rsidR="00E93CCC" w:rsidRPr="00832F7C">
        <w:t xml:space="preserve">n </w:t>
      </w:r>
      <w:r w:rsidR="00AB2048" w:rsidRPr="00832F7C">
        <w:t xml:space="preserve">external variable. </w:t>
      </w:r>
      <w:r w:rsidR="003C3CC1" w:rsidRPr="00832F7C">
        <w:t xml:space="preserve">These inconsistencies in the application of the inclusion and exclusion strategy </w:t>
      </w:r>
      <w:r w:rsidR="00BD1219" w:rsidRPr="00832F7C">
        <w:t xml:space="preserve">were </w:t>
      </w:r>
      <w:r w:rsidR="003C3CC1" w:rsidRPr="00832F7C">
        <w:t xml:space="preserve">biased towards including larger effect sizes and omitting smaller ones. </w:t>
      </w:r>
      <w:r w:rsidR="002E558B" w:rsidRPr="00832F7C">
        <w:t xml:space="preserve">The averaging of these effect sizes for each </w:t>
      </w:r>
      <w:r w:rsidR="00EA7DFA" w:rsidRPr="00832F7C">
        <w:t xml:space="preserve">article </w:t>
      </w:r>
      <w:r w:rsidR="002E558B" w:rsidRPr="00832F7C">
        <w:t xml:space="preserve">was not </w:t>
      </w:r>
      <w:r w:rsidR="00EA7DFA" w:rsidRPr="00832F7C">
        <w:t xml:space="preserve">computationally </w:t>
      </w:r>
      <w:r w:rsidR="002E558B" w:rsidRPr="00832F7C">
        <w:t>reproducibl</w:t>
      </w:r>
      <w:r w:rsidR="00EA7DFA" w:rsidRPr="00832F7C">
        <w:t>e</w:t>
      </w:r>
      <w:r w:rsidR="007F19D1" w:rsidRPr="00832F7C">
        <w:t xml:space="preserve"> in</w:t>
      </w:r>
      <w:r w:rsidR="00E93CCC" w:rsidRPr="00832F7C">
        <w:t xml:space="preserve"> </w:t>
      </w:r>
      <w:r w:rsidR="00B95E95" w:rsidRPr="00832F7C">
        <w:t>13% of cases.</w:t>
      </w:r>
      <w:r w:rsidR="00F1693C" w:rsidRPr="00832F7C">
        <w:t xml:space="preserve"> </w:t>
      </w:r>
      <w:r w:rsidR="002E558B" w:rsidRPr="00832F7C">
        <w:t xml:space="preserve">The results of </w:t>
      </w:r>
      <w:r w:rsidR="00896E27" w:rsidRPr="00832F7C">
        <w:t xml:space="preserve">the </w:t>
      </w:r>
      <w:r w:rsidR="002E558B" w:rsidRPr="00832F7C">
        <w:t>meta-analysis could not be reproduced</w:t>
      </w:r>
      <w:r w:rsidR="00933C23" w:rsidRPr="00832F7C">
        <w:t xml:space="preserve"> despite numerous </w:t>
      </w:r>
      <w:r w:rsidR="00B82B7F" w:rsidRPr="00832F7C">
        <w:t xml:space="preserve">different </w:t>
      </w:r>
      <w:r w:rsidR="00933C23" w:rsidRPr="00832F7C">
        <w:t>attempts</w:t>
      </w:r>
      <w:r w:rsidR="00EA7DFA" w:rsidRPr="00832F7C">
        <w:t xml:space="preserve"> and approaches</w:t>
      </w:r>
      <w:r w:rsidR="00477EC4" w:rsidRPr="00832F7C">
        <w:t>, with the closest reproducing requiring two serious errors to be made on purpose (using the wrong dataset and mislabelling Confidence Intervals as Credibility Intervals and vice versa)</w:t>
      </w:r>
      <w:r w:rsidR="00EA7DFA" w:rsidRPr="00832F7C">
        <w:t>.</w:t>
      </w:r>
      <w:r w:rsidR="00933C23" w:rsidRPr="00832F7C">
        <w:t xml:space="preserve"> </w:t>
      </w:r>
      <w:r w:rsidR="006D2D19" w:rsidRPr="00832F7C">
        <w:t>The original p</w:t>
      </w:r>
      <w:r w:rsidR="00B95E95" w:rsidRPr="00832F7C">
        <w:t>ower analys</w:t>
      </w:r>
      <w:r w:rsidR="00F04934" w:rsidRPr="00832F7C">
        <w:t>e</w:t>
      </w:r>
      <w:r w:rsidR="00B95E95" w:rsidRPr="00832F7C">
        <w:t xml:space="preserve">s </w:t>
      </w:r>
      <w:r w:rsidR="00F04934" w:rsidRPr="00832F7C">
        <w:t>were mostly reproducible</w:t>
      </w:r>
      <w:r w:rsidR="007F19D1" w:rsidRPr="00832F7C">
        <w:t>,</w:t>
      </w:r>
      <w:r w:rsidR="006D2D19" w:rsidRPr="00832F7C">
        <w:t xml:space="preserve"> </w:t>
      </w:r>
      <w:r w:rsidR="007F19D1" w:rsidRPr="00832F7C">
        <w:t>h</w:t>
      </w:r>
      <w:r w:rsidR="006D2D19" w:rsidRPr="00832F7C">
        <w:t>owever</w:t>
      </w:r>
      <w:r w:rsidR="00F04934" w:rsidRPr="00832F7C">
        <w:t>,</w:t>
      </w:r>
      <w:r w:rsidR="006D2D19" w:rsidRPr="00832F7C">
        <w:t xml:space="preserve"> given the lack of reproducibility of the </w:t>
      </w:r>
      <w:r w:rsidR="00F04934" w:rsidRPr="00832F7C">
        <w:t>meta-analysis itself</w:t>
      </w:r>
      <w:r w:rsidR="006D2D19" w:rsidRPr="00832F7C">
        <w:t xml:space="preserve">, the </w:t>
      </w:r>
      <w:r w:rsidR="00F04934" w:rsidRPr="00832F7C">
        <w:t xml:space="preserve">validity of those </w:t>
      </w:r>
      <w:r w:rsidR="006D2D19" w:rsidRPr="00832F7C">
        <w:t>power analyses’ results</w:t>
      </w:r>
      <w:r w:rsidR="00F04934" w:rsidRPr="00832F7C">
        <w:t xml:space="preserve"> </w:t>
      </w:r>
      <w:r w:rsidR="007F19D1" w:rsidRPr="00832F7C">
        <w:t xml:space="preserve">based on that meta-analysis estimate </w:t>
      </w:r>
      <w:r w:rsidR="00F04934" w:rsidRPr="00832F7C">
        <w:t xml:space="preserve">was </w:t>
      </w:r>
      <w:r w:rsidR="007F19D1" w:rsidRPr="00832F7C">
        <w:t xml:space="preserve">fundamentally </w:t>
      </w:r>
      <w:r w:rsidR="00F04934" w:rsidRPr="00832F7C">
        <w:t>undermined</w:t>
      </w:r>
      <w:r w:rsidR="006D2D19" w:rsidRPr="00832F7C">
        <w:t xml:space="preserve">. </w:t>
      </w:r>
      <w:r w:rsidRPr="00832F7C">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32F7C">
        <w:fldChar w:fldCharType="begin"/>
      </w:r>
      <w:r w:rsidR="003221C9" w:rsidRPr="00832F7C">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32F7C">
        <w:fldChar w:fldCharType="separate"/>
      </w:r>
      <w:r w:rsidRPr="00832F7C">
        <w:t>(Gøtzsche et al., 2007; Kadlec et al., 2023; Lakens et al., 2016, 2017; Maassen et al., 2020)</w:t>
      </w:r>
      <w:r w:rsidRPr="00832F7C">
        <w:fldChar w:fldCharType="end"/>
      </w:r>
      <w:r w:rsidRPr="00832F7C">
        <w:t xml:space="preserve">. </w:t>
      </w:r>
    </w:p>
    <w:p w14:paraId="20D3CAD7" w14:textId="181367DF" w:rsidR="00240F20" w:rsidRPr="00832F7C" w:rsidRDefault="00000000" w:rsidP="00D77465">
      <w:r w:rsidRPr="00832F7C">
        <w:t>After correcting th</w:t>
      </w:r>
      <w:r w:rsidR="00F31469" w:rsidRPr="00832F7C">
        <w:t>e above</w:t>
      </w:r>
      <w:r w:rsidRPr="00832F7C">
        <w:t xml:space="preserve"> issues, a</w:t>
      </w:r>
      <w:r w:rsidR="006D2D19" w:rsidRPr="00832F7C">
        <w:t xml:space="preserve"> new meta-analysis was conducted</w:t>
      </w:r>
      <w:r w:rsidR="008926B3" w:rsidRPr="00832F7C">
        <w:t xml:space="preserve"> </w:t>
      </w:r>
      <w:proofErr w:type="gramStart"/>
      <w:r w:rsidR="008926B3" w:rsidRPr="00832F7C">
        <w:t>in order to</w:t>
      </w:r>
      <w:proofErr w:type="gramEnd"/>
      <w:r w:rsidR="008926B3" w:rsidRPr="00832F7C">
        <w:t xml:space="preserve"> </w:t>
      </w:r>
      <w:r w:rsidR="00C90C53">
        <w:t>illustrate</w:t>
      </w:r>
      <w:r w:rsidR="008926B3" w:rsidRPr="00832F7C">
        <w:t xml:space="preserve"> the combined impact of these issues on the </w:t>
      </w:r>
      <w:r w:rsidR="00C90C53">
        <w:t xml:space="preserve">original article’s </w:t>
      </w:r>
      <w:r w:rsidR="008926B3" w:rsidRPr="00832F7C">
        <w:t>conclusions</w:t>
      </w:r>
      <w:r w:rsidR="00FB2F03">
        <w:t xml:space="preserve"> (i.e., without</w:t>
      </w:r>
      <w:r w:rsidR="00FB2F03" w:rsidRPr="00832F7C">
        <w:t xml:space="preserve"> </w:t>
      </w:r>
      <w:r w:rsidR="00FB2F03">
        <w:t xml:space="preserve">endorsing </w:t>
      </w:r>
      <w:r w:rsidR="00FB2F03" w:rsidRPr="00832F7C">
        <w:t xml:space="preserve">the results of this new meta-analysis </w:t>
      </w:r>
      <w:r w:rsidR="00FB2F03">
        <w:t xml:space="preserve">as a valid estimate of the IRAP’s criterion validity, </w:t>
      </w:r>
      <w:r w:rsidR="00FB2F03" w:rsidRPr="00832F7C">
        <w:t xml:space="preserve">or </w:t>
      </w:r>
      <w:r w:rsidR="00FB2F03">
        <w:t xml:space="preserve">the results of the </w:t>
      </w:r>
      <w:r w:rsidR="00FB2F03" w:rsidRPr="00832F7C">
        <w:t>power analysis</w:t>
      </w:r>
      <w:r w:rsidR="00FB2F03">
        <w:t xml:space="preserve"> as genuine recommendations for sample size planning)</w:t>
      </w:r>
      <w:r w:rsidR="008926B3" w:rsidRPr="00832F7C">
        <w:t>.</w:t>
      </w:r>
      <w:r w:rsidR="006D2D19" w:rsidRPr="00832F7C">
        <w:t xml:space="preserve"> Results suggested a meta-effect size </w:t>
      </w:r>
      <w:r w:rsidR="00D065B6" w:rsidRPr="00832F7C">
        <w:t xml:space="preserve">of </w:t>
      </w:r>
      <m:oMath>
        <m:acc>
          <m:accPr>
            <m:chr m:val="̅"/>
            <m:ctrlPr>
              <w:rPr>
                <w:rFonts w:ascii="Cambria Math" w:hAnsi="Cambria Math"/>
                <w:i/>
              </w:rPr>
            </m:ctrlPr>
          </m:accPr>
          <m:e>
            <m:r>
              <w:rPr>
                <w:rFonts w:ascii="Cambria Math" w:hAnsi="Cambria Math"/>
              </w:rPr>
              <m:t>r</m:t>
            </m:r>
          </m:e>
        </m:acc>
      </m:oMath>
      <w:r w:rsidR="00D065B6" w:rsidRPr="00832F7C">
        <w:t xml:space="preserve"> = .22, </w:t>
      </w:r>
      <w:r w:rsidR="006D2D19" w:rsidRPr="00832F7C">
        <w:t xml:space="preserve">less than half that reported in </w:t>
      </w:r>
      <w:r w:rsidR="00D065B6" w:rsidRPr="00832F7C">
        <w:lastRenderedPageBreak/>
        <w:t>the original article (</w:t>
      </w:r>
      <m:oMath>
        <m:acc>
          <m:accPr>
            <m:chr m:val="̅"/>
            <m:ctrlPr>
              <w:rPr>
                <w:rFonts w:ascii="Cambria Math" w:hAnsi="Cambria Math"/>
                <w:i/>
              </w:rPr>
            </m:ctrlPr>
          </m:accPr>
          <m:e>
            <m:r>
              <w:rPr>
                <w:rFonts w:ascii="Cambria Math" w:hAnsi="Cambria Math"/>
              </w:rPr>
              <m:t>r</m:t>
            </m:r>
          </m:e>
        </m:acc>
      </m:oMath>
      <w:r w:rsidR="00D065B6" w:rsidRPr="00832F7C">
        <w:t xml:space="preserve"> = .45)</w:t>
      </w:r>
      <w:r w:rsidR="00672A84" w:rsidRPr="00832F7C">
        <w:t>.</w:t>
      </w:r>
      <w:r w:rsidR="006D2D19" w:rsidRPr="00832F7C">
        <w:t xml:space="preserve"> </w:t>
      </w:r>
      <w:r w:rsidRPr="00832F7C">
        <w:t>Vahey et al. (2015) stated that</w:t>
      </w:r>
      <w:r w:rsidR="00D065B6" w:rsidRPr="00832F7C">
        <w:t>, according to their results,</w:t>
      </w:r>
      <w:r w:rsidRPr="00832F7C">
        <w:t xml:space="preserve"> the IRAP</w:t>
      </w:r>
      <w:r w:rsidR="008076CB">
        <w:t>’</w:t>
      </w:r>
      <w:r w:rsidRPr="00832F7C">
        <w:t xml:space="preserve">s criterion validity compares </w:t>
      </w:r>
      <w:r w:rsidR="00EE0367" w:rsidRPr="00832F7C">
        <w:t>“</w:t>
      </w:r>
      <w:r w:rsidRPr="00832F7C">
        <w:t>favorably</w:t>
      </w:r>
      <w:r w:rsidR="00EE0367" w:rsidRPr="00832F7C">
        <w:t>”</w:t>
      </w:r>
      <w:r w:rsidRPr="00832F7C">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832F7C">
        <w:t xml:space="preserve"> = .22 for addiction and </w:t>
      </w:r>
      <m:oMath>
        <m:acc>
          <m:accPr>
            <m:chr m:val="̅"/>
            <m:ctrlPr>
              <w:rPr>
                <w:rFonts w:ascii="Cambria Math" w:hAnsi="Cambria Math"/>
                <w:i/>
              </w:rPr>
            </m:ctrlPr>
          </m:accPr>
          <m:e>
            <m:r>
              <w:rPr>
                <w:rFonts w:ascii="Cambria Math" w:hAnsi="Cambria Math"/>
              </w:rPr>
              <m:t>r</m:t>
            </m:r>
          </m:e>
        </m:acc>
      </m:oMath>
      <w:r w:rsidRPr="00832F7C">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32F7C">
        <w:t xml:space="preserve">s = .18 to .28: Cameron et al. 2012; Herring et al., 2013; Rooke et al., 2008). </w:t>
      </w:r>
      <w:r w:rsidR="00D065B6" w:rsidRPr="00832F7C">
        <w:t>Without endorsing the updated meta-analysis, by Vahey et al.’s (2015) line of argument, the current results suggest that the IRAP is therefore on par with other such measures rather than superior to them</w:t>
      </w:r>
      <w:r w:rsidRPr="00832F7C">
        <w:t>.</w:t>
      </w:r>
      <w:r w:rsidR="00707292" w:rsidRPr="00832F7C">
        <w:t xml:space="preserve"> </w:t>
      </w:r>
    </w:p>
    <w:p w14:paraId="78195346" w14:textId="0B6F36B4" w:rsidR="000B1ABC" w:rsidRPr="00832F7C" w:rsidRDefault="00000000" w:rsidP="00D77465">
      <w:r w:rsidRPr="00832F7C">
        <w:t xml:space="preserve">New power analyses </w:t>
      </w:r>
      <w:r w:rsidR="006975DC" w:rsidRPr="00832F7C">
        <w:t xml:space="preserve">mirroring the original ones were then conducted using this new meta-analytic effect size. These </w:t>
      </w:r>
      <w:r w:rsidRPr="00832F7C">
        <w:t>suggest</w:t>
      </w:r>
      <w:r w:rsidR="00D3019A" w:rsidRPr="00832F7C">
        <w:t>ed</w:t>
      </w:r>
      <w:r w:rsidRPr="00832F7C">
        <w:t xml:space="preserve"> that a much larger number of participants is required</w:t>
      </w:r>
      <w:r w:rsidR="00D3019A" w:rsidRPr="00832F7C">
        <w:t xml:space="preserve"> </w:t>
      </w:r>
      <w:r w:rsidR="006975DC" w:rsidRPr="00832F7C">
        <w:t xml:space="preserve">in future IRAP studies </w:t>
      </w:r>
      <w:r w:rsidR="00D3019A" w:rsidRPr="00832F7C">
        <w:t>than recommended</w:t>
      </w:r>
      <w:r w:rsidR="006975DC" w:rsidRPr="00832F7C">
        <w:t xml:space="preserve"> </w:t>
      </w:r>
      <w:r w:rsidR="003850ED">
        <w:t>in</w:t>
      </w:r>
      <w:r w:rsidR="006975DC" w:rsidRPr="00832F7C">
        <w:t xml:space="preserve"> Vahey et al. (2015)</w:t>
      </w:r>
      <w:r w:rsidR="00D3019A" w:rsidRPr="00832F7C">
        <w:t xml:space="preserve">. For example, </w:t>
      </w:r>
      <w:r w:rsidR="00F055F7" w:rsidRPr="00832F7C">
        <w:t>although sample size recommendations for several different analyses and designs</w:t>
      </w:r>
      <w:r w:rsidR="003850ED">
        <w:t xml:space="preserve"> were reported in </w:t>
      </w:r>
      <w:r w:rsidR="003850ED" w:rsidRPr="00832F7C">
        <w:t>Vahey et al. (2015)</w:t>
      </w:r>
      <w:r w:rsidR="00F055F7" w:rsidRPr="00832F7C">
        <w:t xml:space="preserve">, it is most frequently cited for the specific recommendation of </w:t>
      </w:r>
      <w:r w:rsidR="00374EDC">
        <w:t>“</w:t>
      </w:r>
      <w:r w:rsidR="006975DC" w:rsidRPr="00832F7C">
        <w:rPr>
          <w:i/>
          <w:iCs/>
        </w:rPr>
        <w:t>N</w:t>
      </w:r>
      <w:r w:rsidR="006975DC" w:rsidRPr="00832F7C">
        <w:t xml:space="preserve"> &gt; </w:t>
      </w:r>
      <w:r w:rsidR="00D3019A" w:rsidRPr="00832F7C">
        <w:t>37</w:t>
      </w:r>
      <w:r w:rsidR="00374EDC">
        <w:t>” (i.e.,</w:t>
      </w:r>
      <w:r w:rsidR="00F055F7" w:rsidRPr="00832F7C">
        <w:t xml:space="preserve"> </w:t>
      </w:r>
      <w:r w:rsidR="006975DC" w:rsidRPr="00832F7C">
        <w:t xml:space="preserve">to detect a </w:t>
      </w:r>
      <w:r w:rsidR="00D3019A" w:rsidRPr="00832F7C">
        <w:t>first-order correlation</w:t>
      </w:r>
      <w:r w:rsidR="00374EDC">
        <w:t xml:space="preserve">, </w:t>
      </w:r>
      <w:r w:rsidR="00F055F7" w:rsidRPr="00832F7C">
        <w:t xml:space="preserve">alpha = 0.5, one-tailed, 80% </w:t>
      </w:r>
      <w:proofErr w:type="gramStart"/>
      <w:r w:rsidR="00F055F7" w:rsidRPr="00832F7C">
        <w:t>power;</w:t>
      </w:r>
      <w:proofErr w:type="gramEnd"/>
      <w:r w:rsidR="00F055F7" w:rsidRPr="00832F7C">
        <w:t xml:space="preserve"> e.g., Kavanagh </w:t>
      </w:r>
      <w:r w:rsidR="006D38BA" w:rsidRPr="00832F7C">
        <w:t>et al. 2022</w:t>
      </w:r>
      <w:r w:rsidR="00F055F7" w:rsidRPr="00832F7C">
        <w:t>). T</w:t>
      </w:r>
      <w:r w:rsidR="00D3019A" w:rsidRPr="00832F7C">
        <w:t xml:space="preserve">he </w:t>
      </w:r>
      <w:r w:rsidR="00F055F7" w:rsidRPr="00832F7C">
        <w:t xml:space="preserve">sample size recommendation based on the updated meta-analytic effect size is </w:t>
      </w:r>
      <w:r w:rsidR="00F055F7" w:rsidRPr="00832F7C">
        <w:rPr>
          <w:i/>
          <w:iCs/>
        </w:rPr>
        <w:t>N</w:t>
      </w:r>
      <w:r w:rsidR="00F055F7" w:rsidRPr="00832F7C">
        <w:t xml:space="preserve"> &gt; </w:t>
      </w:r>
      <w:r w:rsidR="00FE6607" w:rsidRPr="00832F7C">
        <w:t xml:space="preserve">273 for a one-tailed correlation, and 346 for the much more commonly used </w:t>
      </w:r>
      <w:r w:rsidR="007A2826" w:rsidRPr="00832F7C">
        <w:t xml:space="preserve">and less liberal </w:t>
      </w:r>
      <w:r w:rsidR="00FE6607" w:rsidRPr="00832F7C">
        <w:t>two-tailed correlation</w:t>
      </w:r>
      <w:r w:rsidR="00F055F7" w:rsidRPr="00832F7C">
        <w:t xml:space="preserve">. It is worth noting that </w:t>
      </w:r>
      <w:r w:rsidRPr="00832F7C">
        <w:t xml:space="preserve">between 0% and 2.1% of </w:t>
      </w:r>
      <w:r w:rsidR="00F055F7" w:rsidRPr="00832F7C">
        <w:t xml:space="preserve">published </w:t>
      </w:r>
      <w:r w:rsidRPr="00832F7C">
        <w:t xml:space="preserve">original research using the </w:t>
      </w:r>
      <w:r w:rsidR="00F055F7" w:rsidRPr="00832F7C">
        <w:t xml:space="preserve">IRAP </w:t>
      </w:r>
      <w:r w:rsidR="00270AEF" w:rsidRPr="00832F7C">
        <w:t xml:space="preserve">has </w:t>
      </w:r>
      <w:r w:rsidR="00F055F7" w:rsidRPr="00832F7C">
        <w:t xml:space="preserve">included </w:t>
      </w:r>
      <w:r w:rsidRPr="00832F7C">
        <w:t xml:space="preserve">sample size meeting these </w:t>
      </w:r>
      <w:r w:rsidR="004A2544" w:rsidRPr="00832F7C">
        <w:t>criteria</w:t>
      </w:r>
      <w:r w:rsidR="00DD32AB" w:rsidRPr="00832F7C">
        <w:t xml:space="preserve">, according to a recent systematic review of </w:t>
      </w:r>
      <w:r w:rsidR="001B3064" w:rsidRPr="00832F7C">
        <w:t>IRAP</w:t>
      </w:r>
      <w:r w:rsidR="00DD32AB" w:rsidRPr="00832F7C">
        <w:t xml:space="preserve"> research </w:t>
      </w:r>
      <w:r w:rsidR="001B3064" w:rsidRPr="00832F7C">
        <w:t xml:space="preserve">published between 2006 and 2022 </w:t>
      </w:r>
      <w:r w:rsidR="007F77A7" w:rsidRPr="00832F7C">
        <w:fldChar w:fldCharType="begin"/>
      </w:r>
      <w:r w:rsidR="001B1ED8" w:rsidRPr="00832F7C">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32F7C">
        <w:fldChar w:fldCharType="separate"/>
      </w:r>
      <w:r w:rsidR="001B1ED8" w:rsidRPr="00832F7C">
        <w:rPr>
          <w:noProof/>
        </w:rPr>
        <w:t xml:space="preserve">(188 studies in 150 publications, median </w:t>
      </w:r>
      <w:r w:rsidR="001B1ED8" w:rsidRPr="00832F7C">
        <w:rPr>
          <w:i/>
          <w:iCs/>
          <w:noProof/>
        </w:rPr>
        <w:t>N</w:t>
      </w:r>
      <w:r w:rsidR="001B1ED8" w:rsidRPr="00832F7C">
        <w:rPr>
          <w:noProof/>
        </w:rPr>
        <w:t xml:space="preserve"> = 41, range = 9 to 210: Hussey, 2023)</w:t>
      </w:r>
      <w:r w:rsidR="007F77A7" w:rsidRPr="00832F7C">
        <w:fldChar w:fldCharType="end"/>
      </w:r>
      <w:r w:rsidR="002D63BA" w:rsidRPr="00832F7C">
        <w:t>.</w:t>
      </w:r>
      <w:r w:rsidR="00276883" w:rsidRPr="00832F7C">
        <w:t xml:space="preserve"> </w:t>
      </w:r>
    </w:p>
    <w:p w14:paraId="7E9C94F8" w14:textId="69A8E58F" w:rsidR="00991577" w:rsidRPr="00832F7C" w:rsidRDefault="00973FA8" w:rsidP="00D77465">
      <w:r>
        <w:t>T</w:t>
      </w:r>
      <w:r w:rsidR="00D36AC9">
        <w:t xml:space="preserve">he approach employed in </w:t>
      </w:r>
      <w:r w:rsidR="00000000" w:rsidRPr="00832F7C">
        <w:t xml:space="preserve">Vahey et al. (2015) of </w:t>
      </w:r>
      <w:r w:rsidR="002A7BFA">
        <w:t>meta-</w:t>
      </w:r>
      <w:r w:rsidR="002123EA">
        <w:t>analysing</w:t>
      </w:r>
      <w:r w:rsidR="00000000" w:rsidRPr="00832F7C">
        <w:t xml:space="preserve"> different types of effects between the IRAP and other criterion tasks is </w:t>
      </w:r>
      <w:r w:rsidR="00BB7FAC">
        <w:t xml:space="preserve">arguably </w:t>
      </w:r>
      <w:r w:rsidR="00000000" w:rsidRPr="00832F7C">
        <w:t>fundamentally flawed</w:t>
      </w:r>
      <w:r w:rsidR="00A5575A">
        <w:t>:</w:t>
      </w:r>
      <w:r w:rsidR="00000000" w:rsidRPr="00832F7C">
        <w:t xml:space="preserve"> it combines apples with oranges. All the following effects were meta-analyzed together: effect sizes representing the magnitude of</w:t>
      </w:r>
      <w:r w:rsidR="00EC2421" w:rsidRPr="00832F7C">
        <w:t xml:space="preserve"> the compatibility effect on the </w:t>
      </w:r>
      <w:r w:rsidR="00000000" w:rsidRPr="00832F7C">
        <w:t>IRAP</w:t>
      </w:r>
      <w:r w:rsidR="00EC2421" w:rsidRPr="00832F7C">
        <w:t xml:space="preserve"> itself</w:t>
      </w:r>
      <w:r w:rsidR="00D22F72" w:rsidRPr="00832F7C">
        <w:t>,</w:t>
      </w:r>
      <w:r w:rsidR="00000000" w:rsidRPr="00832F7C">
        <w:t xml:space="preserve"> </w:t>
      </w:r>
      <w:r w:rsidR="00EC2421" w:rsidRPr="00832F7C">
        <w:t>interaction effects between IRAP trial types and group allocations</w:t>
      </w:r>
      <w:r w:rsidR="00D22F72" w:rsidRPr="00832F7C">
        <w:t>,</w:t>
      </w:r>
      <w:r w:rsidR="00EC2421" w:rsidRPr="00832F7C">
        <w:t xml:space="preserve"> and correlations between IRAP trial types and criterion tasks. In doing so, different types of IRAP data were combined as one: </w:t>
      </w:r>
      <w:r w:rsidR="00EC2421" w:rsidRPr="00832F7C">
        <w:lastRenderedPageBreak/>
        <w:t>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832F7C">
        <w:t xml:space="preserve"> as one. </w:t>
      </w:r>
      <w:r w:rsidR="00CD0505" w:rsidRPr="00832F7C">
        <w:t xml:space="preserve">It is exceptionally difficult to know what the resulting meta-analyzed effect size is an estimate </w:t>
      </w:r>
      <w:r w:rsidR="00CD0505" w:rsidRPr="00832F7C">
        <w:rPr>
          <w:i/>
          <w:iCs/>
        </w:rPr>
        <w:t>of</w:t>
      </w:r>
      <w:r w:rsidR="00CD0505" w:rsidRPr="00832F7C">
        <w:t>, i.e. what the estimand is</w:t>
      </w:r>
      <w:r w:rsidR="00E35347" w:rsidRPr="00832F7C">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832F7C">
        <w:t xml:space="preserve">separate </w:t>
      </w:r>
      <w:r w:rsidR="00E35347" w:rsidRPr="00832F7C">
        <w:t xml:space="preserve">study on the correlation between </w:t>
      </w:r>
      <w:r w:rsidR="00303C97" w:rsidRPr="00832F7C">
        <w:t>self-reported self-esteem and a self-esteem IRAP in a prisoner population?</w:t>
      </w:r>
      <w:r w:rsidR="00F35A2C" w:rsidRPr="00832F7C">
        <w:t xml:space="preserve"> </w:t>
      </w:r>
      <w:r w:rsidR="00C00461" w:rsidRPr="00832F7C">
        <w:t>I argue that this apples-with-oranges approach is erroneous and leads to misleading conclusions, but the point of the verifications presented here is to highlight that Vahey et al.’s (2015) erroneous analytic approach was also erroneously implemented.</w:t>
      </w:r>
    </w:p>
    <w:p w14:paraId="580BE78D" w14:textId="77777777" w:rsidR="00A261A9" w:rsidRPr="00832F7C" w:rsidRDefault="00000000" w:rsidP="00D77465">
      <w:pPr>
        <w:pStyle w:val="Heading2"/>
      </w:pPr>
      <w:r w:rsidRPr="00832F7C">
        <w:t>Limitations</w:t>
      </w:r>
    </w:p>
    <w:p w14:paraId="06487620" w14:textId="738AC01E" w:rsidR="00625E20" w:rsidRPr="00832F7C" w:rsidRDefault="00000000" w:rsidP="005F6E05">
      <w:r w:rsidRPr="00832F7C">
        <w:t xml:space="preserve">It </w:t>
      </w:r>
      <w:r w:rsidR="002760FA" w:rsidRPr="00832F7C">
        <w:t xml:space="preserve">is possible that </w:t>
      </w:r>
      <w:r w:rsidR="00171EBC" w:rsidRPr="00832F7C">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832F7C">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rsidRPr="00832F7C">
        <w:t>V</w:t>
      </w:r>
      <w:r w:rsidR="00D85DD8" w:rsidRPr="00832F7C">
        <w:t xml:space="preserve">erification attempts </w:t>
      </w:r>
      <w:r w:rsidR="005328E2" w:rsidRPr="00832F7C">
        <w:t xml:space="preserve">are in general enhanced with </w:t>
      </w:r>
      <w:r w:rsidR="00D85DD8" w:rsidRPr="00832F7C">
        <w:t xml:space="preserve">access to the original code. Unfortunately, however, the first author of the original article declined to share their code. </w:t>
      </w:r>
    </w:p>
    <w:p w14:paraId="48166842" w14:textId="2FD7D664" w:rsidR="00F545F5" w:rsidRPr="00832F7C" w:rsidRDefault="00000000" w:rsidP="00D77465">
      <w:pPr>
        <w:pStyle w:val="Heading2"/>
      </w:pPr>
      <w:r w:rsidRPr="00832F7C">
        <w:t>Future research on error detection in meta-analyses</w:t>
      </w:r>
    </w:p>
    <w:p w14:paraId="1EAA7ABB" w14:textId="77777777" w:rsidR="00F545F5" w:rsidRPr="00832F7C" w:rsidRDefault="00000000" w:rsidP="00D77465">
      <w:r w:rsidRPr="00832F7C">
        <w:t xml:space="preserve">The recommendations of much of the previous meta-science research on errors in meta-analyses have been recommendations to the authors of meta-analyses themselves on how to prevent errors </w:t>
      </w:r>
      <w:r w:rsidRPr="00832F7C">
        <w:fldChar w:fldCharType="begin"/>
      </w:r>
      <w:r w:rsidRPr="00832F7C">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832F7C">
        <w:fldChar w:fldCharType="separate"/>
      </w:r>
      <w:r w:rsidRPr="00832F7C">
        <w:t>(e.g., Lakens et al., 2016; López-Nicolás et al., 2022)</w:t>
      </w:r>
      <w:r w:rsidRPr="00832F7C">
        <w:fldChar w:fldCharType="end"/>
      </w:r>
      <w:r w:rsidRPr="00832F7C">
        <w:t xml:space="preserve">. Relatively fewer recommendations, or indeed general strategies, have been made for researchers engaged in </w:t>
      </w:r>
      <w:r w:rsidRPr="00832F7C">
        <w:lastRenderedPageBreak/>
        <w:t xml:space="preserve">error detection. Kadlec et al. </w:t>
      </w:r>
      <w:r w:rsidRPr="00832F7C">
        <w:fldChar w:fldCharType="begin"/>
      </w:r>
      <w:r w:rsidRPr="00832F7C">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832F7C">
        <w:fldChar w:fldCharType="separate"/>
      </w:r>
      <w:r w:rsidRPr="00832F7C">
        <w:rPr>
          <w:noProof/>
        </w:rPr>
        <w:t>(2023)</w:t>
      </w:r>
      <w:r w:rsidRPr="00832F7C">
        <w:fldChar w:fldCharType="end"/>
      </w:r>
      <w:r w:rsidRPr="00832F7C">
        <w:t xml:space="preserve"> provide an excellent example of this, with both descriptions of their general error detection strategies and concrete recommendations such as regarding Standardized Mean Difference effect sizes (e.g., Cohen’s </w:t>
      </w:r>
      <w:r w:rsidRPr="00832F7C">
        <w:rPr>
          <w:i/>
          <w:iCs/>
        </w:rPr>
        <w:t>d</w:t>
      </w:r>
      <w:r w:rsidRPr="00832F7C">
        <w:t xml:space="preserve">, Hedges’ </w:t>
      </w:r>
      <w:r w:rsidRPr="00832F7C">
        <w:rPr>
          <w:i/>
          <w:iCs/>
        </w:rPr>
        <w:t>g</w:t>
      </w:r>
      <w:r w:rsidRPr="00832F7C">
        <w:t>) that are larger than 3 with great suspicion. The current research offers some additional suggestions and guiding principles for error detection in meta-analyses:</w:t>
      </w:r>
    </w:p>
    <w:p w14:paraId="0D3307BE" w14:textId="77777777" w:rsidR="00F545F5" w:rsidRPr="00832F7C" w:rsidRDefault="00000000" w:rsidP="00D77465">
      <w:pPr>
        <w:pStyle w:val="ListParagraph"/>
        <w:numPr>
          <w:ilvl w:val="0"/>
          <w:numId w:val="5"/>
        </w:numPr>
      </w:pPr>
      <w:r w:rsidRPr="00832F7C">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79BCB326" w14:textId="77777777" w:rsidR="0014779F" w:rsidRPr="00832F7C" w:rsidRDefault="00000000" w:rsidP="00D77465">
      <w:pPr>
        <w:pStyle w:val="ListParagraph"/>
        <w:numPr>
          <w:ilvl w:val="0"/>
          <w:numId w:val="5"/>
        </w:numPr>
      </w:pPr>
      <w:r w:rsidRPr="00832F7C">
        <w:t>Plots that appear to have been created using software other than commonly employed meta-analysis software (e.g., common R packages for this, Cochrane’s RevMan, Comprehensive Meta-Analysis, etc) may be more likely to contain or expose errors</w:t>
      </w:r>
      <w:r w:rsidR="00841B98" w:rsidRPr="00832F7C">
        <w:t xml:space="preserve">. </w:t>
      </w:r>
    </w:p>
    <w:p w14:paraId="5731C2AC" w14:textId="2FA84543" w:rsidR="00F545F5" w:rsidRPr="00832F7C" w:rsidRDefault="00000000" w:rsidP="00D77465">
      <w:pPr>
        <w:pStyle w:val="ListParagraph"/>
        <w:numPr>
          <w:ilvl w:val="0"/>
          <w:numId w:val="5"/>
        </w:numPr>
      </w:pPr>
      <w:r w:rsidRPr="00832F7C">
        <w:t xml:space="preserve">Information is sometimes repeated between plots and tables, e.g., between forest and funnel plots. This provides a vector for error-checking that data points which should be identical are indeed so.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008B2188" w:rsidRPr="00832F7C">
        <w:t>[</w:t>
      </w:r>
      <w:r w:rsidRPr="00832F7C">
        <w:t>95% CI</w:t>
      </w:r>
      <w:r w:rsidR="008B2188" w:rsidRPr="00832F7C">
        <w:t xml:space="preserve"> upper – 95% CI lower] </w:t>
      </w:r>
      <w:r w:rsidRPr="00832F7C">
        <w:t xml:space="preserve">/ [1.96 </w:t>
      </w:r>
      <m:oMath>
        <m:r>
          <w:rPr>
            <w:rFonts w:ascii="Cambria Math" w:hAnsi="Cambria Math"/>
          </w:rPr>
          <m:t>×</m:t>
        </m:r>
      </m:oMath>
      <w:r w:rsidRPr="00832F7C">
        <w:t xml:space="preserve"> 2]). </w:t>
      </w:r>
    </w:p>
    <w:p w14:paraId="2B0622B8" w14:textId="77777777" w:rsidR="00F545F5" w:rsidRPr="00832F7C" w:rsidRDefault="00000000" w:rsidP="00D77465">
      <w:pPr>
        <w:pStyle w:val="ListParagraph"/>
        <w:numPr>
          <w:ilvl w:val="0"/>
          <w:numId w:val="5"/>
        </w:numPr>
      </w:pPr>
      <w:r w:rsidRPr="00832F7C">
        <w:t xml:space="preserve">Data can be extracted from plots for error checking using free and Open Source tools such as WebPlotDigitizer </w:t>
      </w:r>
      <w:r w:rsidRPr="00832F7C">
        <w:fldChar w:fldCharType="begin"/>
      </w:r>
      <w:r w:rsidRPr="00832F7C">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832F7C">
        <w:fldChar w:fldCharType="separate"/>
      </w:r>
      <w:r w:rsidRPr="00832F7C">
        <w:rPr>
          <w:noProof/>
        </w:rPr>
        <w:t>(Marin et al., 2017)</w:t>
      </w:r>
      <w:r w:rsidRPr="00832F7C">
        <w:fldChar w:fldCharType="end"/>
      </w:r>
      <w:r w:rsidRPr="00832F7C">
        <w:t>.</w:t>
      </w:r>
    </w:p>
    <w:p w14:paraId="256EA557" w14:textId="77777777" w:rsidR="00F545F5" w:rsidRPr="00832F7C" w:rsidRDefault="00000000" w:rsidP="00D77465">
      <w:pPr>
        <w:pStyle w:val="ListParagraph"/>
        <w:numPr>
          <w:ilvl w:val="0"/>
          <w:numId w:val="5"/>
        </w:numPr>
      </w:pPr>
      <w:r w:rsidRPr="00832F7C">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20C9D2CC" w14:textId="77777777" w:rsidR="00F545F5" w:rsidRPr="00832F7C" w:rsidRDefault="00000000" w:rsidP="00D77465">
      <w:pPr>
        <w:pStyle w:val="ListParagraph"/>
        <w:numPr>
          <w:ilvl w:val="0"/>
          <w:numId w:val="5"/>
        </w:numPr>
      </w:pPr>
      <w:r w:rsidRPr="00832F7C">
        <w:lastRenderedPageBreak/>
        <w:t xml:space="preserve">The accurate application of the inclusion criteria can also be </w:t>
      </w:r>
      <w:proofErr w:type="gramStart"/>
      <w:r w:rsidRPr="00832F7C">
        <w:t>checked,</w:t>
      </w:r>
      <w:proofErr w:type="gramEnd"/>
      <w:r w:rsidRPr="00832F7C">
        <w:t xml:space="preserve"> whether systematically or using spot checks. This can include checks for </w:t>
      </w:r>
      <w:r w:rsidR="00954644" w:rsidRPr="00832F7C">
        <w:t xml:space="preserve">both </w:t>
      </w:r>
      <w:r w:rsidRPr="00832F7C">
        <w:t>incorrect inclusions and incorrect omissions.</w:t>
      </w:r>
    </w:p>
    <w:p w14:paraId="79A8ADEE" w14:textId="77777777" w:rsidR="00F545F5" w:rsidRPr="00832F7C" w:rsidRDefault="00000000" w:rsidP="00D77465">
      <w:pPr>
        <w:pStyle w:val="ListParagraph"/>
        <w:numPr>
          <w:ilvl w:val="0"/>
          <w:numId w:val="5"/>
        </w:numPr>
      </w:pPr>
      <w:r w:rsidRPr="00832F7C">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832F7C">
        <w:fldChar w:fldCharType="begin"/>
      </w:r>
      <w:r w:rsidRPr="00832F7C">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832F7C">
        <w:fldChar w:fldCharType="separate"/>
      </w:r>
      <w:r w:rsidRPr="00832F7C">
        <w:rPr>
          <w:noProof/>
        </w:rPr>
        <w:t>(which can themselves be informed by data from the literature: Hussey et al., 2023)</w:t>
      </w:r>
      <w:r w:rsidRPr="00832F7C">
        <w:fldChar w:fldCharType="end"/>
      </w:r>
      <w:r w:rsidRPr="00832F7C">
        <w:t xml:space="preserve">. Correlations larger than the reliability of the component measures are implausible. </w:t>
      </w:r>
    </w:p>
    <w:p w14:paraId="57256AC9" w14:textId="77777777" w:rsidR="00F545F5" w:rsidRPr="00832F7C" w:rsidRDefault="00000000" w:rsidP="00D77465">
      <w:pPr>
        <w:pStyle w:val="ListParagraph"/>
        <w:numPr>
          <w:ilvl w:val="0"/>
          <w:numId w:val="5"/>
        </w:numPr>
      </w:pPr>
      <w:r w:rsidRPr="00832F7C">
        <w:t xml:space="preserve">The normative plausibility of effect sizes, both original and meta-analytic, can also be compared to large-scale analyses of this in the literature </w:t>
      </w:r>
      <w:r w:rsidRPr="00832F7C">
        <w:fldChar w:fldCharType="begin"/>
      </w:r>
      <w:r w:rsidRPr="00832F7C">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832F7C">
        <w:fldChar w:fldCharType="separate"/>
      </w:r>
      <w:r w:rsidRPr="00832F7C">
        <w:rPr>
          <w:noProof/>
        </w:rPr>
        <w:t>(e.g., Hemphill, 2003; Plessen et al., 2023; Richard et al., 2003)</w:t>
      </w:r>
      <w:r w:rsidRPr="00832F7C">
        <w:fldChar w:fldCharType="end"/>
      </w:r>
      <w:r w:rsidRPr="00832F7C">
        <w:t>.</w:t>
      </w:r>
    </w:p>
    <w:p w14:paraId="517E8D71" w14:textId="77777777" w:rsidR="00A75400" w:rsidRPr="00832F7C" w:rsidRDefault="00000000" w:rsidP="00D77465">
      <w:pPr>
        <w:pStyle w:val="ListParagraph"/>
        <w:numPr>
          <w:ilvl w:val="0"/>
          <w:numId w:val="5"/>
        </w:numPr>
      </w:pPr>
      <w:r w:rsidRPr="00832F7C">
        <w:t xml:space="preserve">Bias assessments can also be scrutinized. This can include an assessment of over-claiming via incorrect interpretations of non-significant tests for bias. </w:t>
      </w:r>
    </w:p>
    <w:p w14:paraId="362137D7" w14:textId="6291CB5B" w:rsidR="00625E20" w:rsidRPr="00832F7C" w:rsidRDefault="00000000" w:rsidP="00201732">
      <w:pPr>
        <w:pStyle w:val="ListParagraph"/>
        <w:numPr>
          <w:ilvl w:val="0"/>
          <w:numId w:val="5"/>
        </w:numPr>
      </w:pPr>
      <w:r w:rsidRPr="00832F7C">
        <w:t>Additionally, it can be useful to assess the overlap in authorship between the meta-analysis and the original studies</w:t>
      </w:r>
      <w:r w:rsidR="00A75400" w:rsidRPr="00832F7C">
        <w:t xml:space="preserve"> </w:t>
      </w:r>
      <w:proofErr w:type="gramStart"/>
      <w:r w:rsidR="00A75400" w:rsidRPr="00832F7C">
        <w:t>in order to</w:t>
      </w:r>
      <w:proofErr w:type="gramEnd"/>
      <w:r w:rsidR="00A75400" w:rsidRPr="00832F7C">
        <w:t xml:space="preserve"> understand potential sources of bias, including but not limited to contextualizing the results of any quantitative tests of publication bias or </w:t>
      </w:r>
      <w:r w:rsidR="00A75400" w:rsidRPr="00832F7C">
        <w:rPr>
          <w:i/>
          <w:iCs/>
        </w:rPr>
        <w:t>p</w:t>
      </w:r>
      <w:r w:rsidR="00A75400" w:rsidRPr="00832F7C">
        <w:t>-hacking</w:t>
      </w:r>
      <w:r w:rsidR="00CD1F5D" w:rsidRPr="00832F7C">
        <w:t xml:space="preserve">. </w:t>
      </w:r>
      <w:r w:rsidRPr="00832F7C">
        <w:t xml:space="preserve"> </w:t>
      </w:r>
    </w:p>
    <w:p w14:paraId="7D32047D" w14:textId="22411722" w:rsidR="00C9290D" w:rsidRPr="00832F7C" w:rsidRDefault="00000000" w:rsidP="00D77465">
      <w:pPr>
        <w:pStyle w:val="Heading2"/>
      </w:pPr>
      <w:r w:rsidRPr="00832F7C">
        <w:t>Conclusions</w:t>
      </w:r>
    </w:p>
    <w:p w14:paraId="02E33443" w14:textId="6A726E59" w:rsidR="00167923" w:rsidRPr="00832F7C" w:rsidRDefault="00000000" w:rsidP="00D77465">
      <w:r w:rsidRPr="00832F7C">
        <w:t>The results of Vahey et al. (2015) were found to have poor reproducibility at almost every stage of the analytic strategy</w:t>
      </w:r>
      <w:r w:rsidR="0046744E" w:rsidRPr="00832F7C">
        <w:t xml:space="preserve">. In </w:t>
      </w:r>
      <w:r w:rsidR="0064245C" w:rsidRPr="00832F7C">
        <w:t>aggregate</w:t>
      </w:r>
      <w:r w:rsidR="0046744E" w:rsidRPr="00832F7C">
        <w:t xml:space="preserve">, these </w:t>
      </w:r>
      <w:r w:rsidRPr="00832F7C">
        <w:t>seriously undermin</w:t>
      </w:r>
      <w:r w:rsidR="0004452B" w:rsidRPr="00832F7C">
        <w:t xml:space="preserve">e </w:t>
      </w:r>
      <w:r w:rsidRPr="00832F7C">
        <w:t xml:space="preserve">the credibility and utility of </w:t>
      </w:r>
      <w:r w:rsidR="0004452B" w:rsidRPr="00832F7C">
        <w:t xml:space="preserve">the </w:t>
      </w:r>
      <w:r w:rsidRPr="00832F7C">
        <w:t>conclusions and recommendations</w:t>
      </w:r>
      <w:r w:rsidR="0004452B" w:rsidRPr="00832F7C">
        <w:t xml:space="preserve"> of the original article</w:t>
      </w:r>
      <w:r w:rsidRPr="00832F7C">
        <w:t>.</w:t>
      </w:r>
      <w:r w:rsidR="00847B13" w:rsidRPr="00832F7C">
        <w:t xml:space="preserve"> </w:t>
      </w:r>
      <w:r w:rsidR="002B6F51" w:rsidRPr="00832F7C">
        <w:t>Recalculated results suggest</w:t>
      </w:r>
      <w:r w:rsidR="004B346C">
        <w:t>ed</w:t>
      </w:r>
      <w:r w:rsidR="002B6F51" w:rsidRPr="00832F7C">
        <w:t xml:space="preserve"> that</w:t>
      </w:r>
      <w:r w:rsidR="004B346C">
        <w:t xml:space="preserve"> the compound impact of the errors reduced </w:t>
      </w:r>
      <w:r w:rsidR="002B6F51" w:rsidRPr="00832F7C">
        <w:t xml:space="preserve">the meta-effect size </w:t>
      </w:r>
      <w:r w:rsidR="004B346C">
        <w:t xml:space="preserve">to less </w:t>
      </w:r>
      <w:r w:rsidR="002B6F51" w:rsidRPr="00832F7C">
        <w:t>than half the original result</w:t>
      </w:r>
      <w:r w:rsidR="000973EE" w:rsidRPr="00832F7C">
        <w:t xml:space="preserve"> (</w:t>
      </w:r>
      <m:oMath>
        <m:acc>
          <m:accPr>
            <m:chr m:val="̅"/>
            <m:ctrlPr>
              <w:rPr>
                <w:rFonts w:ascii="Cambria Math" w:hAnsi="Cambria Math"/>
              </w:rPr>
            </m:ctrlPr>
          </m:accPr>
          <m:e>
            <m:r>
              <w:rPr>
                <w:rFonts w:ascii="Cambria Math" w:hAnsi="Cambria Math"/>
              </w:rPr>
              <m:t>r</m:t>
            </m:r>
          </m:e>
        </m:acc>
      </m:oMath>
      <w:r w:rsidR="000973EE" w:rsidRPr="00832F7C">
        <w:t xml:space="preserve"> = .45 vs. .22)</w:t>
      </w:r>
      <w:r w:rsidR="004B346C">
        <w:t xml:space="preserve">, </w:t>
      </w:r>
      <w:r w:rsidR="002B6F51" w:rsidRPr="00832F7C">
        <w:t xml:space="preserve">and </w:t>
      </w:r>
      <w:r w:rsidR="004B346C">
        <w:t xml:space="preserve">increased the </w:t>
      </w:r>
      <w:r w:rsidR="002B6F51" w:rsidRPr="00832F7C">
        <w:t xml:space="preserve">sample size recommendations </w:t>
      </w:r>
      <w:r w:rsidR="004B346C">
        <w:t xml:space="preserve">by </w:t>
      </w:r>
      <w:r w:rsidR="002B6F51" w:rsidRPr="00832F7C">
        <w:t xml:space="preserve">more than 15 times </w:t>
      </w:r>
      <w:r w:rsidR="004B346C">
        <w:t xml:space="preserve">the original results </w:t>
      </w:r>
      <w:r w:rsidR="000973EE" w:rsidRPr="00832F7C">
        <w:t xml:space="preserve">(minimum </w:t>
      </w:r>
      <w:r w:rsidR="000973EE" w:rsidRPr="00832F7C">
        <w:rPr>
          <w:i/>
          <w:iCs/>
        </w:rPr>
        <w:t>N</w:t>
      </w:r>
      <w:r w:rsidR="000973EE" w:rsidRPr="00832F7C">
        <w:t xml:space="preserve"> = 37 vs. </w:t>
      </w:r>
      <w:r w:rsidR="00FC2759" w:rsidRPr="00832F7C">
        <w:t>346</w:t>
      </w:r>
      <w:r w:rsidR="000973EE" w:rsidRPr="00832F7C">
        <w:t>)</w:t>
      </w:r>
      <w:r w:rsidR="002B6F51" w:rsidRPr="00832F7C">
        <w:t xml:space="preserve">. Vahey et al. (2015) </w:t>
      </w:r>
      <w:r w:rsidR="002B6F51" w:rsidRPr="00832F7C">
        <w:lastRenderedPageBreak/>
        <w:t>may therefore require substantial correction</w:t>
      </w:r>
      <w:r w:rsidR="000973EE" w:rsidRPr="00832F7C">
        <w:t>, and researchers should not use it for sample size planning.</w:t>
      </w:r>
    </w:p>
    <w:p w14:paraId="7629D538" w14:textId="77777777" w:rsidR="00F858D0" w:rsidRPr="00832F7C" w:rsidRDefault="00F858D0">
      <w:pPr>
        <w:spacing w:line="240" w:lineRule="auto"/>
        <w:ind w:firstLine="0"/>
        <w:rPr>
          <w:b/>
          <w:bCs/>
        </w:rPr>
      </w:pPr>
      <w:r w:rsidRPr="00832F7C">
        <w:br w:type="page"/>
      </w:r>
    </w:p>
    <w:p w14:paraId="68325D5A" w14:textId="79E8E1C2" w:rsidR="00167923" w:rsidRPr="00832F7C" w:rsidRDefault="00000000" w:rsidP="00D77465">
      <w:pPr>
        <w:pStyle w:val="Heading1"/>
      </w:pPr>
      <w:r w:rsidRPr="00832F7C">
        <w:lastRenderedPageBreak/>
        <w:t>References</w:t>
      </w:r>
    </w:p>
    <w:p w14:paraId="5F1F7563" w14:textId="77777777" w:rsidR="001A582F" w:rsidRPr="00832F7C" w:rsidRDefault="00000000" w:rsidP="00F858D0">
      <w:pPr>
        <w:pStyle w:val="Bibliography"/>
        <w:ind w:left="720" w:hanging="720"/>
      </w:pPr>
      <w:r w:rsidRPr="00832F7C">
        <w:fldChar w:fldCharType="begin"/>
      </w:r>
      <w:r w:rsidR="002D1BB7" w:rsidRPr="00832F7C">
        <w:instrText xml:space="preserve"> ADDIN ZOTERO_BIBL {"uncited":[],"omitted":[],"custom":[]} CSL_BIBLIOGRAPHY </w:instrText>
      </w:r>
      <w:r w:rsidRPr="00832F7C">
        <w:fldChar w:fldCharType="separate"/>
      </w:r>
      <w:r w:rsidR="001A582F" w:rsidRPr="00832F7C">
        <w:t xml:space="preserve">Aczel, B., Palfi, B., Szollosi, A., Kovacs, M., Szaszi, B., Szecsi, P., Zrubka, M., Gronau, Q. F., van den Bergh, D., &amp; Wagenmakers, E.-J. (2018). Quantifying Support for the Null Hypothesis in Psychology: An Empirical Investigation. </w:t>
      </w:r>
      <w:r w:rsidR="001A582F" w:rsidRPr="00832F7C">
        <w:rPr>
          <w:i/>
          <w:iCs/>
        </w:rPr>
        <w:t>Advances in Methods and Practices in Psychological Science</w:t>
      </w:r>
      <w:r w:rsidR="001A582F" w:rsidRPr="00832F7C">
        <w:t xml:space="preserve">, </w:t>
      </w:r>
      <w:r w:rsidR="001A582F" w:rsidRPr="00832F7C">
        <w:rPr>
          <w:i/>
          <w:iCs/>
        </w:rPr>
        <w:t>1</w:t>
      </w:r>
      <w:r w:rsidR="001A582F" w:rsidRPr="00832F7C">
        <w:t>(3), 357–366. https://doi.org/10.1177/2515245918773742</w:t>
      </w:r>
    </w:p>
    <w:p w14:paraId="54E72EA1" w14:textId="77777777" w:rsidR="001A582F" w:rsidRPr="00832F7C" w:rsidRDefault="001A582F" w:rsidP="00F858D0">
      <w:pPr>
        <w:pStyle w:val="Bibliography"/>
        <w:ind w:left="720" w:hanging="720"/>
      </w:pPr>
      <w:r w:rsidRPr="00832F7C">
        <w:t xml:space="preserve">Allen, M. J., &amp; Yen, W. M. (2002). </w:t>
      </w:r>
      <w:r w:rsidRPr="00832F7C">
        <w:rPr>
          <w:i/>
          <w:iCs/>
        </w:rPr>
        <w:t>Introduction to measurement theory</w:t>
      </w:r>
      <w:r w:rsidRPr="00832F7C">
        <w:t>. Waveland Press.</w:t>
      </w:r>
    </w:p>
    <w:p w14:paraId="43F4C442" w14:textId="77777777" w:rsidR="001A582F" w:rsidRPr="00832F7C" w:rsidRDefault="001A582F" w:rsidP="00F858D0">
      <w:pPr>
        <w:pStyle w:val="Bibliography"/>
        <w:ind w:left="720" w:hanging="720"/>
      </w:pPr>
      <w:r w:rsidRPr="00832F7C">
        <w:t xml:space="preserve">American Psychological Association. (2024). </w:t>
      </w:r>
      <w:r w:rsidRPr="00832F7C">
        <w:rPr>
          <w:i/>
          <w:iCs/>
        </w:rPr>
        <w:t>APA Dictionary of Psychology</w:t>
      </w:r>
      <w:r w:rsidRPr="00832F7C">
        <w:t>. https://dictionary.apa.org/criterion-validity</w:t>
      </w:r>
    </w:p>
    <w:p w14:paraId="2019F5CA" w14:textId="77777777" w:rsidR="001A582F" w:rsidRPr="00832F7C" w:rsidRDefault="001A582F" w:rsidP="00F858D0">
      <w:pPr>
        <w:pStyle w:val="Bibliography"/>
        <w:ind w:left="720" w:hanging="720"/>
      </w:pPr>
      <w:r w:rsidRPr="00832F7C">
        <w:t xml:space="preserve">Barnes-Holmes, D., Barnes-Holmes, Y., Power, P., Hayden, E., Milne, R., &amp; Stewart, I. (2006). Do you really know what you believe? Developing the Implicit Relational Assessment Procedure (IRAP) as a direct measure of implicit beliefs. </w:t>
      </w:r>
      <w:r w:rsidRPr="00832F7C">
        <w:rPr>
          <w:i/>
          <w:iCs/>
        </w:rPr>
        <w:t>The Irish Psychologist</w:t>
      </w:r>
      <w:r w:rsidRPr="00832F7C">
        <w:t xml:space="preserve">, </w:t>
      </w:r>
      <w:r w:rsidRPr="00832F7C">
        <w:rPr>
          <w:i/>
          <w:iCs/>
        </w:rPr>
        <w:t>32</w:t>
      </w:r>
      <w:r w:rsidRPr="00832F7C">
        <w:t>(7), 169–177.</w:t>
      </w:r>
    </w:p>
    <w:p w14:paraId="1EF709BF" w14:textId="77777777" w:rsidR="001A582F" w:rsidRPr="00832F7C" w:rsidRDefault="001A582F" w:rsidP="00F858D0">
      <w:pPr>
        <w:pStyle w:val="Bibliography"/>
        <w:ind w:left="720" w:hanging="720"/>
      </w:pPr>
      <w:r w:rsidRPr="00832F7C">
        <w:t xml:space="preserve">Barnes-Holmes, D., Barnes-Holmes, Y., Stewart, I., &amp; Boles, S. (2010). A sketch of the Implicit Relational Assessment Procedure (IRAP) and the Relational Elaboration and Coherence (REC) model. </w:t>
      </w:r>
      <w:r w:rsidRPr="00832F7C">
        <w:rPr>
          <w:i/>
          <w:iCs/>
        </w:rPr>
        <w:t>The Psychological Record</w:t>
      </w:r>
      <w:r w:rsidRPr="00832F7C">
        <w:t xml:space="preserve">, </w:t>
      </w:r>
      <w:r w:rsidRPr="00832F7C">
        <w:rPr>
          <w:i/>
          <w:iCs/>
        </w:rPr>
        <w:t>60</w:t>
      </w:r>
      <w:r w:rsidRPr="00832F7C">
        <w:t>(3), 527–542. https://doi.org/10.1007/BF03395726</w:t>
      </w:r>
    </w:p>
    <w:p w14:paraId="063DA32E" w14:textId="77777777" w:rsidR="001A582F" w:rsidRPr="00832F7C" w:rsidRDefault="001A582F" w:rsidP="00F858D0">
      <w:pPr>
        <w:pStyle w:val="Bibliography"/>
        <w:ind w:left="720" w:hanging="720"/>
      </w:pPr>
      <w:r w:rsidRPr="00832F7C">
        <w:t xml:space="preserve">Barnes-Holmes, D., &amp; Harte, C. (2022a). The IRAP as a Measure of Implicit Cognition: A Case of Frankenstein’s Monster. </w:t>
      </w:r>
      <w:r w:rsidRPr="00832F7C">
        <w:rPr>
          <w:i/>
          <w:iCs/>
        </w:rPr>
        <w:t>Perspectives on Behavior Science</w:t>
      </w:r>
      <w:r w:rsidRPr="00832F7C">
        <w:t>. https://doi.org/10.1007/s40614-022-00352-z</w:t>
      </w:r>
    </w:p>
    <w:p w14:paraId="05A9D76F" w14:textId="77777777" w:rsidR="001A582F" w:rsidRPr="00832F7C" w:rsidRDefault="001A582F" w:rsidP="00F858D0">
      <w:pPr>
        <w:pStyle w:val="Bibliography"/>
        <w:ind w:left="720" w:hanging="720"/>
      </w:pPr>
      <w:r w:rsidRPr="00832F7C">
        <w:t xml:space="preserve">Barnes-Holmes, D., &amp; Harte, C. (2022b). Relational frame theory 20 years on: The Odysseus voyage and beyond. In </w:t>
      </w:r>
      <w:r w:rsidRPr="00832F7C">
        <w:rPr>
          <w:i/>
          <w:iCs/>
        </w:rPr>
        <w:t>Journal of the Experimental Analysis of Behavior</w:t>
      </w:r>
      <w:r w:rsidRPr="00832F7C">
        <w:t xml:space="preserve"> (Vol. 117, Issue 2, pp. 240–266). WILEY. https://doi.org/10.1002/jeab.733</w:t>
      </w:r>
    </w:p>
    <w:p w14:paraId="5FBA67E2" w14:textId="77777777" w:rsidR="001A582F" w:rsidRPr="00832F7C" w:rsidRDefault="001A582F" w:rsidP="00F858D0">
      <w:pPr>
        <w:pStyle w:val="Bibliography"/>
        <w:ind w:left="720" w:hanging="720"/>
      </w:pPr>
      <w:r w:rsidRPr="00832F7C">
        <w:t xml:space="preserve">Bast, D. F., &amp; Barnes-Holmes, D. (2015). Developing the Implicit Relational Assessment Procedure (IRAP) as a Measure of Self-Forgiveness Related to Failing and </w:t>
      </w:r>
      <w:r w:rsidRPr="00832F7C">
        <w:lastRenderedPageBreak/>
        <w:t xml:space="preserve">Succeeding Behaviors. </w:t>
      </w:r>
      <w:r w:rsidRPr="00832F7C">
        <w:rPr>
          <w:i/>
          <w:iCs/>
        </w:rPr>
        <w:t>The Psychological Record</w:t>
      </w:r>
      <w:r w:rsidRPr="00832F7C">
        <w:t xml:space="preserve">, </w:t>
      </w:r>
      <w:r w:rsidRPr="00832F7C">
        <w:rPr>
          <w:i/>
          <w:iCs/>
        </w:rPr>
        <w:t>65</w:t>
      </w:r>
      <w:r w:rsidRPr="00832F7C">
        <w:t>(1), 189–201. https://doi.org/10.1007/s40732-014-0100-5</w:t>
      </w:r>
    </w:p>
    <w:p w14:paraId="0D30298A" w14:textId="77777777" w:rsidR="001A582F" w:rsidRPr="00832F7C" w:rsidRDefault="001A582F" w:rsidP="00F858D0">
      <w:pPr>
        <w:pStyle w:val="Bibliography"/>
        <w:ind w:left="720" w:hanging="720"/>
      </w:pPr>
      <w:r w:rsidRPr="00832F7C">
        <w:t xml:space="preserve">Carpenter, K. M., Martinez, D., Vadhan, N. P., Barnes-Holmes, D., &amp; Nunes, E. V. (2012). Measures of Attentional Bias and Relational Responding Are Associated with Behavioral Treatment Outcome for Cocaine Dependence. </w:t>
      </w:r>
      <w:r w:rsidRPr="00832F7C">
        <w:rPr>
          <w:i/>
          <w:iCs/>
        </w:rPr>
        <w:t>The American Journal of Drug and Alcohol Abuse</w:t>
      </w:r>
      <w:r w:rsidRPr="00832F7C">
        <w:t xml:space="preserve">, </w:t>
      </w:r>
      <w:r w:rsidRPr="00832F7C">
        <w:rPr>
          <w:i/>
          <w:iCs/>
        </w:rPr>
        <w:t>38</w:t>
      </w:r>
      <w:r w:rsidRPr="00832F7C">
        <w:t>(2), 146–154. https://doi.org/10.3109/00952990.2011.643986</w:t>
      </w:r>
    </w:p>
    <w:p w14:paraId="0BB63DD8" w14:textId="77777777" w:rsidR="001A582F" w:rsidRPr="00832F7C" w:rsidRDefault="001A582F" w:rsidP="00F858D0">
      <w:pPr>
        <w:pStyle w:val="Bibliography"/>
        <w:ind w:left="720" w:hanging="720"/>
      </w:pPr>
      <w:r w:rsidRPr="00832F7C">
        <w:t xml:space="preserve">Champely, S. (2016). </w:t>
      </w:r>
      <w:r w:rsidRPr="00832F7C">
        <w:rPr>
          <w:i/>
          <w:iCs/>
        </w:rPr>
        <w:t>pwr: Basic Functions for Power Analysis</w:t>
      </w:r>
      <w:r w:rsidRPr="00832F7C">
        <w:t xml:space="preserve"> [Computer software]. https://CRAN.R-project.org/package=pwr</w:t>
      </w:r>
    </w:p>
    <w:p w14:paraId="696F4F79" w14:textId="77777777" w:rsidR="001A582F" w:rsidRPr="00832F7C" w:rsidRDefault="001A582F" w:rsidP="00F858D0">
      <w:pPr>
        <w:pStyle w:val="Bibliography"/>
        <w:ind w:left="720" w:hanging="720"/>
      </w:pPr>
      <w:r w:rsidRPr="00832F7C">
        <w:t xml:space="preserve">Corneille, O., &amp; Hütter, M. (2020). Implicit? What Do You Mean? A Comprehensive Review of the Delusive Implicitness Construct in Attitude Research. </w:t>
      </w:r>
      <w:r w:rsidRPr="00832F7C">
        <w:rPr>
          <w:i/>
          <w:iCs/>
        </w:rPr>
        <w:t>Personality and Social Psychology Review</w:t>
      </w:r>
      <w:r w:rsidRPr="00832F7C">
        <w:t>, 1088868320911325. https://doi.org/10.1177/1088868320911325</w:t>
      </w:r>
    </w:p>
    <w:p w14:paraId="6E48C426" w14:textId="77777777" w:rsidR="001A582F" w:rsidRPr="00832F7C" w:rsidRDefault="001A582F" w:rsidP="00F858D0">
      <w:pPr>
        <w:pStyle w:val="Bibliography"/>
        <w:ind w:left="720" w:hanging="720"/>
      </w:pPr>
      <w:r w:rsidRPr="00832F7C">
        <w:t xml:space="preserve">Dawson, D. L., Barnes-Holmes, D., Gresswell, D. M., Hart, A. J., &amp; Gore, N. J. (2009). Assessing the implicit beliefs of sexual offenders using the Implicit Relational Assessment Procedure: A first study. </w:t>
      </w:r>
      <w:r w:rsidRPr="00832F7C">
        <w:rPr>
          <w:i/>
          <w:iCs/>
        </w:rPr>
        <w:t>Sexual Abuse: A Journal of Research and Treatment</w:t>
      </w:r>
      <w:r w:rsidRPr="00832F7C">
        <w:t xml:space="preserve">, </w:t>
      </w:r>
      <w:r w:rsidRPr="00832F7C">
        <w:rPr>
          <w:i/>
          <w:iCs/>
        </w:rPr>
        <w:t>21</w:t>
      </w:r>
      <w:r w:rsidRPr="00832F7C">
        <w:t>(1), 57–75. https://doi.org/10.1177/1079063208326928</w:t>
      </w:r>
    </w:p>
    <w:p w14:paraId="7899D4EC" w14:textId="77777777" w:rsidR="001A582F" w:rsidRPr="00832F7C" w:rsidRDefault="001A582F" w:rsidP="00F858D0">
      <w:pPr>
        <w:pStyle w:val="Bibliography"/>
        <w:ind w:left="720" w:hanging="720"/>
      </w:pPr>
      <w:r w:rsidRPr="00832F7C">
        <w:t xml:space="preserve">De Schryver, M., Hussey, I., De Neve, J., Cartwright, A., &amp; Barnes-Holmes, D. (2018). The PIIRAP: An alternative scoring algorithm for the IRAP using a probabilistic semiparametric effect size measure. </w:t>
      </w:r>
      <w:r w:rsidRPr="00832F7C">
        <w:rPr>
          <w:i/>
          <w:iCs/>
        </w:rPr>
        <w:t>Journal of Contextual Behavioral Science</w:t>
      </w:r>
      <w:r w:rsidRPr="00832F7C">
        <w:t xml:space="preserve">, </w:t>
      </w:r>
      <w:r w:rsidRPr="00832F7C">
        <w:rPr>
          <w:i/>
          <w:iCs/>
        </w:rPr>
        <w:t>7</w:t>
      </w:r>
      <w:r w:rsidRPr="00832F7C">
        <w:t>, 97–103. https://doi.org/10.1016/j.jcbs.2018.01.001</w:t>
      </w:r>
    </w:p>
    <w:p w14:paraId="408A49F6" w14:textId="77777777" w:rsidR="001A582F" w:rsidRPr="00832F7C" w:rsidRDefault="001A582F" w:rsidP="00F858D0">
      <w:pPr>
        <w:pStyle w:val="Bibliography"/>
        <w:ind w:left="720" w:hanging="720"/>
      </w:pPr>
      <w:r w:rsidRPr="00832F7C">
        <w:t xml:space="preserve">Egger, M., Smith, G. D., Schneider, M., &amp; Minder, C. (1997). </w:t>
      </w:r>
      <w:r w:rsidRPr="00832F7C">
        <w:rPr>
          <w:i/>
          <w:iCs/>
        </w:rPr>
        <w:t>Bias in meta-analysis detected by a simple, graphical test</w:t>
      </w:r>
      <w:r w:rsidRPr="00832F7C">
        <w:t>. https://doi.org/10.1136/bmj.315.7109.629</w:t>
      </w:r>
    </w:p>
    <w:p w14:paraId="14442F52" w14:textId="77777777" w:rsidR="001A582F" w:rsidRPr="00832F7C" w:rsidRDefault="001A582F" w:rsidP="00F858D0">
      <w:pPr>
        <w:pStyle w:val="Bibliography"/>
        <w:ind w:left="720" w:hanging="720"/>
      </w:pPr>
      <w:r w:rsidRPr="00832F7C">
        <w:t xml:space="preserve">Farrell, L., &amp; McHugh, L. (2017). Examining gender-STEM bias among STEM and non-STEM students using the Implicit Relational Assessment Procedure (IRAP). </w:t>
      </w:r>
      <w:r w:rsidRPr="00832F7C">
        <w:rPr>
          <w:i/>
          <w:iCs/>
        </w:rPr>
        <w:t xml:space="preserve">Journal </w:t>
      </w:r>
      <w:r w:rsidRPr="00832F7C">
        <w:rPr>
          <w:i/>
          <w:iCs/>
        </w:rPr>
        <w:lastRenderedPageBreak/>
        <w:t>of Contextual Behavioral Science</w:t>
      </w:r>
      <w:r w:rsidRPr="00832F7C">
        <w:t xml:space="preserve">, </w:t>
      </w:r>
      <w:r w:rsidRPr="00832F7C">
        <w:rPr>
          <w:i/>
          <w:iCs/>
        </w:rPr>
        <w:t>6</w:t>
      </w:r>
      <w:r w:rsidRPr="00832F7C">
        <w:t>(1), 80–90. https://doi.org/10.1016/j.jcbs.2017.02.001</w:t>
      </w:r>
    </w:p>
    <w:p w14:paraId="16D8252C" w14:textId="77777777" w:rsidR="001A582F" w:rsidRPr="00832F7C" w:rsidRDefault="001A582F" w:rsidP="00F858D0">
      <w:pPr>
        <w:pStyle w:val="Bibliography"/>
        <w:ind w:left="720" w:hanging="720"/>
      </w:pPr>
      <w:r w:rsidRPr="00832F7C">
        <w:t xml:space="preserve">Field, A. P., &amp; Gillett, R. (2010). How to do a meta-analysis. </w:t>
      </w:r>
      <w:r w:rsidRPr="00832F7C">
        <w:rPr>
          <w:i/>
          <w:iCs/>
        </w:rPr>
        <w:t>British Journal of Mathematical and Statistical Psychology</w:t>
      </w:r>
      <w:r w:rsidRPr="00832F7C">
        <w:t xml:space="preserve">, </w:t>
      </w:r>
      <w:r w:rsidRPr="00832F7C">
        <w:rPr>
          <w:i/>
          <w:iCs/>
        </w:rPr>
        <w:t>63</w:t>
      </w:r>
      <w:r w:rsidRPr="00832F7C">
        <w:t>(3), 665–694. https://doi.org/10.1348/000711010X502733</w:t>
      </w:r>
    </w:p>
    <w:p w14:paraId="7D16CE4A" w14:textId="77777777" w:rsidR="001A582F" w:rsidRPr="00832F7C" w:rsidRDefault="001A582F" w:rsidP="00F858D0">
      <w:pPr>
        <w:pStyle w:val="Bibliography"/>
        <w:ind w:left="720" w:hanging="720"/>
      </w:pPr>
      <w:r w:rsidRPr="00832F7C">
        <w:t xml:space="preserve">Golijani-Moghaddam, N., Hart, A., &amp; Dawson, D. L. (2013). The Implicit Relational Assessment Procedure: Emerging reliability and validity data. </w:t>
      </w:r>
      <w:r w:rsidRPr="00832F7C">
        <w:rPr>
          <w:i/>
          <w:iCs/>
        </w:rPr>
        <w:t>Journal of Contextual Behavioral Science</w:t>
      </w:r>
      <w:r w:rsidRPr="00832F7C">
        <w:t xml:space="preserve">, </w:t>
      </w:r>
      <w:r w:rsidRPr="00832F7C">
        <w:rPr>
          <w:i/>
          <w:iCs/>
        </w:rPr>
        <w:t>2</w:t>
      </w:r>
      <w:r w:rsidRPr="00832F7C">
        <w:t>(3–4), 105–119. https://doi.org/10.1016/j.jcbs.2013.05.002</w:t>
      </w:r>
    </w:p>
    <w:p w14:paraId="6EF4EDC2" w14:textId="77777777" w:rsidR="001A582F" w:rsidRPr="00832F7C" w:rsidRDefault="001A582F" w:rsidP="00F858D0">
      <w:pPr>
        <w:pStyle w:val="Bibliography"/>
        <w:ind w:left="720" w:hanging="720"/>
      </w:pPr>
      <w:r w:rsidRPr="00832F7C">
        <w:t xml:space="preserve">Gøtzsche, P. C., Hróbjartsson, A., Marić, K., &amp; Tendal, B. (2007). Data Extraction Errors in Meta-analyses That Use Standardized Mean Differences. </w:t>
      </w:r>
      <w:r w:rsidRPr="00832F7C">
        <w:rPr>
          <w:i/>
          <w:iCs/>
        </w:rPr>
        <w:t>JAMA</w:t>
      </w:r>
      <w:r w:rsidRPr="00832F7C">
        <w:t xml:space="preserve">, </w:t>
      </w:r>
      <w:r w:rsidRPr="00832F7C">
        <w:rPr>
          <w:i/>
          <w:iCs/>
        </w:rPr>
        <w:t>298</w:t>
      </w:r>
      <w:r w:rsidRPr="00832F7C">
        <w:t>(4), 430–437. https://doi.org/10.1001/jama.298.4.430</w:t>
      </w:r>
    </w:p>
    <w:p w14:paraId="45521580" w14:textId="77777777" w:rsidR="001A582F" w:rsidRPr="00832F7C" w:rsidRDefault="001A582F" w:rsidP="00F858D0">
      <w:pPr>
        <w:pStyle w:val="Bibliography"/>
        <w:ind w:left="720" w:hanging="720"/>
      </w:pPr>
      <w:r w:rsidRPr="00832F7C">
        <w:t xml:space="preserve">Greenland, S., Senn, S. J., Rothman, K. J., Carlin, J. B., Poole, C., Goodman, S. N., &amp; Altman, D. G. (2016). Statistical tests, P values, confidence intervals, and power: A guide to misinterpretations. </w:t>
      </w:r>
      <w:r w:rsidRPr="00832F7C">
        <w:rPr>
          <w:i/>
          <w:iCs/>
        </w:rPr>
        <w:t>European Journal of Epidemiology</w:t>
      </w:r>
      <w:r w:rsidRPr="00832F7C">
        <w:t xml:space="preserve">, </w:t>
      </w:r>
      <w:r w:rsidRPr="00832F7C">
        <w:rPr>
          <w:i/>
          <w:iCs/>
        </w:rPr>
        <w:t>31</w:t>
      </w:r>
      <w:r w:rsidRPr="00832F7C">
        <w:t>(4), 337–350. https://doi.org/10.1007/s10654-016-0149-3</w:t>
      </w:r>
    </w:p>
    <w:p w14:paraId="790FAA3C" w14:textId="77777777" w:rsidR="001A582F" w:rsidRPr="00832F7C" w:rsidRDefault="001A582F" w:rsidP="00F858D0">
      <w:pPr>
        <w:pStyle w:val="Bibliography"/>
        <w:ind w:left="720" w:hanging="720"/>
      </w:pPr>
      <w:r w:rsidRPr="00832F7C">
        <w:t xml:space="preserve">Greenwald, A. G., &amp; Lai, C. K. (2020). Implicit Social Cognition. </w:t>
      </w:r>
      <w:r w:rsidRPr="00832F7C">
        <w:rPr>
          <w:i/>
          <w:iCs/>
        </w:rPr>
        <w:t>Annual Review of Psychology</w:t>
      </w:r>
      <w:r w:rsidRPr="00832F7C">
        <w:t xml:space="preserve">, </w:t>
      </w:r>
      <w:r w:rsidRPr="00832F7C">
        <w:rPr>
          <w:i/>
          <w:iCs/>
        </w:rPr>
        <w:t>71</w:t>
      </w:r>
      <w:r w:rsidRPr="00832F7C">
        <w:t>(1), 419–445. https://doi.org/10.1146/annurev-psych-010419-050837</w:t>
      </w:r>
    </w:p>
    <w:p w14:paraId="6902BEB9" w14:textId="77777777" w:rsidR="001A582F" w:rsidRPr="00832F7C" w:rsidRDefault="001A582F" w:rsidP="00F858D0">
      <w:pPr>
        <w:pStyle w:val="Bibliography"/>
        <w:ind w:left="720" w:hanging="720"/>
      </w:pPr>
      <w:r w:rsidRPr="00832F7C">
        <w:t xml:space="preserve">Greenwald, A. G., McGhee, D. E., &amp; Schwartz, J. L. (1998). Measuring individual differences in implicit cognition: The Implicit Association Test. </w:t>
      </w:r>
      <w:r w:rsidRPr="00832F7C">
        <w:rPr>
          <w:i/>
          <w:iCs/>
        </w:rPr>
        <w:t>Journal of Personality and Social Psychology</w:t>
      </w:r>
      <w:r w:rsidRPr="00832F7C">
        <w:t xml:space="preserve">, </w:t>
      </w:r>
      <w:r w:rsidRPr="00832F7C">
        <w:rPr>
          <w:i/>
          <w:iCs/>
        </w:rPr>
        <w:t>74</w:t>
      </w:r>
      <w:r w:rsidRPr="00832F7C">
        <w:t>(6), 1464–1480. https://doi.org/10.1037/0022-3514.74.6.1464</w:t>
      </w:r>
    </w:p>
    <w:p w14:paraId="295BB3DF" w14:textId="77777777" w:rsidR="001A582F" w:rsidRPr="00832F7C" w:rsidRDefault="001A582F" w:rsidP="00F858D0">
      <w:pPr>
        <w:pStyle w:val="Bibliography"/>
        <w:ind w:left="720" w:hanging="720"/>
      </w:pPr>
      <w:r w:rsidRPr="00832F7C">
        <w:t xml:space="preserve">Greenwald, A. G., Nosek, B. A., &amp; Banaji, M. R. (2003). Understanding and using the Implicit Association Test: I. An improved scoring algorithm. </w:t>
      </w:r>
      <w:r w:rsidRPr="00832F7C">
        <w:rPr>
          <w:i/>
          <w:iCs/>
        </w:rPr>
        <w:t>Journal of Personality and Social Psychology</w:t>
      </w:r>
      <w:r w:rsidRPr="00832F7C">
        <w:t xml:space="preserve">, </w:t>
      </w:r>
      <w:r w:rsidRPr="00832F7C">
        <w:rPr>
          <w:i/>
          <w:iCs/>
        </w:rPr>
        <w:t>85</w:t>
      </w:r>
      <w:r w:rsidRPr="00832F7C">
        <w:t>(2), 197–216. https://doi.org/10.1037/0022-3514.85.2.197</w:t>
      </w:r>
    </w:p>
    <w:p w14:paraId="3E1044BC" w14:textId="77777777" w:rsidR="001A582F" w:rsidRPr="00832F7C" w:rsidRDefault="001A582F" w:rsidP="00F858D0">
      <w:pPr>
        <w:pStyle w:val="Bibliography"/>
        <w:ind w:left="720" w:hanging="720"/>
      </w:pPr>
      <w:r w:rsidRPr="00832F7C">
        <w:lastRenderedPageBreak/>
        <w:t xml:space="preserve">Heathers, J. A., Anaya, J., Zee, T. van der, &amp; Brown, N. J. (2018). </w:t>
      </w:r>
      <w:r w:rsidRPr="00832F7C">
        <w:rPr>
          <w:i/>
          <w:iCs/>
        </w:rPr>
        <w:t>Recovering data from summary statistics: Sample Parameter Reconstruction via Iterative TEchniques (SPRITE)</w:t>
      </w:r>
      <w:r w:rsidRPr="00832F7C">
        <w:t xml:space="preserve"> (e26968v1). PeerJ Inc. https://doi.org/10.7287/peerj.preprints.26968v1</w:t>
      </w:r>
    </w:p>
    <w:p w14:paraId="1129A828" w14:textId="77777777" w:rsidR="001A582F" w:rsidRPr="00832F7C" w:rsidRDefault="001A582F" w:rsidP="00F858D0">
      <w:pPr>
        <w:pStyle w:val="Bibliography"/>
        <w:ind w:left="720" w:hanging="720"/>
      </w:pPr>
      <w:r w:rsidRPr="00832F7C">
        <w:t xml:space="preserve">Hemphill, J. F. (2003). Interpreting the magnitudes of correlation coefficients. </w:t>
      </w:r>
      <w:r w:rsidRPr="00832F7C">
        <w:rPr>
          <w:i/>
          <w:iCs/>
        </w:rPr>
        <w:t>American Psychologist</w:t>
      </w:r>
      <w:r w:rsidRPr="00832F7C">
        <w:t xml:space="preserve">, </w:t>
      </w:r>
      <w:r w:rsidRPr="00832F7C">
        <w:rPr>
          <w:i/>
          <w:iCs/>
        </w:rPr>
        <w:t>58</w:t>
      </w:r>
      <w:r w:rsidRPr="00832F7C">
        <w:t>(1), 78–79. https://doi.org/10.1037/0003-066X.58.1.78</w:t>
      </w:r>
    </w:p>
    <w:p w14:paraId="0624C16E" w14:textId="77777777" w:rsidR="001A582F" w:rsidRPr="00832F7C" w:rsidRDefault="001A582F" w:rsidP="00F858D0">
      <w:pPr>
        <w:pStyle w:val="Bibliography"/>
        <w:ind w:left="720" w:hanging="720"/>
      </w:pPr>
      <w:r w:rsidRPr="00832F7C">
        <w:t>Hunter, J. E., &amp; Schmidt, F. L. (2004). Methods of meta-analysis: Correcting error and bias in research findings. Sage.</w:t>
      </w:r>
    </w:p>
    <w:p w14:paraId="4B1D4398" w14:textId="77777777" w:rsidR="001A582F" w:rsidRPr="00832F7C" w:rsidRDefault="001A582F" w:rsidP="00F858D0">
      <w:pPr>
        <w:pStyle w:val="Bibliography"/>
        <w:ind w:left="720" w:hanging="720"/>
      </w:pPr>
      <w:r w:rsidRPr="00832F7C">
        <w:t xml:space="preserve">Hussey, I. (2022). Reply to Barnes-Holmes &amp; Harte (2022) “The IRAP as a Measure of Implicit Cognition: A Case of Frankenstein’s Monster”. </w:t>
      </w:r>
      <w:r w:rsidRPr="00832F7C">
        <w:rPr>
          <w:i/>
          <w:iCs/>
        </w:rPr>
        <w:t>PsyArXiv</w:t>
      </w:r>
      <w:r w:rsidRPr="00832F7C">
        <w:t>. https://doi.org/10.31234/osf.io/qmg6s</w:t>
      </w:r>
    </w:p>
    <w:p w14:paraId="3CB7059F" w14:textId="77777777" w:rsidR="001A582F" w:rsidRPr="00832F7C" w:rsidRDefault="001A582F" w:rsidP="00F858D0">
      <w:pPr>
        <w:pStyle w:val="Bibliography"/>
        <w:ind w:left="720" w:hanging="720"/>
      </w:pPr>
      <w:r w:rsidRPr="00832F7C">
        <w:t xml:space="preserve">Hussey, I. (2023). A systematic review of null hypothesis significance testing, sample sizes, and statistical power in research using the Implicit Relational Assessment Procedure. </w:t>
      </w:r>
      <w:r w:rsidRPr="00832F7C">
        <w:rPr>
          <w:i/>
          <w:iCs/>
        </w:rPr>
        <w:t>Journal of Contextual Behavioral Science</w:t>
      </w:r>
      <w:r w:rsidRPr="00832F7C">
        <w:t xml:space="preserve">, </w:t>
      </w:r>
      <w:r w:rsidRPr="00832F7C">
        <w:rPr>
          <w:i/>
          <w:iCs/>
        </w:rPr>
        <w:t>29</w:t>
      </w:r>
      <w:r w:rsidRPr="00832F7C">
        <w:t>, 86–97. https://doi.org/10.1016/j.jcbs.2023.06.008</w:t>
      </w:r>
    </w:p>
    <w:p w14:paraId="545F71B6" w14:textId="77777777" w:rsidR="001A582F" w:rsidRPr="00832F7C" w:rsidRDefault="001A582F" w:rsidP="00F858D0">
      <w:pPr>
        <w:pStyle w:val="Bibliography"/>
        <w:ind w:left="720" w:hanging="720"/>
      </w:pPr>
      <w:r w:rsidRPr="00832F7C">
        <w:t xml:space="preserve">Hussey, I., Alsalti, T., Bosco, F., Elson, M., &amp; Arslan, R. C. (2023). </w:t>
      </w:r>
      <w:r w:rsidRPr="00832F7C">
        <w:rPr>
          <w:i/>
          <w:iCs/>
        </w:rPr>
        <w:t>An aberrant abundance of Cronbach’s alpha values at .70</w:t>
      </w:r>
      <w:r w:rsidRPr="00832F7C">
        <w:t>. PsyArXiv. https://doi.org/10.31234/osf.io/dm8xn</w:t>
      </w:r>
    </w:p>
    <w:p w14:paraId="6C9A41DC" w14:textId="77777777" w:rsidR="001A582F" w:rsidRPr="00832F7C" w:rsidRDefault="001A582F" w:rsidP="00F858D0">
      <w:pPr>
        <w:pStyle w:val="Bibliography"/>
        <w:ind w:left="720" w:hanging="720"/>
      </w:pPr>
      <w:r w:rsidRPr="00832F7C">
        <w:t xml:space="preserve">Hussey, I., &amp; Drake, C. E. (2020). The Implicit Relational Assessment Procedure demonstrates poor internal consistency and test-retest reliability: A meta-analysis. </w:t>
      </w:r>
      <w:r w:rsidRPr="00832F7C">
        <w:rPr>
          <w:i/>
          <w:iCs/>
        </w:rPr>
        <w:t>PsyArXiv</w:t>
      </w:r>
      <w:r w:rsidRPr="00832F7C">
        <w:t>. https://doi.org/10.31234/osf.io/ge3k7</w:t>
      </w:r>
    </w:p>
    <w:p w14:paraId="74DD8097" w14:textId="77777777" w:rsidR="001A582F" w:rsidRPr="00832F7C" w:rsidRDefault="001A582F" w:rsidP="00F858D0">
      <w:pPr>
        <w:pStyle w:val="Bibliography"/>
        <w:ind w:left="720" w:hanging="720"/>
      </w:pPr>
      <w:r w:rsidRPr="00832F7C">
        <w:t>Hussey, I., &amp; Drake, C. E. (2022). The IRAP File-Drawer: A repository of unpublished studies using the Implicit Relational Assessment Procedure. https://osf.io/g4qsu/</w:t>
      </w:r>
    </w:p>
    <w:p w14:paraId="709B21CE" w14:textId="77777777" w:rsidR="001A582F" w:rsidRPr="00832F7C" w:rsidRDefault="001A582F" w:rsidP="00F858D0">
      <w:pPr>
        <w:pStyle w:val="Bibliography"/>
        <w:ind w:left="720" w:hanging="720"/>
      </w:pPr>
      <w:r w:rsidRPr="00832F7C">
        <w:t xml:space="preserve">Hussey, I., Thompson, M., McEnteggart, C., Barnes-Holmes, D., &amp; Barnes-Holmes, Y. (2015). Interpreting and inverting with less cursing: A guide to interpreting IRAP data. </w:t>
      </w:r>
      <w:r w:rsidRPr="00832F7C">
        <w:rPr>
          <w:i/>
          <w:iCs/>
        </w:rPr>
        <w:t>Journal of Contextual Behavioral Science</w:t>
      </w:r>
      <w:r w:rsidRPr="00832F7C">
        <w:t xml:space="preserve">, </w:t>
      </w:r>
      <w:r w:rsidRPr="00832F7C">
        <w:rPr>
          <w:i/>
          <w:iCs/>
        </w:rPr>
        <w:t>4</w:t>
      </w:r>
      <w:r w:rsidRPr="00832F7C">
        <w:t>(3), 157–162. https://doi.org/10.1016/j.jcbs.2015.05.001</w:t>
      </w:r>
    </w:p>
    <w:p w14:paraId="0A6CCCE8" w14:textId="77777777" w:rsidR="001A582F" w:rsidRPr="00832F7C" w:rsidRDefault="001A582F" w:rsidP="00F858D0">
      <w:pPr>
        <w:pStyle w:val="Bibliography"/>
        <w:ind w:left="720" w:hanging="720"/>
      </w:pPr>
      <w:r w:rsidRPr="00832F7C">
        <w:lastRenderedPageBreak/>
        <w:t xml:space="preserve">Kadlec, D., Sainani, K. L., &amp; Nimphius, S. (2023). With Great Power Comes Great Responsibility: Common Errors in Meta-Analyses and Meta-Regressions in Strength &amp; Conditioning Research. </w:t>
      </w:r>
      <w:r w:rsidRPr="00832F7C">
        <w:rPr>
          <w:i/>
          <w:iCs/>
        </w:rPr>
        <w:t>Sports Medicine</w:t>
      </w:r>
      <w:r w:rsidRPr="00832F7C">
        <w:t xml:space="preserve">, </w:t>
      </w:r>
      <w:r w:rsidRPr="00832F7C">
        <w:rPr>
          <w:i/>
          <w:iCs/>
        </w:rPr>
        <w:t>53</w:t>
      </w:r>
      <w:r w:rsidRPr="00832F7C">
        <w:t>(2), 313–325. https://doi.org/10.1007/s40279-022-01766-0</w:t>
      </w:r>
    </w:p>
    <w:p w14:paraId="0AFD9782" w14:textId="77777777" w:rsidR="001A582F" w:rsidRPr="00832F7C" w:rsidRDefault="001A582F" w:rsidP="00F858D0">
      <w:pPr>
        <w:pStyle w:val="Bibliography"/>
        <w:ind w:left="720" w:hanging="720"/>
      </w:pPr>
      <w:r w:rsidRPr="00832F7C">
        <w:t xml:space="preserve">Kavanagh, D., Barnes-Holmes, Y., &amp; Barnes-Holmes, D. (2022). Attempting to Analyze Perspective-Taking with a False Belief Vignette Using the Implicit Relational Assessment Procedure. </w:t>
      </w:r>
      <w:r w:rsidRPr="00832F7C">
        <w:rPr>
          <w:i/>
          <w:iCs/>
        </w:rPr>
        <w:t>The Psychological Record</w:t>
      </w:r>
      <w:r w:rsidRPr="00832F7C">
        <w:t xml:space="preserve">, </w:t>
      </w:r>
      <w:r w:rsidRPr="00832F7C">
        <w:rPr>
          <w:i/>
          <w:iCs/>
        </w:rPr>
        <w:t>72</w:t>
      </w:r>
      <w:r w:rsidRPr="00832F7C">
        <w:t>(4), 525–549. https://doi.org/10.1007/s40732-021-00500-y</w:t>
      </w:r>
    </w:p>
    <w:p w14:paraId="3DAA04AF" w14:textId="77777777" w:rsidR="001A582F" w:rsidRPr="00832F7C" w:rsidRDefault="001A582F" w:rsidP="00F858D0">
      <w:pPr>
        <w:pStyle w:val="Bibliography"/>
        <w:ind w:left="720" w:hanging="720"/>
      </w:pPr>
      <w:r w:rsidRPr="00832F7C">
        <w:t xml:space="preserve">Lakens, D., Hilgard, J., &amp; Staaks, J. (2016). On the reproducibility of meta-analyses: Six practical recommendations. </w:t>
      </w:r>
      <w:r w:rsidRPr="00832F7C">
        <w:rPr>
          <w:i/>
          <w:iCs/>
        </w:rPr>
        <w:t>BMC Psychology</w:t>
      </w:r>
      <w:r w:rsidRPr="00832F7C">
        <w:t xml:space="preserve">, </w:t>
      </w:r>
      <w:r w:rsidRPr="00832F7C">
        <w:rPr>
          <w:i/>
          <w:iCs/>
        </w:rPr>
        <w:t>4</w:t>
      </w:r>
      <w:r w:rsidRPr="00832F7C">
        <w:t>(1), 24. https://doi.org/10.1186/s40359-016-0126-3</w:t>
      </w:r>
    </w:p>
    <w:p w14:paraId="3E8278BA" w14:textId="77777777" w:rsidR="001A582F" w:rsidRPr="00832F7C" w:rsidRDefault="001A582F" w:rsidP="00F858D0">
      <w:pPr>
        <w:pStyle w:val="Bibliography"/>
        <w:ind w:left="720" w:hanging="720"/>
      </w:pPr>
      <w:r w:rsidRPr="00832F7C">
        <w:t xml:space="preserve">Lakens, D., Page-Gould, E., van Assen, M. A. L. M., Spellman, B., Schönbrodt, F. D., Hasselman, F., Corker, K. S., Grange, J., Sharples, A., Cavender, C., Augusteijn, H., Augusteijn, H., Gerger, H., Locher, C., Miller, I. D., Anvari, F., &amp; Scheel, A. M. (2017). </w:t>
      </w:r>
      <w:r w:rsidRPr="00832F7C">
        <w:rPr>
          <w:i/>
          <w:iCs/>
        </w:rPr>
        <w:t>Examining the Reproducibility of Meta-Analyses in Psychology: A Preliminary Report</w:t>
      </w:r>
      <w:r w:rsidRPr="00832F7C">
        <w:t xml:space="preserve"> [Preprint]. BITSS. https://doi.org/10.31222/osf.io/xfbjf</w:t>
      </w:r>
    </w:p>
    <w:p w14:paraId="2E5E5887" w14:textId="77777777" w:rsidR="001A582F" w:rsidRPr="00832F7C" w:rsidRDefault="001A582F" w:rsidP="00F858D0">
      <w:pPr>
        <w:pStyle w:val="Bibliography"/>
        <w:ind w:left="720" w:hanging="720"/>
      </w:pPr>
      <w:r w:rsidRPr="00832F7C">
        <w:t xml:space="preserve">Leech, A., Bouyrden, J., Bruijsten, N., Barnes-Holmes, D., &amp; McEnteggart, C. (2018). Training and testing for a transformation of fear and avoidance functions using the Implicit Relational Assessment Procedure: The first study. </w:t>
      </w:r>
      <w:r w:rsidRPr="00832F7C">
        <w:rPr>
          <w:i/>
          <w:iCs/>
        </w:rPr>
        <w:t>Behavioural Processes</w:t>
      </w:r>
      <w:r w:rsidRPr="00832F7C">
        <w:t xml:space="preserve">, </w:t>
      </w:r>
      <w:r w:rsidRPr="00832F7C">
        <w:rPr>
          <w:i/>
          <w:iCs/>
        </w:rPr>
        <w:t>157</w:t>
      </w:r>
      <w:r w:rsidRPr="00832F7C">
        <w:t>, 24–35. https://doi.org/10.1016/j.beproc.2018.08.012</w:t>
      </w:r>
    </w:p>
    <w:p w14:paraId="74770E87" w14:textId="77777777" w:rsidR="001A582F" w:rsidRPr="00832F7C" w:rsidRDefault="001A582F" w:rsidP="00F858D0">
      <w:pPr>
        <w:pStyle w:val="Bibliography"/>
        <w:ind w:left="720" w:hanging="720"/>
      </w:pPr>
      <w:r w:rsidRPr="00832F7C">
        <w:t xml:space="preserve">López-Nicolás, R., López-López, J. A., Rubio-Aparicio, M., &amp; Sánchez-Meca, J. (2022). A meta-review of transparency and reproducibility-related reporting practices in published meta-analyses on clinical psychological interventions (2000–2020). </w:t>
      </w:r>
      <w:r w:rsidRPr="00832F7C">
        <w:rPr>
          <w:i/>
          <w:iCs/>
        </w:rPr>
        <w:t>Behavior Research Methods</w:t>
      </w:r>
      <w:r w:rsidRPr="00832F7C">
        <w:t xml:space="preserve">, </w:t>
      </w:r>
      <w:r w:rsidRPr="00832F7C">
        <w:rPr>
          <w:i/>
          <w:iCs/>
        </w:rPr>
        <w:t>54</w:t>
      </w:r>
      <w:r w:rsidRPr="00832F7C">
        <w:t>(1), 334–349. https://doi.org/10.3758/s13428-021-01644-z</w:t>
      </w:r>
    </w:p>
    <w:p w14:paraId="167548EE" w14:textId="77777777" w:rsidR="001A582F" w:rsidRPr="00832F7C" w:rsidRDefault="001A582F" w:rsidP="00F858D0">
      <w:pPr>
        <w:pStyle w:val="Bibliography"/>
        <w:ind w:left="720" w:hanging="720"/>
      </w:pPr>
      <w:r w:rsidRPr="00832F7C">
        <w:lastRenderedPageBreak/>
        <w:t xml:space="preserve">Maassen, E., Assen, M. A. L. M. van, Nuijten, M. B., Olsson-Collentine, A., &amp; Wicherts, J. M. (2020). Reproducibility of individual effect sizes in meta-analyses in psychology. </w:t>
      </w:r>
      <w:r w:rsidRPr="00832F7C">
        <w:rPr>
          <w:i/>
          <w:iCs/>
        </w:rPr>
        <w:t>PLOS ONE</w:t>
      </w:r>
      <w:r w:rsidRPr="00832F7C">
        <w:t xml:space="preserve">, </w:t>
      </w:r>
      <w:r w:rsidRPr="00832F7C">
        <w:rPr>
          <w:i/>
          <w:iCs/>
        </w:rPr>
        <w:t>15</w:t>
      </w:r>
      <w:r w:rsidRPr="00832F7C">
        <w:t>(5), e0233107. https://doi.org/10.1371/journal.pone.0233107</w:t>
      </w:r>
    </w:p>
    <w:p w14:paraId="2C7B9DEA" w14:textId="77777777" w:rsidR="001A582F" w:rsidRPr="00832F7C" w:rsidRDefault="001A582F" w:rsidP="00F858D0">
      <w:pPr>
        <w:pStyle w:val="Bibliography"/>
        <w:ind w:left="720" w:hanging="720"/>
      </w:pPr>
      <w:r w:rsidRPr="00832F7C">
        <w:t xml:space="preserve">Maloney, E., &amp; Barnes-Holmes, D. (2016). Exploring the Behavioral Dynamics of the Implicit Relational Assessment Procedure: The Role of Relational Contextual Cues Versus Relational Coherence Indicators as Response Options. </w:t>
      </w:r>
      <w:r w:rsidRPr="00832F7C">
        <w:rPr>
          <w:i/>
          <w:iCs/>
        </w:rPr>
        <w:t>The Psychological Record</w:t>
      </w:r>
      <w:r w:rsidRPr="00832F7C">
        <w:t xml:space="preserve">, </w:t>
      </w:r>
      <w:r w:rsidRPr="00832F7C">
        <w:rPr>
          <w:i/>
          <w:iCs/>
        </w:rPr>
        <w:t>66</w:t>
      </w:r>
      <w:r w:rsidRPr="00832F7C">
        <w:t>(3), 395–403. https://doi.org/10.1007/s40732-016-0180-5</w:t>
      </w:r>
    </w:p>
    <w:p w14:paraId="1D65F07A" w14:textId="77777777" w:rsidR="001A582F" w:rsidRPr="00832F7C" w:rsidRDefault="001A582F" w:rsidP="00F858D0">
      <w:pPr>
        <w:pStyle w:val="Bibliography"/>
        <w:ind w:left="720" w:hanging="720"/>
      </w:pPr>
      <w:r w:rsidRPr="00832F7C">
        <w:t>Marin, F., Rohatgi, A., &amp; Charlot, S. (2017). WebPlotDigitizer, a polyvalent and free software to extract spectra from old astronomical publications: Application to ultraviolet spectropolarimetry (arXiv:1708.02025). arXiv. http://arxiv.org/abs/1708.02025</w:t>
      </w:r>
    </w:p>
    <w:p w14:paraId="6AC74352" w14:textId="77777777" w:rsidR="001A582F" w:rsidRPr="00832F7C" w:rsidRDefault="001A582F" w:rsidP="00F858D0">
      <w:pPr>
        <w:pStyle w:val="Bibliography"/>
        <w:ind w:left="720" w:hanging="720"/>
      </w:pPr>
      <w:r w:rsidRPr="00832F7C">
        <w:t xml:space="preserve">Perugini, M., Gallucci, M., &amp; Costantini, G. (2014). Safeguard Power as a Protection Against Imprecise Power Estimates. </w:t>
      </w:r>
      <w:r w:rsidRPr="00832F7C">
        <w:rPr>
          <w:i/>
          <w:iCs/>
        </w:rPr>
        <w:t>Perspectives on Psychological Science</w:t>
      </w:r>
      <w:r w:rsidRPr="00832F7C">
        <w:t xml:space="preserve">, </w:t>
      </w:r>
      <w:r w:rsidRPr="00832F7C">
        <w:rPr>
          <w:i/>
          <w:iCs/>
        </w:rPr>
        <w:t>9</w:t>
      </w:r>
      <w:r w:rsidRPr="00832F7C">
        <w:t>(3), 319–332. https://doi.org/10.1177/1745691614528519</w:t>
      </w:r>
    </w:p>
    <w:p w14:paraId="796E9A2B" w14:textId="77777777" w:rsidR="001A582F" w:rsidRPr="00832F7C" w:rsidRDefault="001A582F" w:rsidP="00F858D0">
      <w:pPr>
        <w:pStyle w:val="Bibliography"/>
        <w:ind w:left="720" w:hanging="720"/>
      </w:pPr>
      <w:r w:rsidRPr="00832F7C">
        <w:t xml:space="preserve">Plessen, C. Y., Karyotaki, E., Miguel, C., Ciharova, M., &amp; Cuijpers, P. (2023). Exploring the efficacy of psychotherapies for depression: A multiverse meta-analysis. </w:t>
      </w:r>
      <w:r w:rsidRPr="00832F7C">
        <w:rPr>
          <w:i/>
          <w:iCs/>
        </w:rPr>
        <w:t>BMJ Ment Health</w:t>
      </w:r>
      <w:r w:rsidRPr="00832F7C">
        <w:t xml:space="preserve">, </w:t>
      </w:r>
      <w:r w:rsidRPr="00832F7C">
        <w:rPr>
          <w:i/>
          <w:iCs/>
        </w:rPr>
        <w:t>26</w:t>
      </w:r>
      <w:r w:rsidRPr="00832F7C">
        <w:t>(1). https://doi.org/10.1136/bmjment-2022-300626</w:t>
      </w:r>
    </w:p>
    <w:p w14:paraId="231D6DB7" w14:textId="77777777" w:rsidR="001A582F" w:rsidRPr="00832F7C" w:rsidRDefault="001A582F" w:rsidP="00F858D0">
      <w:pPr>
        <w:pStyle w:val="Bibliography"/>
        <w:ind w:left="720" w:hanging="720"/>
      </w:pPr>
      <w:r w:rsidRPr="00832F7C">
        <w:t xml:space="preserve">Power, P. M., Harte, C., Barnes-Holmes, D., &amp; Barnes-Holmes, Y. (2017). Exploring Racial Bias in a European Country with a Recent History of Immigration of Black Africans. </w:t>
      </w:r>
      <w:r w:rsidRPr="00832F7C">
        <w:rPr>
          <w:i/>
          <w:iCs/>
        </w:rPr>
        <w:t>The Psychological Record</w:t>
      </w:r>
      <w:r w:rsidRPr="00832F7C">
        <w:t xml:space="preserve">, </w:t>
      </w:r>
      <w:r w:rsidRPr="00832F7C">
        <w:rPr>
          <w:i/>
          <w:iCs/>
        </w:rPr>
        <w:t>67</w:t>
      </w:r>
      <w:r w:rsidRPr="00832F7C">
        <w:t>(3), 365–375. https://doi.org/10.1007/s40732-017-0223-6</w:t>
      </w:r>
    </w:p>
    <w:p w14:paraId="3B06D654" w14:textId="77777777" w:rsidR="001A582F" w:rsidRPr="00832F7C" w:rsidRDefault="001A582F" w:rsidP="00F858D0">
      <w:pPr>
        <w:pStyle w:val="Bibliography"/>
        <w:ind w:left="720" w:hanging="720"/>
      </w:pPr>
      <w:r w:rsidRPr="00832F7C">
        <w:t xml:space="preserve">Revelle, W. (2009). </w:t>
      </w:r>
      <w:r w:rsidRPr="00832F7C">
        <w:rPr>
          <w:i/>
          <w:iCs/>
        </w:rPr>
        <w:t>An introduction to psychometric theory with applications in R</w:t>
      </w:r>
      <w:r w:rsidRPr="00832F7C">
        <w:t>. Springer Evanston, IL. https://www.personality-project.org/r/book/</w:t>
      </w:r>
    </w:p>
    <w:p w14:paraId="10592DFC" w14:textId="77777777" w:rsidR="001A582F" w:rsidRPr="00832F7C" w:rsidRDefault="001A582F" w:rsidP="00F858D0">
      <w:pPr>
        <w:pStyle w:val="Bibliography"/>
        <w:ind w:left="720" w:hanging="720"/>
      </w:pPr>
      <w:r w:rsidRPr="00832F7C">
        <w:lastRenderedPageBreak/>
        <w:t xml:space="preserve">Richard, F. D., Bond, C. F., &amp; Stokes-Zoota, J. J. (2003). One Hundred Years of Social Psychology Quantitatively Described. </w:t>
      </w:r>
      <w:r w:rsidRPr="00832F7C">
        <w:rPr>
          <w:i/>
          <w:iCs/>
        </w:rPr>
        <w:t>Review of General Psychology</w:t>
      </w:r>
      <w:r w:rsidRPr="00832F7C">
        <w:t xml:space="preserve">, </w:t>
      </w:r>
      <w:r w:rsidRPr="00832F7C">
        <w:rPr>
          <w:i/>
          <w:iCs/>
        </w:rPr>
        <w:t>7</w:t>
      </w:r>
      <w:r w:rsidRPr="00832F7C">
        <w:t>(4), 331–363. https://doi.org/10.1037/1089-2680.7.4.331</w:t>
      </w:r>
    </w:p>
    <w:p w14:paraId="4845CB60" w14:textId="77777777" w:rsidR="001A582F" w:rsidRPr="00832F7C" w:rsidRDefault="001A582F" w:rsidP="00F858D0">
      <w:pPr>
        <w:pStyle w:val="Bibliography"/>
        <w:ind w:left="720" w:hanging="720"/>
      </w:pPr>
      <w:r w:rsidRPr="00832F7C">
        <w:t xml:space="preserve">Rücker, G., Carpenter, J. R., &amp; Schwarzer, G. (2011). Detecting and adjusting for small-study effects in meta-analysis. </w:t>
      </w:r>
      <w:r w:rsidRPr="00832F7C">
        <w:rPr>
          <w:i/>
          <w:iCs/>
        </w:rPr>
        <w:t>Biometrical Journal</w:t>
      </w:r>
      <w:r w:rsidRPr="00832F7C">
        <w:t xml:space="preserve">, </w:t>
      </w:r>
      <w:r w:rsidRPr="00832F7C">
        <w:rPr>
          <w:i/>
          <w:iCs/>
        </w:rPr>
        <w:t>53</w:t>
      </w:r>
      <w:r w:rsidRPr="00832F7C">
        <w:t>(2), 351–368. https://doi.org/10.1002/bimj.201000151</w:t>
      </w:r>
    </w:p>
    <w:p w14:paraId="38980FDF" w14:textId="77777777" w:rsidR="001A582F" w:rsidRPr="00832F7C" w:rsidRDefault="001A582F" w:rsidP="00F858D0">
      <w:pPr>
        <w:pStyle w:val="Bibliography"/>
        <w:ind w:left="720" w:hanging="720"/>
      </w:pPr>
      <w:r w:rsidRPr="00832F7C">
        <w:t xml:space="preserve">Sterne, J. A. C., Gavaghan, D., &amp; Egger, M. (2000). Publication and related bias in meta-analysis: Power of statistical tests and prevalence in the literature. </w:t>
      </w:r>
      <w:r w:rsidRPr="00832F7C">
        <w:rPr>
          <w:i/>
          <w:iCs/>
        </w:rPr>
        <w:t>Journal of Clinical Epidemiology</w:t>
      </w:r>
      <w:r w:rsidRPr="00832F7C">
        <w:t xml:space="preserve">, </w:t>
      </w:r>
      <w:r w:rsidRPr="00832F7C">
        <w:rPr>
          <w:i/>
          <w:iCs/>
        </w:rPr>
        <w:t>53</w:t>
      </w:r>
      <w:r w:rsidRPr="00832F7C">
        <w:t>(11), 1119–1129. https://doi.org/10.1016/S0895-4356(00)00242-0</w:t>
      </w:r>
    </w:p>
    <w:p w14:paraId="3CA5AA5D" w14:textId="77777777" w:rsidR="001A582F" w:rsidRPr="00832F7C" w:rsidRDefault="001A582F" w:rsidP="00F858D0">
      <w:pPr>
        <w:pStyle w:val="Bibliography"/>
        <w:ind w:left="720" w:hanging="720"/>
      </w:pPr>
      <w:r w:rsidRPr="00832F7C">
        <w:t xml:space="preserve">Vahey, N. A., Barnes-Holmes, D., Barnes-Holmes, Y., &amp; Stewart, I. (2009). A first test of the Implicit Relational Assessment Procedure (IRAP) as a measure of self-esteem: Irish prisoner groups and university students. </w:t>
      </w:r>
      <w:r w:rsidRPr="00832F7C">
        <w:rPr>
          <w:i/>
          <w:iCs/>
        </w:rPr>
        <w:t>The Psychological Record</w:t>
      </w:r>
      <w:r w:rsidRPr="00832F7C">
        <w:t xml:space="preserve">, </w:t>
      </w:r>
      <w:r w:rsidRPr="00832F7C">
        <w:rPr>
          <w:i/>
          <w:iCs/>
        </w:rPr>
        <w:t>59</w:t>
      </w:r>
      <w:r w:rsidRPr="00832F7C">
        <w:t>(3), 371–388.</w:t>
      </w:r>
    </w:p>
    <w:p w14:paraId="3A858F25" w14:textId="77777777" w:rsidR="001A582F" w:rsidRPr="00832F7C" w:rsidRDefault="001A582F" w:rsidP="00F858D0">
      <w:pPr>
        <w:pStyle w:val="Bibliography"/>
        <w:ind w:left="720" w:hanging="720"/>
      </w:pPr>
      <w:r w:rsidRPr="00832F7C">
        <w:t xml:space="preserve">Vahey, N. A., Boles, S., &amp; Barnes-Holmes, D. (2010). Measuring adolescents’ smoking-related social identity preferences with the Implicit Relational Assessment Procedure (IRAP) for the first time: A starting point that explains later IRAP evolutions. </w:t>
      </w:r>
      <w:r w:rsidRPr="00832F7C">
        <w:rPr>
          <w:i/>
          <w:iCs/>
        </w:rPr>
        <w:t>International Journal of Psychology and Psychological Therapy</w:t>
      </w:r>
      <w:r w:rsidRPr="00832F7C">
        <w:t xml:space="preserve">, </w:t>
      </w:r>
      <w:r w:rsidRPr="00832F7C">
        <w:rPr>
          <w:i/>
          <w:iCs/>
        </w:rPr>
        <w:t>10</w:t>
      </w:r>
      <w:r w:rsidRPr="00832F7C">
        <w:t>(3), 453–474.</w:t>
      </w:r>
    </w:p>
    <w:p w14:paraId="30D164B8" w14:textId="77777777" w:rsidR="001A582F" w:rsidRPr="00832F7C" w:rsidRDefault="001A582F" w:rsidP="00F858D0">
      <w:pPr>
        <w:pStyle w:val="Bibliography"/>
        <w:ind w:left="720" w:hanging="720"/>
      </w:pPr>
      <w:r w:rsidRPr="00832F7C">
        <w:t xml:space="preserve">Vahey, N. A., Nicholson, E., &amp; Barnes-Holmes, D. (2015). A meta-analysis of criterion effects for the Implicit Relational Assessment Procedure (IRAP) in the clinical domain. </w:t>
      </w:r>
      <w:r w:rsidRPr="00832F7C">
        <w:rPr>
          <w:i/>
          <w:iCs/>
        </w:rPr>
        <w:t>Journal of Behavior Therapy and Experimental Psychiatry</w:t>
      </w:r>
      <w:r w:rsidRPr="00832F7C">
        <w:t xml:space="preserve">, </w:t>
      </w:r>
      <w:r w:rsidRPr="00832F7C">
        <w:rPr>
          <w:i/>
          <w:iCs/>
        </w:rPr>
        <w:t>48</w:t>
      </w:r>
      <w:r w:rsidRPr="00832F7C">
        <w:t>, 59–65. https://doi.org/10.1016/j.jbtep.2015.01.004</w:t>
      </w:r>
    </w:p>
    <w:p w14:paraId="6C11BE5C" w14:textId="77777777" w:rsidR="001A582F" w:rsidRPr="00832F7C" w:rsidRDefault="001A582F" w:rsidP="00F858D0">
      <w:pPr>
        <w:pStyle w:val="Bibliography"/>
        <w:ind w:left="720" w:hanging="720"/>
      </w:pPr>
      <w:r w:rsidRPr="00832F7C">
        <w:t xml:space="preserve">Vevea, J. L., &amp; Woods, C. M. (2005). Publication bias in research synthesis: Sensitivity analysis using a priori weight functions. </w:t>
      </w:r>
      <w:r w:rsidRPr="00832F7C">
        <w:rPr>
          <w:i/>
          <w:iCs/>
        </w:rPr>
        <w:t>Psychological Methods</w:t>
      </w:r>
      <w:r w:rsidRPr="00832F7C">
        <w:t xml:space="preserve">, </w:t>
      </w:r>
      <w:r w:rsidRPr="00832F7C">
        <w:rPr>
          <w:i/>
          <w:iCs/>
        </w:rPr>
        <w:t>10</w:t>
      </w:r>
      <w:r w:rsidRPr="00832F7C">
        <w:t>(4), 428–443. https://doi.org/10.1037/1082-989X.10.4.428</w:t>
      </w:r>
    </w:p>
    <w:p w14:paraId="7FC0AF40" w14:textId="77777777" w:rsidR="001A582F" w:rsidRPr="00832F7C" w:rsidRDefault="001A582F" w:rsidP="00F858D0">
      <w:pPr>
        <w:pStyle w:val="Bibliography"/>
        <w:ind w:left="720" w:hanging="720"/>
      </w:pPr>
      <w:r w:rsidRPr="00832F7C">
        <w:t xml:space="preserve">Viechtbauer, W. (2010). Conducting Meta-Analyses in R with the metafor Package. </w:t>
      </w:r>
      <w:r w:rsidRPr="00832F7C">
        <w:rPr>
          <w:i/>
          <w:iCs/>
        </w:rPr>
        <w:t>Journal of Statistical Software</w:t>
      </w:r>
      <w:r w:rsidRPr="00832F7C">
        <w:t xml:space="preserve">, </w:t>
      </w:r>
      <w:r w:rsidRPr="00832F7C">
        <w:rPr>
          <w:i/>
          <w:iCs/>
        </w:rPr>
        <w:t>36</w:t>
      </w:r>
      <w:r w:rsidRPr="00832F7C">
        <w:t>(3). https://doi.org/10.18637/jss.v036.i03</w:t>
      </w:r>
    </w:p>
    <w:p w14:paraId="1E1036BE" w14:textId="77777777" w:rsidR="001A582F" w:rsidRPr="00832F7C" w:rsidRDefault="001A582F" w:rsidP="00F858D0">
      <w:pPr>
        <w:pStyle w:val="Bibliography"/>
        <w:ind w:left="720" w:hanging="720"/>
      </w:pPr>
      <w:r w:rsidRPr="00832F7C">
        <w:lastRenderedPageBreak/>
        <w:t xml:space="preserve">Viechtbauer, W. (2022). </w:t>
      </w:r>
      <w:r w:rsidRPr="00832F7C">
        <w:rPr>
          <w:i/>
          <w:iCs/>
        </w:rPr>
        <w:t>Hunter and Schmidt Method</w:t>
      </w:r>
      <w:r w:rsidRPr="00832F7C">
        <w:t>. https://www.metafor-project.org/doku.php/tips:hunter_schmidt_method</w:t>
      </w:r>
    </w:p>
    <w:p w14:paraId="6F10E0AD" w14:textId="77777777" w:rsidR="001A582F" w:rsidRPr="00832F7C" w:rsidRDefault="001A582F" w:rsidP="00F858D0">
      <w:pPr>
        <w:pStyle w:val="Bibliography"/>
        <w:ind w:left="720" w:hanging="720"/>
      </w:pPr>
      <w:r w:rsidRPr="00832F7C">
        <w:t xml:space="preserve">Viechtbauer, W. (2024). </w:t>
      </w:r>
      <w:r w:rsidRPr="00832F7C">
        <w:rPr>
          <w:i/>
          <w:iCs/>
        </w:rPr>
        <w:t>metafor: Meta-Analysis Package for R</w:t>
      </w:r>
      <w:r w:rsidRPr="00832F7C">
        <w:t xml:space="preserve"> (Version 4.6-0) [Computer software]. https://CRAN.R-project.org/package=metafor</w:t>
      </w:r>
    </w:p>
    <w:p w14:paraId="75883BE3" w14:textId="77777777" w:rsidR="001A582F" w:rsidRPr="00832F7C" w:rsidRDefault="001A582F" w:rsidP="00F858D0">
      <w:pPr>
        <w:pStyle w:val="Bibliography"/>
        <w:ind w:left="720" w:hanging="720"/>
      </w:pPr>
      <w:r w:rsidRPr="00832F7C">
        <w:t xml:space="preserve">Wilkinson, J., Heal, C., Antoniou, G. A., Alfirevic, Z., Avenell, A., Barbour, V., Brown, N. J. L., Carlisle, J., Dicker, P., Dumville, J., Grey, A., Gurrin, L. C., Hayden, J. A., Heathers, J., Hunter, K. E., Lasserson, T., Lam, E., Lensen, S., Li, T., … Kirkham, J. J. (2023). </w:t>
      </w:r>
      <w:r w:rsidRPr="00832F7C">
        <w:rPr>
          <w:i/>
          <w:iCs/>
        </w:rPr>
        <w:t>Protocol for the development of a tool (INSPECT-SR) to identify problematic randomised controlled trials in systematic reviews of health interventions</w:t>
      </w:r>
      <w:r w:rsidRPr="00832F7C">
        <w:t xml:space="preserve"> (p. 2023.09.21.23295626). medRxiv. https://doi.org/10.1101/2023.09.21.23295626</w:t>
      </w:r>
    </w:p>
    <w:p w14:paraId="3B566FFD" w14:textId="30C94CAB" w:rsidR="00954504" w:rsidRPr="00832F7C" w:rsidRDefault="00000000" w:rsidP="00F858D0">
      <w:pPr>
        <w:ind w:left="720" w:hanging="720"/>
      </w:pPr>
      <w:r w:rsidRPr="00832F7C">
        <w:fldChar w:fldCharType="end"/>
      </w:r>
    </w:p>
    <w:p w14:paraId="7E1308A9" w14:textId="77777777" w:rsidR="00F0388F" w:rsidRPr="00832F7C" w:rsidRDefault="00000000" w:rsidP="00D77465">
      <w:pPr>
        <w:sectPr w:rsidR="00F0388F" w:rsidRPr="00832F7C" w:rsidSect="00D77465">
          <w:type w:val="continuous"/>
          <w:pgSz w:w="11900" w:h="16840"/>
          <w:pgMar w:top="1440" w:right="1440" w:bottom="1440" w:left="1440" w:header="709" w:footer="709" w:gutter="0"/>
          <w:cols w:space="340"/>
          <w:titlePg/>
          <w:docGrid w:linePitch="360"/>
          <w15:footnoteColumns w:val="1"/>
        </w:sectPr>
      </w:pPr>
      <w:r w:rsidRPr="00832F7C">
        <w:t xml:space="preserve"> </w:t>
      </w:r>
    </w:p>
    <w:p w14:paraId="3B402DBC" w14:textId="77777777" w:rsidR="00E976A8" w:rsidRPr="00832F7C" w:rsidRDefault="00E976A8" w:rsidP="00D77465"/>
    <w:sectPr w:rsidR="00E976A8" w:rsidRPr="00832F7C" w:rsidSect="00D77465">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5376E" w14:textId="77777777" w:rsidR="005315FA" w:rsidRDefault="005315FA" w:rsidP="00D77465">
      <w:r>
        <w:separator/>
      </w:r>
    </w:p>
  </w:endnote>
  <w:endnote w:type="continuationSeparator" w:id="0">
    <w:p w14:paraId="20E8A8B0" w14:textId="77777777" w:rsidR="005315FA" w:rsidRDefault="005315FA" w:rsidP="00D7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731806F2" w14:textId="77777777" w:rsidR="008153E3" w:rsidRDefault="00000000" w:rsidP="00F94C1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BCF53EB" w14:textId="77777777" w:rsidR="008153E3" w:rsidRDefault="008153E3" w:rsidP="00F94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9A91" w14:textId="5C18B7A8" w:rsidR="008153E3" w:rsidRDefault="008153E3" w:rsidP="00F94C14">
    <w:pPr>
      <w:pStyle w:val="Footer"/>
      <w:rPr>
        <w:rStyle w:val="PageNumber"/>
      </w:rPr>
    </w:pPr>
  </w:p>
  <w:p w14:paraId="17FC8458" w14:textId="77777777" w:rsidR="008153E3" w:rsidRPr="008153E3" w:rsidRDefault="008153E3" w:rsidP="00F94C1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2C98A" w14:textId="77777777" w:rsidR="005315FA" w:rsidRDefault="005315FA" w:rsidP="00D77465">
      <w:r>
        <w:separator/>
      </w:r>
    </w:p>
  </w:footnote>
  <w:footnote w:type="continuationSeparator" w:id="0">
    <w:p w14:paraId="08ADC50F" w14:textId="77777777" w:rsidR="005315FA" w:rsidRDefault="005315FA" w:rsidP="00D77465">
      <w:r>
        <w:continuationSeparator/>
      </w:r>
    </w:p>
  </w:footnote>
  <w:footnote w:id="1">
    <w:p w14:paraId="2478A9FA" w14:textId="6CA46723" w:rsidR="00663892" w:rsidRPr="00F94C14" w:rsidRDefault="00663892" w:rsidP="00F94C14">
      <w:pPr>
        <w:pStyle w:val="FootnoteText"/>
        <w:rPr>
          <w:lang w:val="en-US"/>
        </w:rPr>
      </w:pPr>
      <w:r w:rsidRPr="00F94C14">
        <w:rPr>
          <w:rStyle w:val="FootnoteReference"/>
        </w:rPr>
        <w:footnoteRef/>
      </w:r>
      <w:r w:rsidRPr="00F94C14">
        <w:t xml:space="preserve"> Two other reviews of the IRAP’s test-retest reliability have also been conducted </w:t>
      </w:r>
      <w:r w:rsidRPr="00F94C14">
        <w:fldChar w:fldCharType="begin"/>
      </w:r>
      <w:r w:rsidRPr="00F94C14">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F94C14">
        <w:fldChar w:fldCharType="separate"/>
      </w:r>
      <w:r w:rsidRPr="00F94C14">
        <w:t xml:space="preserve">(Golijani-Moghaddam et al., 2013: </w:t>
      </w:r>
      <m:oMath>
        <m:acc>
          <m:accPr>
            <m:chr m:val="̅"/>
            <m:ctrlPr>
              <w:rPr>
                <w:rFonts w:ascii="Cambria Math" w:hAnsi="Cambria Math"/>
                <w:i/>
              </w:rPr>
            </m:ctrlPr>
          </m:accPr>
          <m:e>
            <m:r>
              <m:rPr>
                <m:sty m:val="p"/>
              </m:rPr>
              <w:rPr>
                <w:rFonts w:ascii="Cambria Math" w:hAnsi="Cambria Math"/>
              </w:rPr>
              <m:t>r</m:t>
            </m:r>
          </m:e>
        </m:acc>
      </m:oMath>
      <w:r w:rsidRPr="00F94C14">
        <w:t xml:space="preserve"> = .49; Greenwald &amp; Lai, 2020: </w:t>
      </w:r>
      <m:oMath>
        <m:acc>
          <m:accPr>
            <m:chr m:val="̅"/>
            <m:ctrlPr>
              <w:rPr>
                <w:rFonts w:ascii="Cambria Math" w:hAnsi="Cambria Math"/>
                <w:i/>
              </w:rPr>
            </m:ctrlPr>
          </m:accPr>
          <m:e>
            <m:r>
              <m:rPr>
                <m:sty m:val="p"/>
              </m:rPr>
              <w:rPr>
                <w:rFonts w:ascii="Cambria Math" w:hAnsi="Cambria Math"/>
              </w:rPr>
              <m:t>r</m:t>
            </m:r>
          </m:e>
        </m:acc>
      </m:oMath>
      <w:r w:rsidRPr="00F94C14">
        <w:t xml:space="preserve"> = .45)</w:t>
      </w:r>
      <w:r w:rsidRPr="00F94C14">
        <w:fldChar w:fldCharType="end"/>
      </w:r>
      <w:r w:rsidRPr="00F94C14">
        <w:t>. However, both estimated test-retest reliability from a very small number of studies (</w:t>
      </w:r>
      <w:r w:rsidRPr="00F94C14">
        <w:rPr>
          <w:i/>
          <w:iCs/>
        </w:rPr>
        <w:t>k</w:t>
      </w:r>
      <w:r w:rsidRPr="00F94C14">
        <w:t>s = 1 and 2, respectively) with very small sample sizes (</w:t>
      </w:r>
      <w:r w:rsidRPr="00F94C14">
        <w:rPr>
          <w:i/>
          <w:iCs/>
        </w:rPr>
        <w:t>N</w:t>
      </w:r>
      <w:r w:rsidRPr="00F94C14">
        <w:t xml:space="preserve">s = 12 and 25, respectively). Hussey &amp; Drake’s </w:t>
      </w:r>
      <w:r w:rsidRPr="00F94C14">
        <w:fldChar w:fldCharType="begin"/>
      </w:r>
      <w:r w:rsidRPr="00F94C14">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F94C14">
        <w:fldChar w:fldCharType="separate"/>
      </w:r>
      <w:r w:rsidRPr="00F94C14">
        <w:t>(2020)</w:t>
      </w:r>
      <w:r w:rsidRPr="00F94C14">
        <w:fldChar w:fldCharType="end"/>
      </w:r>
      <w:r w:rsidRPr="00F94C14">
        <w:t xml:space="preserve"> estimates, which were derived from a larger number of studies and participants (</w:t>
      </w:r>
      <w:r w:rsidRPr="00F94C14">
        <w:rPr>
          <w:i/>
          <w:iCs/>
        </w:rPr>
        <w:t>k</w:t>
      </w:r>
      <w:r w:rsidRPr="00F94C14">
        <w:t xml:space="preserve"> = 8, </w:t>
      </w:r>
      <w:r w:rsidRPr="00F94C14">
        <w:rPr>
          <w:i/>
          <w:iCs/>
        </w:rPr>
        <w:t>N</w:t>
      </w:r>
      <w:r w:rsidRPr="00F94C14">
        <w:t xml:space="preserve"> = 318) therefore represent the more precise estimates. In addition, Hussey &amp; Drake (2020) employ both more appropriate methods to estimate reliability (i.e., permutation-based internal consistency rather than split-half reliability, and ICC</w:t>
      </w:r>
      <w:r w:rsidRPr="00F94C14">
        <w:rPr>
          <w:vertAlign w:val="subscript"/>
        </w:rPr>
        <w:t>2</w:t>
      </w:r>
      <w:r w:rsidRPr="00F94C14">
        <w:t xml:space="preserve"> rather than Pearson’s </w:t>
      </w:r>
      <w:r w:rsidRPr="00F94C14">
        <w:rPr>
          <w:i/>
          <w:iCs/>
        </w:rPr>
        <w:t>r</w:t>
      </w:r>
      <w:r w:rsidRPr="00F94C14">
        <w:t xml:space="preserve">. See Hussey &amp; Drake (2020) for further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902653"/>
      <w:docPartObj>
        <w:docPartGallery w:val="Page Numbers (Top of Page)"/>
        <w:docPartUnique/>
      </w:docPartObj>
    </w:sdtPr>
    <w:sdtContent>
      <w:p w14:paraId="57346CFA" w14:textId="106F2AD7" w:rsidR="00D77465" w:rsidRDefault="00D77465" w:rsidP="00D77465">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240F1">
          <w:rPr>
            <w:rStyle w:val="PageNumber"/>
            <w:noProof/>
          </w:rPr>
          <w:t>1</w:t>
        </w:r>
        <w:r>
          <w:rPr>
            <w:rStyle w:val="PageNumber"/>
          </w:rPr>
          <w:fldChar w:fldCharType="end"/>
        </w:r>
      </w:p>
    </w:sdtContent>
  </w:sdt>
  <w:p w14:paraId="377E75FE" w14:textId="77777777" w:rsidR="00D77465" w:rsidRDefault="00D77465" w:rsidP="00D77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2248482"/>
      <w:docPartObj>
        <w:docPartGallery w:val="Page Numbers (Top of Page)"/>
        <w:docPartUnique/>
      </w:docPartObj>
    </w:sdtPr>
    <w:sdtContent>
      <w:p w14:paraId="48EE402A" w14:textId="36000878" w:rsidR="00D77465" w:rsidRDefault="00D77465" w:rsidP="00D77465">
        <w:pPr>
          <w:pStyle w:val="Header"/>
          <w:ind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2B74EB" w14:textId="77777777" w:rsidR="00D77465" w:rsidRDefault="00D77465" w:rsidP="00D77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07DE3FDA">
      <w:start w:val="1"/>
      <w:numFmt w:val="decimal"/>
      <w:lvlText w:val="%1."/>
      <w:lvlJc w:val="left"/>
      <w:pPr>
        <w:ind w:left="720" w:hanging="360"/>
      </w:pPr>
      <w:rPr>
        <w:rFonts w:hint="default"/>
      </w:rPr>
    </w:lvl>
    <w:lvl w:ilvl="1" w:tplc="EB3E7032" w:tentative="1">
      <w:start w:val="1"/>
      <w:numFmt w:val="lowerLetter"/>
      <w:lvlText w:val="%2."/>
      <w:lvlJc w:val="left"/>
      <w:pPr>
        <w:ind w:left="1440" w:hanging="360"/>
      </w:pPr>
    </w:lvl>
    <w:lvl w:ilvl="2" w:tplc="9FA4CE90" w:tentative="1">
      <w:start w:val="1"/>
      <w:numFmt w:val="lowerRoman"/>
      <w:lvlText w:val="%3."/>
      <w:lvlJc w:val="right"/>
      <w:pPr>
        <w:ind w:left="2160" w:hanging="180"/>
      </w:pPr>
    </w:lvl>
    <w:lvl w:ilvl="3" w:tplc="DF08F312" w:tentative="1">
      <w:start w:val="1"/>
      <w:numFmt w:val="decimal"/>
      <w:lvlText w:val="%4."/>
      <w:lvlJc w:val="left"/>
      <w:pPr>
        <w:ind w:left="2880" w:hanging="360"/>
      </w:pPr>
    </w:lvl>
    <w:lvl w:ilvl="4" w:tplc="B3BE16B8" w:tentative="1">
      <w:start w:val="1"/>
      <w:numFmt w:val="lowerLetter"/>
      <w:lvlText w:val="%5."/>
      <w:lvlJc w:val="left"/>
      <w:pPr>
        <w:ind w:left="3600" w:hanging="360"/>
      </w:pPr>
    </w:lvl>
    <w:lvl w:ilvl="5" w:tplc="E0ACAF48" w:tentative="1">
      <w:start w:val="1"/>
      <w:numFmt w:val="lowerRoman"/>
      <w:lvlText w:val="%6."/>
      <w:lvlJc w:val="right"/>
      <w:pPr>
        <w:ind w:left="4320" w:hanging="180"/>
      </w:pPr>
    </w:lvl>
    <w:lvl w:ilvl="6" w:tplc="DA36E7C8" w:tentative="1">
      <w:start w:val="1"/>
      <w:numFmt w:val="decimal"/>
      <w:lvlText w:val="%7."/>
      <w:lvlJc w:val="left"/>
      <w:pPr>
        <w:ind w:left="5040" w:hanging="360"/>
      </w:pPr>
    </w:lvl>
    <w:lvl w:ilvl="7" w:tplc="7C22BBAA" w:tentative="1">
      <w:start w:val="1"/>
      <w:numFmt w:val="lowerLetter"/>
      <w:lvlText w:val="%8."/>
      <w:lvlJc w:val="left"/>
      <w:pPr>
        <w:ind w:left="5760" w:hanging="360"/>
      </w:pPr>
    </w:lvl>
    <w:lvl w:ilvl="8" w:tplc="E738DF9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462A2688">
      <w:start w:val="1"/>
      <w:numFmt w:val="bullet"/>
      <w:lvlText w:val="-"/>
      <w:lvlJc w:val="left"/>
      <w:pPr>
        <w:ind w:left="1080" w:hanging="360"/>
      </w:pPr>
      <w:rPr>
        <w:rFonts w:ascii="CMU Serif Roman" w:eastAsiaTheme="minorEastAsia" w:hAnsi="CMU Serif Roman" w:cs="CMU Serif Roman" w:hint="default"/>
      </w:rPr>
    </w:lvl>
    <w:lvl w:ilvl="1" w:tplc="AE9E8228" w:tentative="1">
      <w:start w:val="1"/>
      <w:numFmt w:val="bullet"/>
      <w:lvlText w:val="o"/>
      <w:lvlJc w:val="left"/>
      <w:pPr>
        <w:ind w:left="1800" w:hanging="360"/>
      </w:pPr>
      <w:rPr>
        <w:rFonts w:ascii="Courier New" w:hAnsi="Courier New" w:cs="Courier New" w:hint="default"/>
      </w:rPr>
    </w:lvl>
    <w:lvl w:ilvl="2" w:tplc="B33EC204" w:tentative="1">
      <w:start w:val="1"/>
      <w:numFmt w:val="bullet"/>
      <w:lvlText w:val=""/>
      <w:lvlJc w:val="left"/>
      <w:pPr>
        <w:ind w:left="2520" w:hanging="360"/>
      </w:pPr>
      <w:rPr>
        <w:rFonts w:ascii="Wingdings" w:hAnsi="Wingdings" w:hint="default"/>
      </w:rPr>
    </w:lvl>
    <w:lvl w:ilvl="3" w:tplc="8B689144" w:tentative="1">
      <w:start w:val="1"/>
      <w:numFmt w:val="bullet"/>
      <w:lvlText w:val=""/>
      <w:lvlJc w:val="left"/>
      <w:pPr>
        <w:ind w:left="3240" w:hanging="360"/>
      </w:pPr>
      <w:rPr>
        <w:rFonts w:ascii="Symbol" w:hAnsi="Symbol" w:hint="default"/>
      </w:rPr>
    </w:lvl>
    <w:lvl w:ilvl="4" w:tplc="42FC282C" w:tentative="1">
      <w:start w:val="1"/>
      <w:numFmt w:val="bullet"/>
      <w:lvlText w:val="o"/>
      <w:lvlJc w:val="left"/>
      <w:pPr>
        <w:ind w:left="3960" w:hanging="360"/>
      </w:pPr>
      <w:rPr>
        <w:rFonts w:ascii="Courier New" w:hAnsi="Courier New" w:cs="Courier New" w:hint="default"/>
      </w:rPr>
    </w:lvl>
    <w:lvl w:ilvl="5" w:tplc="9AC899A8" w:tentative="1">
      <w:start w:val="1"/>
      <w:numFmt w:val="bullet"/>
      <w:lvlText w:val=""/>
      <w:lvlJc w:val="left"/>
      <w:pPr>
        <w:ind w:left="4680" w:hanging="360"/>
      </w:pPr>
      <w:rPr>
        <w:rFonts w:ascii="Wingdings" w:hAnsi="Wingdings" w:hint="default"/>
      </w:rPr>
    </w:lvl>
    <w:lvl w:ilvl="6" w:tplc="2F16CCA4" w:tentative="1">
      <w:start w:val="1"/>
      <w:numFmt w:val="bullet"/>
      <w:lvlText w:val=""/>
      <w:lvlJc w:val="left"/>
      <w:pPr>
        <w:ind w:left="5400" w:hanging="360"/>
      </w:pPr>
      <w:rPr>
        <w:rFonts w:ascii="Symbol" w:hAnsi="Symbol" w:hint="default"/>
      </w:rPr>
    </w:lvl>
    <w:lvl w:ilvl="7" w:tplc="2F7E77A4" w:tentative="1">
      <w:start w:val="1"/>
      <w:numFmt w:val="bullet"/>
      <w:lvlText w:val="o"/>
      <w:lvlJc w:val="left"/>
      <w:pPr>
        <w:ind w:left="6120" w:hanging="360"/>
      </w:pPr>
      <w:rPr>
        <w:rFonts w:ascii="Courier New" w:hAnsi="Courier New" w:cs="Courier New" w:hint="default"/>
      </w:rPr>
    </w:lvl>
    <w:lvl w:ilvl="8" w:tplc="3904A594"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D0CA5836">
      <w:start w:val="30"/>
      <w:numFmt w:val="bullet"/>
      <w:lvlText w:val=""/>
      <w:lvlJc w:val="left"/>
      <w:pPr>
        <w:ind w:left="720" w:hanging="360"/>
      </w:pPr>
      <w:rPr>
        <w:rFonts w:ascii="Symbol" w:eastAsia="MS Mincho" w:hAnsi="Symbol" w:cs="CMU Serif Roman" w:hint="default"/>
      </w:rPr>
    </w:lvl>
    <w:lvl w:ilvl="1" w:tplc="9344405E" w:tentative="1">
      <w:start w:val="1"/>
      <w:numFmt w:val="bullet"/>
      <w:lvlText w:val="o"/>
      <w:lvlJc w:val="left"/>
      <w:pPr>
        <w:ind w:left="1440" w:hanging="360"/>
      </w:pPr>
      <w:rPr>
        <w:rFonts w:ascii="Courier New" w:hAnsi="Courier New" w:cs="Courier New" w:hint="default"/>
      </w:rPr>
    </w:lvl>
    <w:lvl w:ilvl="2" w:tplc="B6EAB454" w:tentative="1">
      <w:start w:val="1"/>
      <w:numFmt w:val="bullet"/>
      <w:lvlText w:val=""/>
      <w:lvlJc w:val="left"/>
      <w:pPr>
        <w:ind w:left="2160" w:hanging="360"/>
      </w:pPr>
      <w:rPr>
        <w:rFonts w:ascii="Wingdings" w:hAnsi="Wingdings" w:hint="default"/>
      </w:rPr>
    </w:lvl>
    <w:lvl w:ilvl="3" w:tplc="B0C04CBC" w:tentative="1">
      <w:start w:val="1"/>
      <w:numFmt w:val="bullet"/>
      <w:lvlText w:val=""/>
      <w:lvlJc w:val="left"/>
      <w:pPr>
        <w:ind w:left="2880" w:hanging="360"/>
      </w:pPr>
      <w:rPr>
        <w:rFonts w:ascii="Symbol" w:hAnsi="Symbol" w:hint="default"/>
      </w:rPr>
    </w:lvl>
    <w:lvl w:ilvl="4" w:tplc="2F0E7B26" w:tentative="1">
      <w:start w:val="1"/>
      <w:numFmt w:val="bullet"/>
      <w:lvlText w:val="o"/>
      <w:lvlJc w:val="left"/>
      <w:pPr>
        <w:ind w:left="3600" w:hanging="360"/>
      </w:pPr>
      <w:rPr>
        <w:rFonts w:ascii="Courier New" w:hAnsi="Courier New" w:cs="Courier New" w:hint="default"/>
      </w:rPr>
    </w:lvl>
    <w:lvl w:ilvl="5" w:tplc="C148A1EE" w:tentative="1">
      <w:start w:val="1"/>
      <w:numFmt w:val="bullet"/>
      <w:lvlText w:val=""/>
      <w:lvlJc w:val="left"/>
      <w:pPr>
        <w:ind w:left="4320" w:hanging="360"/>
      </w:pPr>
      <w:rPr>
        <w:rFonts w:ascii="Wingdings" w:hAnsi="Wingdings" w:hint="default"/>
      </w:rPr>
    </w:lvl>
    <w:lvl w:ilvl="6" w:tplc="D6BED93C" w:tentative="1">
      <w:start w:val="1"/>
      <w:numFmt w:val="bullet"/>
      <w:lvlText w:val=""/>
      <w:lvlJc w:val="left"/>
      <w:pPr>
        <w:ind w:left="5040" w:hanging="360"/>
      </w:pPr>
      <w:rPr>
        <w:rFonts w:ascii="Symbol" w:hAnsi="Symbol" w:hint="default"/>
      </w:rPr>
    </w:lvl>
    <w:lvl w:ilvl="7" w:tplc="907C83D4" w:tentative="1">
      <w:start w:val="1"/>
      <w:numFmt w:val="bullet"/>
      <w:lvlText w:val="o"/>
      <w:lvlJc w:val="left"/>
      <w:pPr>
        <w:ind w:left="5760" w:hanging="360"/>
      </w:pPr>
      <w:rPr>
        <w:rFonts w:ascii="Courier New" w:hAnsi="Courier New" w:cs="Courier New" w:hint="default"/>
      </w:rPr>
    </w:lvl>
    <w:lvl w:ilvl="8" w:tplc="D40EB47A"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F216FBC6">
      <w:start w:val="30"/>
      <w:numFmt w:val="bullet"/>
      <w:lvlText w:val=""/>
      <w:lvlJc w:val="left"/>
      <w:pPr>
        <w:ind w:left="720" w:hanging="360"/>
      </w:pPr>
      <w:rPr>
        <w:rFonts w:ascii="Symbol" w:eastAsia="MS Mincho" w:hAnsi="Symbol" w:cs="CMU Serif Roman" w:hint="default"/>
        <w:color w:val="000000"/>
      </w:rPr>
    </w:lvl>
    <w:lvl w:ilvl="1" w:tplc="907098FC" w:tentative="1">
      <w:start w:val="1"/>
      <w:numFmt w:val="bullet"/>
      <w:lvlText w:val="o"/>
      <w:lvlJc w:val="left"/>
      <w:pPr>
        <w:ind w:left="1440" w:hanging="360"/>
      </w:pPr>
      <w:rPr>
        <w:rFonts w:ascii="Courier New" w:hAnsi="Courier New" w:cs="Courier New" w:hint="default"/>
      </w:rPr>
    </w:lvl>
    <w:lvl w:ilvl="2" w:tplc="77A46566" w:tentative="1">
      <w:start w:val="1"/>
      <w:numFmt w:val="bullet"/>
      <w:lvlText w:val=""/>
      <w:lvlJc w:val="left"/>
      <w:pPr>
        <w:ind w:left="2160" w:hanging="360"/>
      </w:pPr>
      <w:rPr>
        <w:rFonts w:ascii="Wingdings" w:hAnsi="Wingdings" w:hint="default"/>
      </w:rPr>
    </w:lvl>
    <w:lvl w:ilvl="3" w:tplc="72E66764" w:tentative="1">
      <w:start w:val="1"/>
      <w:numFmt w:val="bullet"/>
      <w:lvlText w:val=""/>
      <w:lvlJc w:val="left"/>
      <w:pPr>
        <w:ind w:left="2880" w:hanging="360"/>
      </w:pPr>
      <w:rPr>
        <w:rFonts w:ascii="Symbol" w:hAnsi="Symbol" w:hint="default"/>
      </w:rPr>
    </w:lvl>
    <w:lvl w:ilvl="4" w:tplc="EB6085FC" w:tentative="1">
      <w:start w:val="1"/>
      <w:numFmt w:val="bullet"/>
      <w:lvlText w:val="o"/>
      <w:lvlJc w:val="left"/>
      <w:pPr>
        <w:ind w:left="3600" w:hanging="360"/>
      </w:pPr>
      <w:rPr>
        <w:rFonts w:ascii="Courier New" w:hAnsi="Courier New" w:cs="Courier New" w:hint="default"/>
      </w:rPr>
    </w:lvl>
    <w:lvl w:ilvl="5" w:tplc="AD74CF1A" w:tentative="1">
      <w:start w:val="1"/>
      <w:numFmt w:val="bullet"/>
      <w:lvlText w:val=""/>
      <w:lvlJc w:val="left"/>
      <w:pPr>
        <w:ind w:left="4320" w:hanging="360"/>
      </w:pPr>
      <w:rPr>
        <w:rFonts w:ascii="Wingdings" w:hAnsi="Wingdings" w:hint="default"/>
      </w:rPr>
    </w:lvl>
    <w:lvl w:ilvl="6" w:tplc="C86A17F6" w:tentative="1">
      <w:start w:val="1"/>
      <w:numFmt w:val="bullet"/>
      <w:lvlText w:val=""/>
      <w:lvlJc w:val="left"/>
      <w:pPr>
        <w:ind w:left="5040" w:hanging="360"/>
      </w:pPr>
      <w:rPr>
        <w:rFonts w:ascii="Symbol" w:hAnsi="Symbol" w:hint="default"/>
      </w:rPr>
    </w:lvl>
    <w:lvl w:ilvl="7" w:tplc="891436A2" w:tentative="1">
      <w:start w:val="1"/>
      <w:numFmt w:val="bullet"/>
      <w:lvlText w:val="o"/>
      <w:lvlJc w:val="left"/>
      <w:pPr>
        <w:ind w:left="5760" w:hanging="360"/>
      </w:pPr>
      <w:rPr>
        <w:rFonts w:ascii="Courier New" w:hAnsi="Courier New" w:cs="Courier New" w:hint="default"/>
      </w:rPr>
    </w:lvl>
    <w:lvl w:ilvl="8" w:tplc="55CCE95C"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CAB2A17E">
      <w:start w:val="30"/>
      <w:numFmt w:val="bullet"/>
      <w:lvlText w:val=""/>
      <w:lvlJc w:val="left"/>
      <w:pPr>
        <w:ind w:left="720" w:hanging="360"/>
      </w:pPr>
      <w:rPr>
        <w:rFonts w:ascii="Symbol" w:eastAsia="MS Mincho" w:hAnsi="Symbol" w:cs="CMU Serif Roman" w:hint="default"/>
      </w:rPr>
    </w:lvl>
    <w:lvl w:ilvl="1" w:tplc="D6B6A706" w:tentative="1">
      <w:start w:val="1"/>
      <w:numFmt w:val="bullet"/>
      <w:lvlText w:val="o"/>
      <w:lvlJc w:val="left"/>
      <w:pPr>
        <w:ind w:left="1440" w:hanging="360"/>
      </w:pPr>
      <w:rPr>
        <w:rFonts w:ascii="Courier New" w:hAnsi="Courier New" w:cs="Courier New" w:hint="default"/>
      </w:rPr>
    </w:lvl>
    <w:lvl w:ilvl="2" w:tplc="36B8B70C" w:tentative="1">
      <w:start w:val="1"/>
      <w:numFmt w:val="bullet"/>
      <w:lvlText w:val=""/>
      <w:lvlJc w:val="left"/>
      <w:pPr>
        <w:ind w:left="2160" w:hanging="360"/>
      </w:pPr>
      <w:rPr>
        <w:rFonts w:ascii="Wingdings" w:hAnsi="Wingdings" w:hint="default"/>
      </w:rPr>
    </w:lvl>
    <w:lvl w:ilvl="3" w:tplc="DA907084" w:tentative="1">
      <w:start w:val="1"/>
      <w:numFmt w:val="bullet"/>
      <w:lvlText w:val=""/>
      <w:lvlJc w:val="left"/>
      <w:pPr>
        <w:ind w:left="2880" w:hanging="360"/>
      </w:pPr>
      <w:rPr>
        <w:rFonts w:ascii="Symbol" w:hAnsi="Symbol" w:hint="default"/>
      </w:rPr>
    </w:lvl>
    <w:lvl w:ilvl="4" w:tplc="FFBEA91A" w:tentative="1">
      <w:start w:val="1"/>
      <w:numFmt w:val="bullet"/>
      <w:lvlText w:val="o"/>
      <w:lvlJc w:val="left"/>
      <w:pPr>
        <w:ind w:left="3600" w:hanging="360"/>
      </w:pPr>
      <w:rPr>
        <w:rFonts w:ascii="Courier New" w:hAnsi="Courier New" w:cs="Courier New" w:hint="default"/>
      </w:rPr>
    </w:lvl>
    <w:lvl w:ilvl="5" w:tplc="D8B4074C" w:tentative="1">
      <w:start w:val="1"/>
      <w:numFmt w:val="bullet"/>
      <w:lvlText w:val=""/>
      <w:lvlJc w:val="left"/>
      <w:pPr>
        <w:ind w:left="4320" w:hanging="360"/>
      </w:pPr>
      <w:rPr>
        <w:rFonts w:ascii="Wingdings" w:hAnsi="Wingdings" w:hint="default"/>
      </w:rPr>
    </w:lvl>
    <w:lvl w:ilvl="6" w:tplc="50F06C44" w:tentative="1">
      <w:start w:val="1"/>
      <w:numFmt w:val="bullet"/>
      <w:lvlText w:val=""/>
      <w:lvlJc w:val="left"/>
      <w:pPr>
        <w:ind w:left="5040" w:hanging="360"/>
      </w:pPr>
      <w:rPr>
        <w:rFonts w:ascii="Symbol" w:hAnsi="Symbol" w:hint="default"/>
      </w:rPr>
    </w:lvl>
    <w:lvl w:ilvl="7" w:tplc="D83C28A4" w:tentative="1">
      <w:start w:val="1"/>
      <w:numFmt w:val="bullet"/>
      <w:lvlText w:val="o"/>
      <w:lvlJc w:val="left"/>
      <w:pPr>
        <w:ind w:left="5760" w:hanging="360"/>
      </w:pPr>
      <w:rPr>
        <w:rFonts w:ascii="Courier New" w:hAnsi="Courier New" w:cs="Courier New" w:hint="default"/>
      </w:rPr>
    </w:lvl>
    <w:lvl w:ilvl="8" w:tplc="761808F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2736C232">
      <w:start w:val="5"/>
      <w:numFmt w:val="bullet"/>
      <w:lvlText w:val=""/>
      <w:lvlJc w:val="left"/>
      <w:pPr>
        <w:ind w:left="720" w:hanging="360"/>
      </w:pPr>
      <w:rPr>
        <w:rFonts w:ascii="Symbol" w:eastAsia="Times New Roman" w:hAnsi="Symbol" w:cstheme="majorHAnsi" w:hint="default"/>
      </w:rPr>
    </w:lvl>
    <w:lvl w:ilvl="1" w:tplc="91D8726C" w:tentative="1">
      <w:start w:val="1"/>
      <w:numFmt w:val="bullet"/>
      <w:lvlText w:val="o"/>
      <w:lvlJc w:val="left"/>
      <w:pPr>
        <w:ind w:left="1440" w:hanging="360"/>
      </w:pPr>
      <w:rPr>
        <w:rFonts w:ascii="Courier New" w:hAnsi="Courier New" w:hint="default"/>
      </w:rPr>
    </w:lvl>
    <w:lvl w:ilvl="2" w:tplc="10BEA4EC" w:tentative="1">
      <w:start w:val="1"/>
      <w:numFmt w:val="bullet"/>
      <w:lvlText w:val=""/>
      <w:lvlJc w:val="left"/>
      <w:pPr>
        <w:ind w:left="2160" w:hanging="360"/>
      </w:pPr>
      <w:rPr>
        <w:rFonts w:ascii="Wingdings" w:hAnsi="Wingdings" w:hint="default"/>
      </w:rPr>
    </w:lvl>
    <w:lvl w:ilvl="3" w:tplc="8FC4BAE6" w:tentative="1">
      <w:start w:val="1"/>
      <w:numFmt w:val="bullet"/>
      <w:lvlText w:val=""/>
      <w:lvlJc w:val="left"/>
      <w:pPr>
        <w:ind w:left="2880" w:hanging="360"/>
      </w:pPr>
      <w:rPr>
        <w:rFonts w:ascii="Symbol" w:hAnsi="Symbol" w:hint="default"/>
      </w:rPr>
    </w:lvl>
    <w:lvl w:ilvl="4" w:tplc="874E3ABA" w:tentative="1">
      <w:start w:val="1"/>
      <w:numFmt w:val="bullet"/>
      <w:lvlText w:val="o"/>
      <w:lvlJc w:val="left"/>
      <w:pPr>
        <w:ind w:left="3600" w:hanging="360"/>
      </w:pPr>
      <w:rPr>
        <w:rFonts w:ascii="Courier New" w:hAnsi="Courier New" w:hint="default"/>
      </w:rPr>
    </w:lvl>
    <w:lvl w:ilvl="5" w:tplc="735274D8" w:tentative="1">
      <w:start w:val="1"/>
      <w:numFmt w:val="bullet"/>
      <w:lvlText w:val=""/>
      <w:lvlJc w:val="left"/>
      <w:pPr>
        <w:ind w:left="4320" w:hanging="360"/>
      </w:pPr>
      <w:rPr>
        <w:rFonts w:ascii="Wingdings" w:hAnsi="Wingdings" w:hint="default"/>
      </w:rPr>
    </w:lvl>
    <w:lvl w:ilvl="6" w:tplc="E9C6E332" w:tentative="1">
      <w:start w:val="1"/>
      <w:numFmt w:val="bullet"/>
      <w:lvlText w:val=""/>
      <w:lvlJc w:val="left"/>
      <w:pPr>
        <w:ind w:left="5040" w:hanging="360"/>
      </w:pPr>
      <w:rPr>
        <w:rFonts w:ascii="Symbol" w:hAnsi="Symbol" w:hint="default"/>
      </w:rPr>
    </w:lvl>
    <w:lvl w:ilvl="7" w:tplc="B8E01B0C" w:tentative="1">
      <w:start w:val="1"/>
      <w:numFmt w:val="bullet"/>
      <w:lvlText w:val="o"/>
      <w:lvlJc w:val="left"/>
      <w:pPr>
        <w:ind w:left="5760" w:hanging="360"/>
      </w:pPr>
      <w:rPr>
        <w:rFonts w:ascii="Courier New" w:hAnsi="Courier New" w:hint="default"/>
      </w:rPr>
    </w:lvl>
    <w:lvl w:ilvl="8" w:tplc="06924CD4"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26725912">
      <w:start w:val="5"/>
      <w:numFmt w:val="bullet"/>
      <w:lvlText w:val=""/>
      <w:lvlJc w:val="left"/>
      <w:pPr>
        <w:ind w:left="720" w:hanging="360"/>
      </w:pPr>
      <w:rPr>
        <w:rFonts w:ascii="Symbol" w:eastAsia="Times New Roman" w:hAnsi="Symbol" w:cstheme="majorHAnsi" w:hint="default"/>
      </w:rPr>
    </w:lvl>
    <w:lvl w:ilvl="1" w:tplc="8BDE5A1E" w:tentative="1">
      <w:start w:val="1"/>
      <w:numFmt w:val="bullet"/>
      <w:lvlText w:val="o"/>
      <w:lvlJc w:val="left"/>
      <w:pPr>
        <w:ind w:left="1440" w:hanging="360"/>
      </w:pPr>
      <w:rPr>
        <w:rFonts w:ascii="Courier New" w:hAnsi="Courier New" w:hint="default"/>
      </w:rPr>
    </w:lvl>
    <w:lvl w:ilvl="2" w:tplc="917EF52E" w:tentative="1">
      <w:start w:val="1"/>
      <w:numFmt w:val="bullet"/>
      <w:lvlText w:val=""/>
      <w:lvlJc w:val="left"/>
      <w:pPr>
        <w:ind w:left="2160" w:hanging="360"/>
      </w:pPr>
      <w:rPr>
        <w:rFonts w:ascii="Wingdings" w:hAnsi="Wingdings" w:hint="default"/>
      </w:rPr>
    </w:lvl>
    <w:lvl w:ilvl="3" w:tplc="6F405C54" w:tentative="1">
      <w:start w:val="1"/>
      <w:numFmt w:val="bullet"/>
      <w:lvlText w:val=""/>
      <w:lvlJc w:val="left"/>
      <w:pPr>
        <w:ind w:left="2880" w:hanging="360"/>
      </w:pPr>
      <w:rPr>
        <w:rFonts w:ascii="Symbol" w:hAnsi="Symbol" w:hint="default"/>
      </w:rPr>
    </w:lvl>
    <w:lvl w:ilvl="4" w:tplc="69401CC2" w:tentative="1">
      <w:start w:val="1"/>
      <w:numFmt w:val="bullet"/>
      <w:lvlText w:val="o"/>
      <w:lvlJc w:val="left"/>
      <w:pPr>
        <w:ind w:left="3600" w:hanging="360"/>
      </w:pPr>
      <w:rPr>
        <w:rFonts w:ascii="Courier New" w:hAnsi="Courier New" w:hint="default"/>
      </w:rPr>
    </w:lvl>
    <w:lvl w:ilvl="5" w:tplc="98186F40" w:tentative="1">
      <w:start w:val="1"/>
      <w:numFmt w:val="bullet"/>
      <w:lvlText w:val=""/>
      <w:lvlJc w:val="left"/>
      <w:pPr>
        <w:ind w:left="4320" w:hanging="360"/>
      </w:pPr>
      <w:rPr>
        <w:rFonts w:ascii="Wingdings" w:hAnsi="Wingdings" w:hint="default"/>
      </w:rPr>
    </w:lvl>
    <w:lvl w:ilvl="6" w:tplc="5AF4BEF2" w:tentative="1">
      <w:start w:val="1"/>
      <w:numFmt w:val="bullet"/>
      <w:lvlText w:val=""/>
      <w:lvlJc w:val="left"/>
      <w:pPr>
        <w:ind w:left="5040" w:hanging="360"/>
      </w:pPr>
      <w:rPr>
        <w:rFonts w:ascii="Symbol" w:hAnsi="Symbol" w:hint="default"/>
      </w:rPr>
    </w:lvl>
    <w:lvl w:ilvl="7" w:tplc="CA407450" w:tentative="1">
      <w:start w:val="1"/>
      <w:numFmt w:val="bullet"/>
      <w:lvlText w:val="o"/>
      <w:lvlJc w:val="left"/>
      <w:pPr>
        <w:ind w:left="5760" w:hanging="360"/>
      </w:pPr>
      <w:rPr>
        <w:rFonts w:ascii="Courier New" w:hAnsi="Courier New" w:hint="default"/>
      </w:rPr>
    </w:lvl>
    <w:lvl w:ilvl="8" w:tplc="A61AB472"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71623ABE">
      <w:start w:val="30"/>
      <w:numFmt w:val="bullet"/>
      <w:lvlText w:val=""/>
      <w:lvlJc w:val="left"/>
      <w:pPr>
        <w:ind w:left="720" w:hanging="360"/>
      </w:pPr>
      <w:rPr>
        <w:rFonts w:ascii="Symbol" w:eastAsia="MS Mincho" w:hAnsi="Symbol" w:cs="CMU Serif Roman" w:hint="default"/>
      </w:rPr>
    </w:lvl>
    <w:lvl w:ilvl="1" w:tplc="F89AD234" w:tentative="1">
      <w:start w:val="1"/>
      <w:numFmt w:val="bullet"/>
      <w:lvlText w:val="o"/>
      <w:lvlJc w:val="left"/>
      <w:pPr>
        <w:ind w:left="1440" w:hanging="360"/>
      </w:pPr>
      <w:rPr>
        <w:rFonts w:ascii="Courier New" w:hAnsi="Courier New" w:cs="Courier New" w:hint="default"/>
      </w:rPr>
    </w:lvl>
    <w:lvl w:ilvl="2" w:tplc="91BA066C" w:tentative="1">
      <w:start w:val="1"/>
      <w:numFmt w:val="bullet"/>
      <w:lvlText w:val=""/>
      <w:lvlJc w:val="left"/>
      <w:pPr>
        <w:ind w:left="2160" w:hanging="360"/>
      </w:pPr>
      <w:rPr>
        <w:rFonts w:ascii="Wingdings" w:hAnsi="Wingdings" w:hint="default"/>
      </w:rPr>
    </w:lvl>
    <w:lvl w:ilvl="3" w:tplc="C748970A" w:tentative="1">
      <w:start w:val="1"/>
      <w:numFmt w:val="bullet"/>
      <w:lvlText w:val=""/>
      <w:lvlJc w:val="left"/>
      <w:pPr>
        <w:ind w:left="2880" w:hanging="360"/>
      </w:pPr>
      <w:rPr>
        <w:rFonts w:ascii="Symbol" w:hAnsi="Symbol" w:hint="default"/>
      </w:rPr>
    </w:lvl>
    <w:lvl w:ilvl="4" w:tplc="F1CA7AC6" w:tentative="1">
      <w:start w:val="1"/>
      <w:numFmt w:val="bullet"/>
      <w:lvlText w:val="o"/>
      <w:lvlJc w:val="left"/>
      <w:pPr>
        <w:ind w:left="3600" w:hanging="360"/>
      </w:pPr>
      <w:rPr>
        <w:rFonts w:ascii="Courier New" w:hAnsi="Courier New" w:cs="Courier New" w:hint="default"/>
      </w:rPr>
    </w:lvl>
    <w:lvl w:ilvl="5" w:tplc="7750959A" w:tentative="1">
      <w:start w:val="1"/>
      <w:numFmt w:val="bullet"/>
      <w:lvlText w:val=""/>
      <w:lvlJc w:val="left"/>
      <w:pPr>
        <w:ind w:left="4320" w:hanging="360"/>
      </w:pPr>
      <w:rPr>
        <w:rFonts w:ascii="Wingdings" w:hAnsi="Wingdings" w:hint="default"/>
      </w:rPr>
    </w:lvl>
    <w:lvl w:ilvl="6" w:tplc="B43AAC62" w:tentative="1">
      <w:start w:val="1"/>
      <w:numFmt w:val="bullet"/>
      <w:lvlText w:val=""/>
      <w:lvlJc w:val="left"/>
      <w:pPr>
        <w:ind w:left="5040" w:hanging="360"/>
      </w:pPr>
      <w:rPr>
        <w:rFonts w:ascii="Symbol" w:hAnsi="Symbol" w:hint="default"/>
      </w:rPr>
    </w:lvl>
    <w:lvl w:ilvl="7" w:tplc="C3BA70DA" w:tentative="1">
      <w:start w:val="1"/>
      <w:numFmt w:val="bullet"/>
      <w:lvlText w:val="o"/>
      <w:lvlJc w:val="left"/>
      <w:pPr>
        <w:ind w:left="5760" w:hanging="360"/>
      </w:pPr>
      <w:rPr>
        <w:rFonts w:ascii="Courier New" w:hAnsi="Courier New" w:cs="Courier New" w:hint="default"/>
      </w:rPr>
    </w:lvl>
    <w:lvl w:ilvl="8" w:tplc="BD7E177A"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18FCD50E">
      <w:start w:val="1"/>
      <w:numFmt w:val="decimal"/>
      <w:lvlText w:val="%1."/>
      <w:lvlJc w:val="left"/>
      <w:pPr>
        <w:ind w:left="720" w:hanging="360"/>
      </w:pPr>
    </w:lvl>
    <w:lvl w:ilvl="1" w:tplc="2B5CB22E" w:tentative="1">
      <w:start w:val="1"/>
      <w:numFmt w:val="lowerLetter"/>
      <w:lvlText w:val="%2."/>
      <w:lvlJc w:val="left"/>
      <w:pPr>
        <w:ind w:left="1440" w:hanging="360"/>
      </w:pPr>
    </w:lvl>
    <w:lvl w:ilvl="2" w:tplc="08342B8E" w:tentative="1">
      <w:start w:val="1"/>
      <w:numFmt w:val="lowerRoman"/>
      <w:lvlText w:val="%3."/>
      <w:lvlJc w:val="right"/>
      <w:pPr>
        <w:ind w:left="2160" w:hanging="180"/>
      </w:pPr>
    </w:lvl>
    <w:lvl w:ilvl="3" w:tplc="2A7C55D2" w:tentative="1">
      <w:start w:val="1"/>
      <w:numFmt w:val="decimal"/>
      <w:lvlText w:val="%4."/>
      <w:lvlJc w:val="left"/>
      <w:pPr>
        <w:ind w:left="2880" w:hanging="360"/>
      </w:pPr>
    </w:lvl>
    <w:lvl w:ilvl="4" w:tplc="E55464E2" w:tentative="1">
      <w:start w:val="1"/>
      <w:numFmt w:val="lowerLetter"/>
      <w:lvlText w:val="%5."/>
      <w:lvlJc w:val="left"/>
      <w:pPr>
        <w:ind w:left="3600" w:hanging="360"/>
      </w:pPr>
    </w:lvl>
    <w:lvl w:ilvl="5" w:tplc="CF18858C" w:tentative="1">
      <w:start w:val="1"/>
      <w:numFmt w:val="lowerRoman"/>
      <w:lvlText w:val="%6."/>
      <w:lvlJc w:val="right"/>
      <w:pPr>
        <w:ind w:left="4320" w:hanging="180"/>
      </w:pPr>
    </w:lvl>
    <w:lvl w:ilvl="6" w:tplc="D1D68FAA" w:tentative="1">
      <w:start w:val="1"/>
      <w:numFmt w:val="decimal"/>
      <w:lvlText w:val="%7."/>
      <w:lvlJc w:val="left"/>
      <w:pPr>
        <w:ind w:left="5040" w:hanging="360"/>
      </w:pPr>
    </w:lvl>
    <w:lvl w:ilvl="7" w:tplc="15721028" w:tentative="1">
      <w:start w:val="1"/>
      <w:numFmt w:val="lowerLetter"/>
      <w:lvlText w:val="%8."/>
      <w:lvlJc w:val="left"/>
      <w:pPr>
        <w:ind w:left="5760" w:hanging="360"/>
      </w:pPr>
    </w:lvl>
    <w:lvl w:ilvl="8" w:tplc="48BCD47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2FEB"/>
    <w:rsid w:val="000034B3"/>
    <w:rsid w:val="00003F3D"/>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30D"/>
    <w:rsid w:val="000209D5"/>
    <w:rsid w:val="00020A4F"/>
    <w:rsid w:val="00021197"/>
    <w:rsid w:val="000218F8"/>
    <w:rsid w:val="00021C43"/>
    <w:rsid w:val="00021E37"/>
    <w:rsid w:val="00021F72"/>
    <w:rsid w:val="00023292"/>
    <w:rsid w:val="000239E6"/>
    <w:rsid w:val="00026328"/>
    <w:rsid w:val="00026A25"/>
    <w:rsid w:val="00027CD4"/>
    <w:rsid w:val="00030218"/>
    <w:rsid w:val="000314B2"/>
    <w:rsid w:val="000323B2"/>
    <w:rsid w:val="00032ADB"/>
    <w:rsid w:val="00032B78"/>
    <w:rsid w:val="00034410"/>
    <w:rsid w:val="000351E4"/>
    <w:rsid w:val="00035BB1"/>
    <w:rsid w:val="0003712A"/>
    <w:rsid w:val="000374D3"/>
    <w:rsid w:val="000377F3"/>
    <w:rsid w:val="000377F9"/>
    <w:rsid w:val="0004010A"/>
    <w:rsid w:val="000415FA"/>
    <w:rsid w:val="000416BA"/>
    <w:rsid w:val="000426EF"/>
    <w:rsid w:val="00043D43"/>
    <w:rsid w:val="0004418F"/>
    <w:rsid w:val="0004447F"/>
    <w:rsid w:val="0004452B"/>
    <w:rsid w:val="00045544"/>
    <w:rsid w:val="000463AA"/>
    <w:rsid w:val="00050D9B"/>
    <w:rsid w:val="000521C2"/>
    <w:rsid w:val="00052449"/>
    <w:rsid w:val="000525B9"/>
    <w:rsid w:val="000532FD"/>
    <w:rsid w:val="00053439"/>
    <w:rsid w:val="00053DFD"/>
    <w:rsid w:val="0005400B"/>
    <w:rsid w:val="00055607"/>
    <w:rsid w:val="00056983"/>
    <w:rsid w:val="00057A7F"/>
    <w:rsid w:val="00061F2B"/>
    <w:rsid w:val="00062730"/>
    <w:rsid w:val="00064BCC"/>
    <w:rsid w:val="00064C50"/>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43F"/>
    <w:rsid w:val="000805A0"/>
    <w:rsid w:val="00080D76"/>
    <w:rsid w:val="000810BE"/>
    <w:rsid w:val="000819D9"/>
    <w:rsid w:val="000831AD"/>
    <w:rsid w:val="000838C2"/>
    <w:rsid w:val="000839C3"/>
    <w:rsid w:val="00083EC4"/>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C7F5A"/>
    <w:rsid w:val="000D0203"/>
    <w:rsid w:val="000D085A"/>
    <w:rsid w:val="000D1059"/>
    <w:rsid w:val="000D11A2"/>
    <w:rsid w:val="000D1906"/>
    <w:rsid w:val="000D2430"/>
    <w:rsid w:val="000D2622"/>
    <w:rsid w:val="000D2676"/>
    <w:rsid w:val="000D2F24"/>
    <w:rsid w:val="000D31B3"/>
    <w:rsid w:val="000D4325"/>
    <w:rsid w:val="000D68CF"/>
    <w:rsid w:val="000D6DA5"/>
    <w:rsid w:val="000D76D4"/>
    <w:rsid w:val="000D7837"/>
    <w:rsid w:val="000D7C57"/>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D9D"/>
    <w:rsid w:val="000F43B1"/>
    <w:rsid w:val="000F449B"/>
    <w:rsid w:val="000F4E35"/>
    <w:rsid w:val="000F4ECD"/>
    <w:rsid w:val="000F5299"/>
    <w:rsid w:val="000F542A"/>
    <w:rsid w:val="000F5F5C"/>
    <w:rsid w:val="000F6427"/>
    <w:rsid w:val="001011B7"/>
    <w:rsid w:val="00103A1D"/>
    <w:rsid w:val="00104D58"/>
    <w:rsid w:val="001058C6"/>
    <w:rsid w:val="001066D4"/>
    <w:rsid w:val="0010680E"/>
    <w:rsid w:val="00107FDA"/>
    <w:rsid w:val="00110490"/>
    <w:rsid w:val="001104F8"/>
    <w:rsid w:val="0011130B"/>
    <w:rsid w:val="00111F08"/>
    <w:rsid w:val="0011275B"/>
    <w:rsid w:val="00113C79"/>
    <w:rsid w:val="00114258"/>
    <w:rsid w:val="00116220"/>
    <w:rsid w:val="001165DC"/>
    <w:rsid w:val="00116ADA"/>
    <w:rsid w:val="001175AC"/>
    <w:rsid w:val="001175EE"/>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262C"/>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2A17"/>
    <w:rsid w:val="00153513"/>
    <w:rsid w:val="001537F8"/>
    <w:rsid w:val="00154563"/>
    <w:rsid w:val="001556FB"/>
    <w:rsid w:val="00157B0C"/>
    <w:rsid w:val="00157C1E"/>
    <w:rsid w:val="0016193C"/>
    <w:rsid w:val="00163914"/>
    <w:rsid w:val="00163E3E"/>
    <w:rsid w:val="00164FDF"/>
    <w:rsid w:val="001652A7"/>
    <w:rsid w:val="00166356"/>
    <w:rsid w:val="0016681A"/>
    <w:rsid w:val="00167193"/>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6FE5"/>
    <w:rsid w:val="00192DDC"/>
    <w:rsid w:val="001930F6"/>
    <w:rsid w:val="0019313A"/>
    <w:rsid w:val="00194485"/>
    <w:rsid w:val="001949BE"/>
    <w:rsid w:val="001951D7"/>
    <w:rsid w:val="0019784B"/>
    <w:rsid w:val="001A187C"/>
    <w:rsid w:val="001A1FD0"/>
    <w:rsid w:val="001A2DD8"/>
    <w:rsid w:val="001A36AD"/>
    <w:rsid w:val="001A407A"/>
    <w:rsid w:val="001A4627"/>
    <w:rsid w:val="001A582F"/>
    <w:rsid w:val="001A77BB"/>
    <w:rsid w:val="001A7C9D"/>
    <w:rsid w:val="001B053C"/>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B7D5B"/>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214"/>
    <w:rsid w:val="001D6A74"/>
    <w:rsid w:val="001D6B18"/>
    <w:rsid w:val="001D797F"/>
    <w:rsid w:val="001E11B0"/>
    <w:rsid w:val="001E1496"/>
    <w:rsid w:val="001E19B4"/>
    <w:rsid w:val="001E1E17"/>
    <w:rsid w:val="001E4E33"/>
    <w:rsid w:val="001E6578"/>
    <w:rsid w:val="001E78CC"/>
    <w:rsid w:val="001F0E8B"/>
    <w:rsid w:val="001F180B"/>
    <w:rsid w:val="001F31EF"/>
    <w:rsid w:val="001F4118"/>
    <w:rsid w:val="001F4B6A"/>
    <w:rsid w:val="001F6779"/>
    <w:rsid w:val="002001D3"/>
    <w:rsid w:val="00200475"/>
    <w:rsid w:val="0020136D"/>
    <w:rsid w:val="00201732"/>
    <w:rsid w:val="00202091"/>
    <w:rsid w:val="00203362"/>
    <w:rsid w:val="00204843"/>
    <w:rsid w:val="002048B7"/>
    <w:rsid w:val="00204DC1"/>
    <w:rsid w:val="00205706"/>
    <w:rsid w:val="00205F41"/>
    <w:rsid w:val="00206610"/>
    <w:rsid w:val="00206637"/>
    <w:rsid w:val="00206A65"/>
    <w:rsid w:val="002100B8"/>
    <w:rsid w:val="00210D84"/>
    <w:rsid w:val="00210DF2"/>
    <w:rsid w:val="002111AA"/>
    <w:rsid w:val="002119C3"/>
    <w:rsid w:val="002123EA"/>
    <w:rsid w:val="00212601"/>
    <w:rsid w:val="00213DFC"/>
    <w:rsid w:val="00214168"/>
    <w:rsid w:val="00214D48"/>
    <w:rsid w:val="002158B6"/>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47DA7"/>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4108"/>
    <w:rsid w:val="00264450"/>
    <w:rsid w:val="00265528"/>
    <w:rsid w:val="00266282"/>
    <w:rsid w:val="00267892"/>
    <w:rsid w:val="00270AEF"/>
    <w:rsid w:val="002716EC"/>
    <w:rsid w:val="00271DC8"/>
    <w:rsid w:val="00271DCF"/>
    <w:rsid w:val="00271F97"/>
    <w:rsid w:val="00272422"/>
    <w:rsid w:val="00272A3F"/>
    <w:rsid w:val="00273625"/>
    <w:rsid w:val="00273E29"/>
    <w:rsid w:val="0027409C"/>
    <w:rsid w:val="00275020"/>
    <w:rsid w:val="002754F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35B"/>
    <w:rsid w:val="002A781F"/>
    <w:rsid w:val="002A7BFA"/>
    <w:rsid w:val="002A7F12"/>
    <w:rsid w:val="002B034D"/>
    <w:rsid w:val="002B214D"/>
    <w:rsid w:val="002B3973"/>
    <w:rsid w:val="002B3C8A"/>
    <w:rsid w:val="002B41F9"/>
    <w:rsid w:val="002B642C"/>
    <w:rsid w:val="002B663E"/>
    <w:rsid w:val="002B6911"/>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A9"/>
    <w:rsid w:val="002D4F5B"/>
    <w:rsid w:val="002D5E0C"/>
    <w:rsid w:val="002D63BA"/>
    <w:rsid w:val="002D69CC"/>
    <w:rsid w:val="002D765F"/>
    <w:rsid w:val="002D7954"/>
    <w:rsid w:val="002D7CFE"/>
    <w:rsid w:val="002E0A95"/>
    <w:rsid w:val="002E2196"/>
    <w:rsid w:val="002E34D5"/>
    <w:rsid w:val="002E3735"/>
    <w:rsid w:val="002E378F"/>
    <w:rsid w:val="002E558B"/>
    <w:rsid w:val="002E6130"/>
    <w:rsid w:val="002E69B0"/>
    <w:rsid w:val="002F018F"/>
    <w:rsid w:val="002F0273"/>
    <w:rsid w:val="002F06BD"/>
    <w:rsid w:val="002F0D31"/>
    <w:rsid w:val="002F1558"/>
    <w:rsid w:val="002F1FF1"/>
    <w:rsid w:val="002F2881"/>
    <w:rsid w:val="002F3183"/>
    <w:rsid w:val="002F3892"/>
    <w:rsid w:val="002F45F0"/>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3BF"/>
    <w:rsid w:val="003117BB"/>
    <w:rsid w:val="00311FA7"/>
    <w:rsid w:val="00312336"/>
    <w:rsid w:val="003124FF"/>
    <w:rsid w:val="003126E0"/>
    <w:rsid w:val="00312C6B"/>
    <w:rsid w:val="003134CD"/>
    <w:rsid w:val="003147BE"/>
    <w:rsid w:val="00317988"/>
    <w:rsid w:val="00317D16"/>
    <w:rsid w:val="003221C9"/>
    <w:rsid w:val="00323377"/>
    <w:rsid w:val="003241A0"/>
    <w:rsid w:val="00325F71"/>
    <w:rsid w:val="003264B6"/>
    <w:rsid w:val="00326B00"/>
    <w:rsid w:val="00326B56"/>
    <w:rsid w:val="00326F0A"/>
    <w:rsid w:val="0033061C"/>
    <w:rsid w:val="00332DED"/>
    <w:rsid w:val="0033320A"/>
    <w:rsid w:val="00333DE7"/>
    <w:rsid w:val="00334497"/>
    <w:rsid w:val="00334AE1"/>
    <w:rsid w:val="003351C0"/>
    <w:rsid w:val="00340BCF"/>
    <w:rsid w:val="003441E3"/>
    <w:rsid w:val="00344F3C"/>
    <w:rsid w:val="003457D0"/>
    <w:rsid w:val="00345876"/>
    <w:rsid w:val="00345998"/>
    <w:rsid w:val="003469FC"/>
    <w:rsid w:val="00347726"/>
    <w:rsid w:val="0035022A"/>
    <w:rsid w:val="00350B4F"/>
    <w:rsid w:val="003514C3"/>
    <w:rsid w:val="0035173C"/>
    <w:rsid w:val="00355181"/>
    <w:rsid w:val="0035720E"/>
    <w:rsid w:val="00360494"/>
    <w:rsid w:val="00362596"/>
    <w:rsid w:val="003628F7"/>
    <w:rsid w:val="0036441B"/>
    <w:rsid w:val="00364AB9"/>
    <w:rsid w:val="003665AD"/>
    <w:rsid w:val="00366912"/>
    <w:rsid w:val="00367018"/>
    <w:rsid w:val="00372AE6"/>
    <w:rsid w:val="00372F8A"/>
    <w:rsid w:val="00373736"/>
    <w:rsid w:val="003737C4"/>
    <w:rsid w:val="00374ED6"/>
    <w:rsid w:val="00374EDC"/>
    <w:rsid w:val="00375A1A"/>
    <w:rsid w:val="00375AA0"/>
    <w:rsid w:val="00380AE1"/>
    <w:rsid w:val="00380E3E"/>
    <w:rsid w:val="00381AD6"/>
    <w:rsid w:val="00381B75"/>
    <w:rsid w:val="00383573"/>
    <w:rsid w:val="00383AAD"/>
    <w:rsid w:val="003850ED"/>
    <w:rsid w:val="0038777F"/>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334C"/>
    <w:rsid w:val="003C3CC1"/>
    <w:rsid w:val="003C4274"/>
    <w:rsid w:val="003C4781"/>
    <w:rsid w:val="003C6701"/>
    <w:rsid w:val="003C6E44"/>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BB7"/>
    <w:rsid w:val="003E7C6F"/>
    <w:rsid w:val="003F13D2"/>
    <w:rsid w:val="003F36BD"/>
    <w:rsid w:val="003F3B4B"/>
    <w:rsid w:val="003F66BA"/>
    <w:rsid w:val="003F6D28"/>
    <w:rsid w:val="003F7011"/>
    <w:rsid w:val="003F79F2"/>
    <w:rsid w:val="00401994"/>
    <w:rsid w:val="00402418"/>
    <w:rsid w:val="00403FF3"/>
    <w:rsid w:val="00404694"/>
    <w:rsid w:val="00404F5B"/>
    <w:rsid w:val="0040770F"/>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14F"/>
    <w:rsid w:val="004423C2"/>
    <w:rsid w:val="00442CE7"/>
    <w:rsid w:val="0044345C"/>
    <w:rsid w:val="00443584"/>
    <w:rsid w:val="0044409A"/>
    <w:rsid w:val="00445ADC"/>
    <w:rsid w:val="00447A69"/>
    <w:rsid w:val="00451AA2"/>
    <w:rsid w:val="00453810"/>
    <w:rsid w:val="00453EBE"/>
    <w:rsid w:val="00454184"/>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EDA"/>
    <w:rsid w:val="00476679"/>
    <w:rsid w:val="004768DA"/>
    <w:rsid w:val="0047723B"/>
    <w:rsid w:val="00477EC4"/>
    <w:rsid w:val="00480D03"/>
    <w:rsid w:val="004823A4"/>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9B8"/>
    <w:rsid w:val="004949E1"/>
    <w:rsid w:val="00494EFE"/>
    <w:rsid w:val="00495BA1"/>
    <w:rsid w:val="00496C5A"/>
    <w:rsid w:val="004A0544"/>
    <w:rsid w:val="004A0CBE"/>
    <w:rsid w:val="004A11E5"/>
    <w:rsid w:val="004A2319"/>
    <w:rsid w:val="004A2544"/>
    <w:rsid w:val="004A3084"/>
    <w:rsid w:val="004A3D2E"/>
    <w:rsid w:val="004A475C"/>
    <w:rsid w:val="004A4C07"/>
    <w:rsid w:val="004A542F"/>
    <w:rsid w:val="004A569C"/>
    <w:rsid w:val="004A5A51"/>
    <w:rsid w:val="004A61B6"/>
    <w:rsid w:val="004A7DDE"/>
    <w:rsid w:val="004B0A68"/>
    <w:rsid w:val="004B1253"/>
    <w:rsid w:val="004B19F2"/>
    <w:rsid w:val="004B1B2B"/>
    <w:rsid w:val="004B1DFC"/>
    <w:rsid w:val="004B2EAD"/>
    <w:rsid w:val="004B346C"/>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D761B"/>
    <w:rsid w:val="004E221B"/>
    <w:rsid w:val="004E3489"/>
    <w:rsid w:val="004E3ACE"/>
    <w:rsid w:val="004E3B23"/>
    <w:rsid w:val="004E47BB"/>
    <w:rsid w:val="004E50FB"/>
    <w:rsid w:val="004E6040"/>
    <w:rsid w:val="004F0E14"/>
    <w:rsid w:val="004F1AC7"/>
    <w:rsid w:val="004F3E34"/>
    <w:rsid w:val="004F4142"/>
    <w:rsid w:val="004F49B0"/>
    <w:rsid w:val="004F7B1B"/>
    <w:rsid w:val="00500B88"/>
    <w:rsid w:val="00500BC6"/>
    <w:rsid w:val="005030F2"/>
    <w:rsid w:val="005035C5"/>
    <w:rsid w:val="00505E66"/>
    <w:rsid w:val="005073CF"/>
    <w:rsid w:val="00510869"/>
    <w:rsid w:val="00510D7E"/>
    <w:rsid w:val="00511881"/>
    <w:rsid w:val="00512756"/>
    <w:rsid w:val="00512AE5"/>
    <w:rsid w:val="00512E06"/>
    <w:rsid w:val="00513331"/>
    <w:rsid w:val="005151B9"/>
    <w:rsid w:val="00515B86"/>
    <w:rsid w:val="00515CD9"/>
    <w:rsid w:val="00516B5D"/>
    <w:rsid w:val="00517647"/>
    <w:rsid w:val="005202F0"/>
    <w:rsid w:val="00520CC2"/>
    <w:rsid w:val="00520D65"/>
    <w:rsid w:val="00521BF2"/>
    <w:rsid w:val="0052228E"/>
    <w:rsid w:val="00523370"/>
    <w:rsid w:val="00524107"/>
    <w:rsid w:val="005244FD"/>
    <w:rsid w:val="00525523"/>
    <w:rsid w:val="00526746"/>
    <w:rsid w:val="005269CF"/>
    <w:rsid w:val="00530682"/>
    <w:rsid w:val="0053116E"/>
    <w:rsid w:val="005315FA"/>
    <w:rsid w:val="00531672"/>
    <w:rsid w:val="005328E2"/>
    <w:rsid w:val="00532F48"/>
    <w:rsid w:val="005339BC"/>
    <w:rsid w:val="005354BD"/>
    <w:rsid w:val="005357A0"/>
    <w:rsid w:val="00536F23"/>
    <w:rsid w:val="00537B53"/>
    <w:rsid w:val="00543F56"/>
    <w:rsid w:val="00544C3D"/>
    <w:rsid w:val="0054545F"/>
    <w:rsid w:val="0054551E"/>
    <w:rsid w:val="0054637F"/>
    <w:rsid w:val="005478B2"/>
    <w:rsid w:val="00550D8B"/>
    <w:rsid w:val="00551936"/>
    <w:rsid w:val="005530CB"/>
    <w:rsid w:val="00553BC6"/>
    <w:rsid w:val="005544D1"/>
    <w:rsid w:val="0055573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7798E"/>
    <w:rsid w:val="005808FD"/>
    <w:rsid w:val="00580926"/>
    <w:rsid w:val="00581E9D"/>
    <w:rsid w:val="00582E9A"/>
    <w:rsid w:val="00583E34"/>
    <w:rsid w:val="00584F09"/>
    <w:rsid w:val="0058661B"/>
    <w:rsid w:val="00586929"/>
    <w:rsid w:val="00586996"/>
    <w:rsid w:val="00591D4B"/>
    <w:rsid w:val="00592128"/>
    <w:rsid w:val="0059237F"/>
    <w:rsid w:val="005924D8"/>
    <w:rsid w:val="00592848"/>
    <w:rsid w:val="00596029"/>
    <w:rsid w:val="00596A69"/>
    <w:rsid w:val="00597A62"/>
    <w:rsid w:val="005A0311"/>
    <w:rsid w:val="005A1B7F"/>
    <w:rsid w:val="005A2176"/>
    <w:rsid w:val="005A225A"/>
    <w:rsid w:val="005A30EB"/>
    <w:rsid w:val="005A34DF"/>
    <w:rsid w:val="005A385D"/>
    <w:rsid w:val="005A4235"/>
    <w:rsid w:val="005A5375"/>
    <w:rsid w:val="005A56B1"/>
    <w:rsid w:val="005A6A59"/>
    <w:rsid w:val="005B1640"/>
    <w:rsid w:val="005B25A9"/>
    <w:rsid w:val="005B2B9F"/>
    <w:rsid w:val="005B3F58"/>
    <w:rsid w:val="005B4FE4"/>
    <w:rsid w:val="005B7D3D"/>
    <w:rsid w:val="005C1237"/>
    <w:rsid w:val="005C3626"/>
    <w:rsid w:val="005C408F"/>
    <w:rsid w:val="005C65F3"/>
    <w:rsid w:val="005C6FA5"/>
    <w:rsid w:val="005C7269"/>
    <w:rsid w:val="005C7766"/>
    <w:rsid w:val="005D1409"/>
    <w:rsid w:val="005D2649"/>
    <w:rsid w:val="005D27AC"/>
    <w:rsid w:val="005D3307"/>
    <w:rsid w:val="005D3369"/>
    <w:rsid w:val="005D3955"/>
    <w:rsid w:val="005D3B72"/>
    <w:rsid w:val="005D4060"/>
    <w:rsid w:val="005D57C4"/>
    <w:rsid w:val="005D591A"/>
    <w:rsid w:val="005D6255"/>
    <w:rsid w:val="005E17B2"/>
    <w:rsid w:val="005E19E7"/>
    <w:rsid w:val="005E2603"/>
    <w:rsid w:val="005E3ABB"/>
    <w:rsid w:val="005E5819"/>
    <w:rsid w:val="005E599F"/>
    <w:rsid w:val="005E5F32"/>
    <w:rsid w:val="005E6648"/>
    <w:rsid w:val="005E6726"/>
    <w:rsid w:val="005E75C5"/>
    <w:rsid w:val="005E7FA4"/>
    <w:rsid w:val="005F0161"/>
    <w:rsid w:val="005F0E8D"/>
    <w:rsid w:val="005F1938"/>
    <w:rsid w:val="005F4C5E"/>
    <w:rsid w:val="005F6D89"/>
    <w:rsid w:val="005F6E05"/>
    <w:rsid w:val="005F6EE0"/>
    <w:rsid w:val="005F7B10"/>
    <w:rsid w:val="006017E5"/>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25E20"/>
    <w:rsid w:val="00631636"/>
    <w:rsid w:val="00632186"/>
    <w:rsid w:val="006324D7"/>
    <w:rsid w:val="006379D2"/>
    <w:rsid w:val="00637EF6"/>
    <w:rsid w:val="00637F39"/>
    <w:rsid w:val="006406FE"/>
    <w:rsid w:val="00641FF6"/>
    <w:rsid w:val="00642451"/>
    <w:rsid w:val="0064245C"/>
    <w:rsid w:val="00645316"/>
    <w:rsid w:val="00646821"/>
    <w:rsid w:val="00650505"/>
    <w:rsid w:val="00652A9A"/>
    <w:rsid w:val="00653769"/>
    <w:rsid w:val="0065383A"/>
    <w:rsid w:val="00653A17"/>
    <w:rsid w:val="00654789"/>
    <w:rsid w:val="00655830"/>
    <w:rsid w:val="00657F8B"/>
    <w:rsid w:val="00661354"/>
    <w:rsid w:val="00662345"/>
    <w:rsid w:val="00663882"/>
    <w:rsid w:val="00663892"/>
    <w:rsid w:val="006645B6"/>
    <w:rsid w:val="00664B6B"/>
    <w:rsid w:val="00665A62"/>
    <w:rsid w:val="00666D6B"/>
    <w:rsid w:val="00666D92"/>
    <w:rsid w:val="006703BA"/>
    <w:rsid w:val="0067061C"/>
    <w:rsid w:val="00671988"/>
    <w:rsid w:val="00672384"/>
    <w:rsid w:val="00672A84"/>
    <w:rsid w:val="00672B4A"/>
    <w:rsid w:val="006732C1"/>
    <w:rsid w:val="00673B89"/>
    <w:rsid w:val="00673CE6"/>
    <w:rsid w:val="00676B55"/>
    <w:rsid w:val="00676CEF"/>
    <w:rsid w:val="00677CCF"/>
    <w:rsid w:val="006805ED"/>
    <w:rsid w:val="006827FB"/>
    <w:rsid w:val="006840A1"/>
    <w:rsid w:val="00684549"/>
    <w:rsid w:val="006857B5"/>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C5C"/>
    <w:rsid w:val="006A0F98"/>
    <w:rsid w:val="006A215D"/>
    <w:rsid w:val="006A26DB"/>
    <w:rsid w:val="006A37FD"/>
    <w:rsid w:val="006A4F99"/>
    <w:rsid w:val="006A5A3B"/>
    <w:rsid w:val="006A671B"/>
    <w:rsid w:val="006B0292"/>
    <w:rsid w:val="006B085F"/>
    <w:rsid w:val="006B0B70"/>
    <w:rsid w:val="006B2E43"/>
    <w:rsid w:val="006B4B14"/>
    <w:rsid w:val="006B7517"/>
    <w:rsid w:val="006B7744"/>
    <w:rsid w:val="006B7A30"/>
    <w:rsid w:val="006C086F"/>
    <w:rsid w:val="006C0A05"/>
    <w:rsid w:val="006C0CEE"/>
    <w:rsid w:val="006C0D10"/>
    <w:rsid w:val="006C17C8"/>
    <w:rsid w:val="006C1CF5"/>
    <w:rsid w:val="006C21CF"/>
    <w:rsid w:val="006C452F"/>
    <w:rsid w:val="006C531E"/>
    <w:rsid w:val="006C5878"/>
    <w:rsid w:val="006C5DE1"/>
    <w:rsid w:val="006D07A4"/>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4262"/>
    <w:rsid w:val="006F5749"/>
    <w:rsid w:val="006F6671"/>
    <w:rsid w:val="006F7859"/>
    <w:rsid w:val="00701180"/>
    <w:rsid w:val="0070182A"/>
    <w:rsid w:val="00702047"/>
    <w:rsid w:val="00702CFF"/>
    <w:rsid w:val="007035D9"/>
    <w:rsid w:val="007044F6"/>
    <w:rsid w:val="0070457C"/>
    <w:rsid w:val="00704BD7"/>
    <w:rsid w:val="007057F7"/>
    <w:rsid w:val="00705971"/>
    <w:rsid w:val="007063C6"/>
    <w:rsid w:val="00707292"/>
    <w:rsid w:val="00710E09"/>
    <w:rsid w:val="00712433"/>
    <w:rsid w:val="00712BB7"/>
    <w:rsid w:val="007136E0"/>
    <w:rsid w:val="007144C4"/>
    <w:rsid w:val="007144E9"/>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1DC7"/>
    <w:rsid w:val="0074245E"/>
    <w:rsid w:val="007426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66FE"/>
    <w:rsid w:val="0076285C"/>
    <w:rsid w:val="00763238"/>
    <w:rsid w:val="00764184"/>
    <w:rsid w:val="00764280"/>
    <w:rsid w:val="007650B2"/>
    <w:rsid w:val="00765F0B"/>
    <w:rsid w:val="00766409"/>
    <w:rsid w:val="007668ED"/>
    <w:rsid w:val="00771FDA"/>
    <w:rsid w:val="00772DE7"/>
    <w:rsid w:val="00772E42"/>
    <w:rsid w:val="007736C1"/>
    <w:rsid w:val="007742A5"/>
    <w:rsid w:val="007745DA"/>
    <w:rsid w:val="007756AB"/>
    <w:rsid w:val="00777B4A"/>
    <w:rsid w:val="00777D07"/>
    <w:rsid w:val="00781577"/>
    <w:rsid w:val="007831AF"/>
    <w:rsid w:val="00783D0B"/>
    <w:rsid w:val="00783F03"/>
    <w:rsid w:val="007843B8"/>
    <w:rsid w:val="007844FC"/>
    <w:rsid w:val="00785BD5"/>
    <w:rsid w:val="00786388"/>
    <w:rsid w:val="00786A29"/>
    <w:rsid w:val="00787E08"/>
    <w:rsid w:val="00791707"/>
    <w:rsid w:val="00791C0C"/>
    <w:rsid w:val="00792F3D"/>
    <w:rsid w:val="00793532"/>
    <w:rsid w:val="0079396D"/>
    <w:rsid w:val="00793BD9"/>
    <w:rsid w:val="00794292"/>
    <w:rsid w:val="0079441D"/>
    <w:rsid w:val="007945B6"/>
    <w:rsid w:val="00794993"/>
    <w:rsid w:val="007953D8"/>
    <w:rsid w:val="007A2285"/>
    <w:rsid w:val="007A26A3"/>
    <w:rsid w:val="007A2826"/>
    <w:rsid w:val="007A29B9"/>
    <w:rsid w:val="007A3788"/>
    <w:rsid w:val="007A3C94"/>
    <w:rsid w:val="007A3F37"/>
    <w:rsid w:val="007A42D1"/>
    <w:rsid w:val="007A4FB2"/>
    <w:rsid w:val="007A5466"/>
    <w:rsid w:val="007A5556"/>
    <w:rsid w:val="007A63AD"/>
    <w:rsid w:val="007A6740"/>
    <w:rsid w:val="007A688D"/>
    <w:rsid w:val="007B041D"/>
    <w:rsid w:val="007B0AB3"/>
    <w:rsid w:val="007B153A"/>
    <w:rsid w:val="007B21F1"/>
    <w:rsid w:val="007B2A60"/>
    <w:rsid w:val="007B2AE3"/>
    <w:rsid w:val="007B3ED7"/>
    <w:rsid w:val="007B6CCE"/>
    <w:rsid w:val="007B6DB9"/>
    <w:rsid w:val="007C1A8A"/>
    <w:rsid w:val="007C21F8"/>
    <w:rsid w:val="007C23EB"/>
    <w:rsid w:val="007C4F2A"/>
    <w:rsid w:val="007C5515"/>
    <w:rsid w:val="007C5953"/>
    <w:rsid w:val="007C59F8"/>
    <w:rsid w:val="007C6545"/>
    <w:rsid w:val="007C6D8D"/>
    <w:rsid w:val="007C71A5"/>
    <w:rsid w:val="007D02DD"/>
    <w:rsid w:val="007D03DE"/>
    <w:rsid w:val="007D03FD"/>
    <w:rsid w:val="007D11DE"/>
    <w:rsid w:val="007D4DD0"/>
    <w:rsid w:val="007D4FD4"/>
    <w:rsid w:val="007D6372"/>
    <w:rsid w:val="007D6B90"/>
    <w:rsid w:val="007D7101"/>
    <w:rsid w:val="007D7ACB"/>
    <w:rsid w:val="007E231D"/>
    <w:rsid w:val="007E27DF"/>
    <w:rsid w:val="007E2EFA"/>
    <w:rsid w:val="007E5869"/>
    <w:rsid w:val="007E5FD2"/>
    <w:rsid w:val="007E641E"/>
    <w:rsid w:val="007E6775"/>
    <w:rsid w:val="007E6922"/>
    <w:rsid w:val="007E70B9"/>
    <w:rsid w:val="007E7F62"/>
    <w:rsid w:val="007F0539"/>
    <w:rsid w:val="007F06A2"/>
    <w:rsid w:val="007F0FAB"/>
    <w:rsid w:val="007F1186"/>
    <w:rsid w:val="007F19D1"/>
    <w:rsid w:val="007F33E4"/>
    <w:rsid w:val="007F3475"/>
    <w:rsid w:val="007F4BEB"/>
    <w:rsid w:val="007F542E"/>
    <w:rsid w:val="007F5754"/>
    <w:rsid w:val="007F58C0"/>
    <w:rsid w:val="007F7517"/>
    <w:rsid w:val="007F76FC"/>
    <w:rsid w:val="007F77A7"/>
    <w:rsid w:val="007F7D0A"/>
    <w:rsid w:val="00801E1C"/>
    <w:rsid w:val="00802224"/>
    <w:rsid w:val="0080237A"/>
    <w:rsid w:val="00802839"/>
    <w:rsid w:val="00802D88"/>
    <w:rsid w:val="00803B7E"/>
    <w:rsid w:val="008054B7"/>
    <w:rsid w:val="00805AFD"/>
    <w:rsid w:val="00805BE0"/>
    <w:rsid w:val="0080605A"/>
    <w:rsid w:val="0080648C"/>
    <w:rsid w:val="00807283"/>
    <w:rsid w:val="008076CB"/>
    <w:rsid w:val="00812338"/>
    <w:rsid w:val="008127AA"/>
    <w:rsid w:val="00812BDF"/>
    <w:rsid w:val="00813959"/>
    <w:rsid w:val="008147ED"/>
    <w:rsid w:val="00814BFA"/>
    <w:rsid w:val="008153E3"/>
    <w:rsid w:val="008157CB"/>
    <w:rsid w:val="0081591D"/>
    <w:rsid w:val="0082157D"/>
    <w:rsid w:val="0082219F"/>
    <w:rsid w:val="0082244A"/>
    <w:rsid w:val="00823D1E"/>
    <w:rsid w:val="0082624A"/>
    <w:rsid w:val="00826ECD"/>
    <w:rsid w:val="008272B7"/>
    <w:rsid w:val="0082796D"/>
    <w:rsid w:val="008305D8"/>
    <w:rsid w:val="00831245"/>
    <w:rsid w:val="00832F7C"/>
    <w:rsid w:val="0083414A"/>
    <w:rsid w:val="00834C53"/>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9"/>
    <w:rsid w:val="00847B13"/>
    <w:rsid w:val="008513A6"/>
    <w:rsid w:val="008513BA"/>
    <w:rsid w:val="008515CC"/>
    <w:rsid w:val="00855AC7"/>
    <w:rsid w:val="00856724"/>
    <w:rsid w:val="00856DE2"/>
    <w:rsid w:val="0086020D"/>
    <w:rsid w:val="00862779"/>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7BA"/>
    <w:rsid w:val="008868E9"/>
    <w:rsid w:val="00887E86"/>
    <w:rsid w:val="008902B8"/>
    <w:rsid w:val="008905C7"/>
    <w:rsid w:val="0089167F"/>
    <w:rsid w:val="00891B9C"/>
    <w:rsid w:val="008926B3"/>
    <w:rsid w:val="00892B21"/>
    <w:rsid w:val="00894437"/>
    <w:rsid w:val="00894DCB"/>
    <w:rsid w:val="00895CC5"/>
    <w:rsid w:val="008969FE"/>
    <w:rsid w:val="00896E27"/>
    <w:rsid w:val="008A02C1"/>
    <w:rsid w:val="008A13E3"/>
    <w:rsid w:val="008A36B4"/>
    <w:rsid w:val="008A44AB"/>
    <w:rsid w:val="008A4B61"/>
    <w:rsid w:val="008A6EA3"/>
    <w:rsid w:val="008A6F37"/>
    <w:rsid w:val="008A7EA5"/>
    <w:rsid w:val="008B007D"/>
    <w:rsid w:val="008B2188"/>
    <w:rsid w:val="008B53FE"/>
    <w:rsid w:val="008B557B"/>
    <w:rsid w:val="008B5603"/>
    <w:rsid w:val="008B57B9"/>
    <w:rsid w:val="008C02F8"/>
    <w:rsid w:val="008C347B"/>
    <w:rsid w:val="008C49D1"/>
    <w:rsid w:val="008C58AF"/>
    <w:rsid w:val="008C5B5D"/>
    <w:rsid w:val="008C5EEF"/>
    <w:rsid w:val="008D0E58"/>
    <w:rsid w:val="008D15F2"/>
    <w:rsid w:val="008D2DF7"/>
    <w:rsid w:val="008D3041"/>
    <w:rsid w:val="008D3BC7"/>
    <w:rsid w:val="008D6772"/>
    <w:rsid w:val="008D6E64"/>
    <w:rsid w:val="008D7521"/>
    <w:rsid w:val="008E1F4E"/>
    <w:rsid w:val="008E32DC"/>
    <w:rsid w:val="008E37EF"/>
    <w:rsid w:val="008E5304"/>
    <w:rsid w:val="008E5708"/>
    <w:rsid w:val="008E7711"/>
    <w:rsid w:val="008E7CE0"/>
    <w:rsid w:val="008F0455"/>
    <w:rsid w:val="008F0822"/>
    <w:rsid w:val="008F0877"/>
    <w:rsid w:val="008F1826"/>
    <w:rsid w:val="008F1F8F"/>
    <w:rsid w:val="008F1FF5"/>
    <w:rsid w:val="008F3009"/>
    <w:rsid w:val="008F32C9"/>
    <w:rsid w:val="008F35B9"/>
    <w:rsid w:val="008F5D45"/>
    <w:rsid w:val="008F6DD8"/>
    <w:rsid w:val="0090004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3E13"/>
    <w:rsid w:val="0093498C"/>
    <w:rsid w:val="00936630"/>
    <w:rsid w:val="00937B38"/>
    <w:rsid w:val="009407B7"/>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4644"/>
    <w:rsid w:val="00955692"/>
    <w:rsid w:val="00955D3B"/>
    <w:rsid w:val="00955E85"/>
    <w:rsid w:val="00956191"/>
    <w:rsid w:val="00962146"/>
    <w:rsid w:val="009625F3"/>
    <w:rsid w:val="009633D4"/>
    <w:rsid w:val="00967B72"/>
    <w:rsid w:val="0097009F"/>
    <w:rsid w:val="00971ED4"/>
    <w:rsid w:val="00971F75"/>
    <w:rsid w:val="00972754"/>
    <w:rsid w:val="00973260"/>
    <w:rsid w:val="00973502"/>
    <w:rsid w:val="00973FA8"/>
    <w:rsid w:val="00974D7B"/>
    <w:rsid w:val="009768C7"/>
    <w:rsid w:val="0098076F"/>
    <w:rsid w:val="00982F6A"/>
    <w:rsid w:val="00983C7C"/>
    <w:rsid w:val="009842D6"/>
    <w:rsid w:val="00984B3D"/>
    <w:rsid w:val="009862CD"/>
    <w:rsid w:val="00986FBB"/>
    <w:rsid w:val="00987DC7"/>
    <w:rsid w:val="00987DD2"/>
    <w:rsid w:val="00990C1D"/>
    <w:rsid w:val="00991577"/>
    <w:rsid w:val="00993E5C"/>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D60"/>
    <w:rsid w:val="009B4A0E"/>
    <w:rsid w:val="009B4B75"/>
    <w:rsid w:val="009B4F34"/>
    <w:rsid w:val="009B5C08"/>
    <w:rsid w:val="009B67B5"/>
    <w:rsid w:val="009B7741"/>
    <w:rsid w:val="009B7CEF"/>
    <w:rsid w:val="009C05C1"/>
    <w:rsid w:val="009C0657"/>
    <w:rsid w:val="009C0FF8"/>
    <w:rsid w:val="009C124E"/>
    <w:rsid w:val="009C22F3"/>
    <w:rsid w:val="009C30F9"/>
    <w:rsid w:val="009C33F9"/>
    <w:rsid w:val="009C5108"/>
    <w:rsid w:val="009C6F25"/>
    <w:rsid w:val="009C7A5C"/>
    <w:rsid w:val="009C7B3C"/>
    <w:rsid w:val="009D05A9"/>
    <w:rsid w:val="009D09DA"/>
    <w:rsid w:val="009D1517"/>
    <w:rsid w:val="009D1C09"/>
    <w:rsid w:val="009D265B"/>
    <w:rsid w:val="009D308C"/>
    <w:rsid w:val="009D35F8"/>
    <w:rsid w:val="009D522D"/>
    <w:rsid w:val="009D6236"/>
    <w:rsid w:val="009D6E04"/>
    <w:rsid w:val="009D7405"/>
    <w:rsid w:val="009D7622"/>
    <w:rsid w:val="009D79C9"/>
    <w:rsid w:val="009D7D06"/>
    <w:rsid w:val="009E0A33"/>
    <w:rsid w:val="009E1F68"/>
    <w:rsid w:val="009E3758"/>
    <w:rsid w:val="009E490D"/>
    <w:rsid w:val="009E4A22"/>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07423"/>
    <w:rsid w:val="00A121DC"/>
    <w:rsid w:val="00A134BA"/>
    <w:rsid w:val="00A1410F"/>
    <w:rsid w:val="00A14717"/>
    <w:rsid w:val="00A1578B"/>
    <w:rsid w:val="00A17223"/>
    <w:rsid w:val="00A175AF"/>
    <w:rsid w:val="00A20645"/>
    <w:rsid w:val="00A22623"/>
    <w:rsid w:val="00A22775"/>
    <w:rsid w:val="00A22D26"/>
    <w:rsid w:val="00A2352E"/>
    <w:rsid w:val="00A2491E"/>
    <w:rsid w:val="00A25470"/>
    <w:rsid w:val="00A25F55"/>
    <w:rsid w:val="00A261A9"/>
    <w:rsid w:val="00A26464"/>
    <w:rsid w:val="00A30024"/>
    <w:rsid w:val="00A30DBD"/>
    <w:rsid w:val="00A32EDE"/>
    <w:rsid w:val="00A3376B"/>
    <w:rsid w:val="00A33843"/>
    <w:rsid w:val="00A35264"/>
    <w:rsid w:val="00A37933"/>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5CF"/>
    <w:rsid w:val="00A527C2"/>
    <w:rsid w:val="00A542B4"/>
    <w:rsid w:val="00A54D8E"/>
    <w:rsid w:val="00A55612"/>
    <w:rsid w:val="00A5575A"/>
    <w:rsid w:val="00A55AA2"/>
    <w:rsid w:val="00A60550"/>
    <w:rsid w:val="00A6164B"/>
    <w:rsid w:val="00A634B8"/>
    <w:rsid w:val="00A63E4C"/>
    <w:rsid w:val="00A64263"/>
    <w:rsid w:val="00A64E21"/>
    <w:rsid w:val="00A658AD"/>
    <w:rsid w:val="00A671A5"/>
    <w:rsid w:val="00A674AD"/>
    <w:rsid w:val="00A67C6C"/>
    <w:rsid w:val="00A7097B"/>
    <w:rsid w:val="00A7121C"/>
    <w:rsid w:val="00A71632"/>
    <w:rsid w:val="00A719E9"/>
    <w:rsid w:val="00A72123"/>
    <w:rsid w:val="00A737AB"/>
    <w:rsid w:val="00A73C80"/>
    <w:rsid w:val="00A7540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2C3"/>
    <w:rsid w:val="00AA6455"/>
    <w:rsid w:val="00AA6907"/>
    <w:rsid w:val="00AA6C68"/>
    <w:rsid w:val="00AA71D9"/>
    <w:rsid w:val="00AA747E"/>
    <w:rsid w:val="00AB07B5"/>
    <w:rsid w:val="00AB17B5"/>
    <w:rsid w:val="00AB2048"/>
    <w:rsid w:val="00AB2DDB"/>
    <w:rsid w:val="00AB5EE3"/>
    <w:rsid w:val="00AB7372"/>
    <w:rsid w:val="00AB79A9"/>
    <w:rsid w:val="00AB7AEF"/>
    <w:rsid w:val="00AC0000"/>
    <w:rsid w:val="00AC20CA"/>
    <w:rsid w:val="00AC24E0"/>
    <w:rsid w:val="00AC26C3"/>
    <w:rsid w:val="00AC2DB4"/>
    <w:rsid w:val="00AC3AE7"/>
    <w:rsid w:val="00AC5400"/>
    <w:rsid w:val="00AC5AB3"/>
    <w:rsid w:val="00AC5ABE"/>
    <w:rsid w:val="00AC69B4"/>
    <w:rsid w:val="00AC6FA6"/>
    <w:rsid w:val="00AC7C6E"/>
    <w:rsid w:val="00AD04A1"/>
    <w:rsid w:val="00AD0B26"/>
    <w:rsid w:val="00AD202A"/>
    <w:rsid w:val="00AD29E6"/>
    <w:rsid w:val="00AD3A16"/>
    <w:rsid w:val="00AD3AA4"/>
    <w:rsid w:val="00AD3BBE"/>
    <w:rsid w:val="00AD48F0"/>
    <w:rsid w:val="00AD5472"/>
    <w:rsid w:val="00AE2FEA"/>
    <w:rsid w:val="00AE363A"/>
    <w:rsid w:val="00AE3991"/>
    <w:rsid w:val="00AE3B51"/>
    <w:rsid w:val="00AE452F"/>
    <w:rsid w:val="00AE4F32"/>
    <w:rsid w:val="00AE4FBA"/>
    <w:rsid w:val="00AE586D"/>
    <w:rsid w:val="00AE58C9"/>
    <w:rsid w:val="00AE5C22"/>
    <w:rsid w:val="00AE6220"/>
    <w:rsid w:val="00AE6A52"/>
    <w:rsid w:val="00AE700E"/>
    <w:rsid w:val="00AE730A"/>
    <w:rsid w:val="00AF256A"/>
    <w:rsid w:val="00AF3998"/>
    <w:rsid w:val="00AF4F8F"/>
    <w:rsid w:val="00AF5DF1"/>
    <w:rsid w:val="00AF6510"/>
    <w:rsid w:val="00B00A7C"/>
    <w:rsid w:val="00B02D9A"/>
    <w:rsid w:val="00B03471"/>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BB"/>
    <w:rsid w:val="00B27846"/>
    <w:rsid w:val="00B27B85"/>
    <w:rsid w:val="00B30B72"/>
    <w:rsid w:val="00B31D1D"/>
    <w:rsid w:val="00B3254C"/>
    <w:rsid w:val="00B32717"/>
    <w:rsid w:val="00B336F4"/>
    <w:rsid w:val="00B33C2E"/>
    <w:rsid w:val="00B3734B"/>
    <w:rsid w:val="00B37C9A"/>
    <w:rsid w:val="00B37E50"/>
    <w:rsid w:val="00B40277"/>
    <w:rsid w:val="00B4157A"/>
    <w:rsid w:val="00B43CAD"/>
    <w:rsid w:val="00B44949"/>
    <w:rsid w:val="00B44D22"/>
    <w:rsid w:val="00B45502"/>
    <w:rsid w:val="00B45F73"/>
    <w:rsid w:val="00B5050B"/>
    <w:rsid w:val="00B50FEB"/>
    <w:rsid w:val="00B5134B"/>
    <w:rsid w:val="00B52153"/>
    <w:rsid w:val="00B53073"/>
    <w:rsid w:val="00B53296"/>
    <w:rsid w:val="00B53353"/>
    <w:rsid w:val="00B5554C"/>
    <w:rsid w:val="00B55F46"/>
    <w:rsid w:val="00B574E0"/>
    <w:rsid w:val="00B57912"/>
    <w:rsid w:val="00B57BF0"/>
    <w:rsid w:val="00B6073F"/>
    <w:rsid w:val="00B61DA2"/>
    <w:rsid w:val="00B61E4E"/>
    <w:rsid w:val="00B6211E"/>
    <w:rsid w:val="00B62C3D"/>
    <w:rsid w:val="00B63051"/>
    <w:rsid w:val="00B64002"/>
    <w:rsid w:val="00B6757E"/>
    <w:rsid w:val="00B67C69"/>
    <w:rsid w:val="00B71E47"/>
    <w:rsid w:val="00B7238C"/>
    <w:rsid w:val="00B72A09"/>
    <w:rsid w:val="00B73280"/>
    <w:rsid w:val="00B736FB"/>
    <w:rsid w:val="00B755C2"/>
    <w:rsid w:val="00B769AF"/>
    <w:rsid w:val="00B77233"/>
    <w:rsid w:val="00B80182"/>
    <w:rsid w:val="00B80A4D"/>
    <w:rsid w:val="00B80A9A"/>
    <w:rsid w:val="00B81678"/>
    <w:rsid w:val="00B82321"/>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3060"/>
    <w:rsid w:val="00BB3D46"/>
    <w:rsid w:val="00BB465E"/>
    <w:rsid w:val="00BB47C4"/>
    <w:rsid w:val="00BB4B03"/>
    <w:rsid w:val="00BB72A5"/>
    <w:rsid w:val="00BB73C4"/>
    <w:rsid w:val="00BB7CA7"/>
    <w:rsid w:val="00BB7FAC"/>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67C"/>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40F1"/>
    <w:rsid w:val="00C25613"/>
    <w:rsid w:val="00C256F3"/>
    <w:rsid w:val="00C30222"/>
    <w:rsid w:val="00C30F51"/>
    <w:rsid w:val="00C315F6"/>
    <w:rsid w:val="00C32E89"/>
    <w:rsid w:val="00C330C1"/>
    <w:rsid w:val="00C3352F"/>
    <w:rsid w:val="00C3378F"/>
    <w:rsid w:val="00C33878"/>
    <w:rsid w:val="00C338E6"/>
    <w:rsid w:val="00C3403D"/>
    <w:rsid w:val="00C34F86"/>
    <w:rsid w:val="00C3514C"/>
    <w:rsid w:val="00C35601"/>
    <w:rsid w:val="00C35BC9"/>
    <w:rsid w:val="00C3612A"/>
    <w:rsid w:val="00C3702D"/>
    <w:rsid w:val="00C37FBE"/>
    <w:rsid w:val="00C40745"/>
    <w:rsid w:val="00C41C74"/>
    <w:rsid w:val="00C41F31"/>
    <w:rsid w:val="00C42633"/>
    <w:rsid w:val="00C429CE"/>
    <w:rsid w:val="00C42A74"/>
    <w:rsid w:val="00C42F4A"/>
    <w:rsid w:val="00C43F97"/>
    <w:rsid w:val="00C43FB1"/>
    <w:rsid w:val="00C443D4"/>
    <w:rsid w:val="00C44D73"/>
    <w:rsid w:val="00C4573D"/>
    <w:rsid w:val="00C45AD8"/>
    <w:rsid w:val="00C4623D"/>
    <w:rsid w:val="00C46F18"/>
    <w:rsid w:val="00C509FD"/>
    <w:rsid w:val="00C53166"/>
    <w:rsid w:val="00C5396B"/>
    <w:rsid w:val="00C54F31"/>
    <w:rsid w:val="00C55C2C"/>
    <w:rsid w:val="00C5694D"/>
    <w:rsid w:val="00C571EC"/>
    <w:rsid w:val="00C6049E"/>
    <w:rsid w:val="00C61315"/>
    <w:rsid w:val="00C626BD"/>
    <w:rsid w:val="00C65185"/>
    <w:rsid w:val="00C65769"/>
    <w:rsid w:val="00C65D74"/>
    <w:rsid w:val="00C67E27"/>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EB6"/>
    <w:rsid w:val="00C85097"/>
    <w:rsid w:val="00C8575D"/>
    <w:rsid w:val="00C86BC8"/>
    <w:rsid w:val="00C87AD5"/>
    <w:rsid w:val="00C90C53"/>
    <w:rsid w:val="00C9290D"/>
    <w:rsid w:val="00C92C21"/>
    <w:rsid w:val="00C933DB"/>
    <w:rsid w:val="00C93578"/>
    <w:rsid w:val="00C935FA"/>
    <w:rsid w:val="00C943A4"/>
    <w:rsid w:val="00C944BA"/>
    <w:rsid w:val="00C95C88"/>
    <w:rsid w:val="00C9628A"/>
    <w:rsid w:val="00C96BF9"/>
    <w:rsid w:val="00C97473"/>
    <w:rsid w:val="00CA0676"/>
    <w:rsid w:val="00CA0A9B"/>
    <w:rsid w:val="00CA1794"/>
    <w:rsid w:val="00CA1945"/>
    <w:rsid w:val="00CA2397"/>
    <w:rsid w:val="00CA2F2D"/>
    <w:rsid w:val="00CA3233"/>
    <w:rsid w:val="00CA3459"/>
    <w:rsid w:val="00CA3706"/>
    <w:rsid w:val="00CA43BF"/>
    <w:rsid w:val="00CA45D3"/>
    <w:rsid w:val="00CA6036"/>
    <w:rsid w:val="00CA7464"/>
    <w:rsid w:val="00CA75D9"/>
    <w:rsid w:val="00CA7901"/>
    <w:rsid w:val="00CB2150"/>
    <w:rsid w:val="00CB250C"/>
    <w:rsid w:val="00CB2D07"/>
    <w:rsid w:val="00CB47FD"/>
    <w:rsid w:val="00CB5D9D"/>
    <w:rsid w:val="00CB7456"/>
    <w:rsid w:val="00CC11E4"/>
    <w:rsid w:val="00CC1B6A"/>
    <w:rsid w:val="00CC25F9"/>
    <w:rsid w:val="00CC276E"/>
    <w:rsid w:val="00CC3F10"/>
    <w:rsid w:val="00CC50EF"/>
    <w:rsid w:val="00CC55B3"/>
    <w:rsid w:val="00CC72A3"/>
    <w:rsid w:val="00CC7465"/>
    <w:rsid w:val="00CC7B8B"/>
    <w:rsid w:val="00CD0505"/>
    <w:rsid w:val="00CD1F5D"/>
    <w:rsid w:val="00CD1F9A"/>
    <w:rsid w:val="00CD380D"/>
    <w:rsid w:val="00CD4907"/>
    <w:rsid w:val="00CD4C29"/>
    <w:rsid w:val="00CD4D7C"/>
    <w:rsid w:val="00CD55AC"/>
    <w:rsid w:val="00CD5933"/>
    <w:rsid w:val="00CE20BA"/>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6B4"/>
    <w:rsid w:val="00D04D70"/>
    <w:rsid w:val="00D05B67"/>
    <w:rsid w:val="00D05C47"/>
    <w:rsid w:val="00D065B6"/>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3A84"/>
    <w:rsid w:val="00D258BF"/>
    <w:rsid w:val="00D3019A"/>
    <w:rsid w:val="00D3042C"/>
    <w:rsid w:val="00D30629"/>
    <w:rsid w:val="00D30B1A"/>
    <w:rsid w:val="00D324FD"/>
    <w:rsid w:val="00D333C6"/>
    <w:rsid w:val="00D34711"/>
    <w:rsid w:val="00D36AC9"/>
    <w:rsid w:val="00D36B5A"/>
    <w:rsid w:val="00D3749B"/>
    <w:rsid w:val="00D37B7D"/>
    <w:rsid w:val="00D37E97"/>
    <w:rsid w:val="00D37FA9"/>
    <w:rsid w:val="00D44002"/>
    <w:rsid w:val="00D446CA"/>
    <w:rsid w:val="00D44C38"/>
    <w:rsid w:val="00D44D3B"/>
    <w:rsid w:val="00D450F3"/>
    <w:rsid w:val="00D45546"/>
    <w:rsid w:val="00D5198D"/>
    <w:rsid w:val="00D52134"/>
    <w:rsid w:val="00D52582"/>
    <w:rsid w:val="00D5339D"/>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46C2"/>
    <w:rsid w:val="00D64CBF"/>
    <w:rsid w:val="00D65028"/>
    <w:rsid w:val="00D65727"/>
    <w:rsid w:val="00D66523"/>
    <w:rsid w:val="00D66B12"/>
    <w:rsid w:val="00D71E32"/>
    <w:rsid w:val="00D72409"/>
    <w:rsid w:val="00D736A0"/>
    <w:rsid w:val="00D736B9"/>
    <w:rsid w:val="00D74C78"/>
    <w:rsid w:val="00D7505C"/>
    <w:rsid w:val="00D77048"/>
    <w:rsid w:val="00D77465"/>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AD7"/>
    <w:rsid w:val="00D93546"/>
    <w:rsid w:val="00D9395F"/>
    <w:rsid w:val="00D93C6B"/>
    <w:rsid w:val="00D93E5B"/>
    <w:rsid w:val="00D955A3"/>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52C7"/>
    <w:rsid w:val="00DC6A6B"/>
    <w:rsid w:val="00DC7D51"/>
    <w:rsid w:val="00DC7E99"/>
    <w:rsid w:val="00DD0728"/>
    <w:rsid w:val="00DD12F2"/>
    <w:rsid w:val="00DD2493"/>
    <w:rsid w:val="00DD2C81"/>
    <w:rsid w:val="00DD32AB"/>
    <w:rsid w:val="00DD39EC"/>
    <w:rsid w:val="00DD3AE8"/>
    <w:rsid w:val="00DD3EEC"/>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C6F"/>
    <w:rsid w:val="00DE7D92"/>
    <w:rsid w:val="00DF0B9B"/>
    <w:rsid w:val="00DF0C5A"/>
    <w:rsid w:val="00DF1E77"/>
    <w:rsid w:val="00DF4754"/>
    <w:rsid w:val="00DF4C01"/>
    <w:rsid w:val="00DF693C"/>
    <w:rsid w:val="00DF69CD"/>
    <w:rsid w:val="00DF7881"/>
    <w:rsid w:val="00E00A05"/>
    <w:rsid w:val="00E029DC"/>
    <w:rsid w:val="00E0308B"/>
    <w:rsid w:val="00E03E24"/>
    <w:rsid w:val="00E047BD"/>
    <w:rsid w:val="00E0592E"/>
    <w:rsid w:val="00E0687A"/>
    <w:rsid w:val="00E107C2"/>
    <w:rsid w:val="00E120F5"/>
    <w:rsid w:val="00E129DE"/>
    <w:rsid w:val="00E14394"/>
    <w:rsid w:val="00E14416"/>
    <w:rsid w:val="00E15CFC"/>
    <w:rsid w:val="00E16E46"/>
    <w:rsid w:val="00E17854"/>
    <w:rsid w:val="00E22B43"/>
    <w:rsid w:val="00E22DAA"/>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00EE"/>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5AF0"/>
    <w:rsid w:val="00EA647D"/>
    <w:rsid w:val="00EA6E1F"/>
    <w:rsid w:val="00EA7840"/>
    <w:rsid w:val="00EA79B5"/>
    <w:rsid w:val="00EA7CE9"/>
    <w:rsid w:val="00EA7DFA"/>
    <w:rsid w:val="00EB2876"/>
    <w:rsid w:val="00EB3D58"/>
    <w:rsid w:val="00EB3D72"/>
    <w:rsid w:val="00EB5340"/>
    <w:rsid w:val="00EB59A6"/>
    <w:rsid w:val="00EB7476"/>
    <w:rsid w:val="00EB770C"/>
    <w:rsid w:val="00EB7E2F"/>
    <w:rsid w:val="00EC09FF"/>
    <w:rsid w:val="00EC1884"/>
    <w:rsid w:val="00EC1D7D"/>
    <w:rsid w:val="00EC2421"/>
    <w:rsid w:val="00EC3244"/>
    <w:rsid w:val="00EC436D"/>
    <w:rsid w:val="00EC5C6D"/>
    <w:rsid w:val="00EC5CF6"/>
    <w:rsid w:val="00EC5F6A"/>
    <w:rsid w:val="00EC6940"/>
    <w:rsid w:val="00ED18BD"/>
    <w:rsid w:val="00ED1A36"/>
    <w:rsid w:val="00ED2533"/>
    <w:rsid w:val="00ED2BA6"/>
    <w:rsid w:val="00ED4354"/>
    <w:rsid w:val="00ED47A2"/>
    <w:rsid w:val="00ED4B9A"/>
    <w:rsid w:val="00ED5482"/>
    <w:rsid w:val="00ED5CE9"/>
    <w:rsid w:val="00ED704D"/>
    <w:rsid w:val="00ED76E7"/>
    <w:rsid w:val="00EE0367"/>
    <w:rsid w:val="00EE08F2"/>
    <w:rsid w:val="00EE1791"/>
    <w:rsid w:val="00EE1DF8"/>
    <w:rsid w:val="00EE30BA"/>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28F"/>
    <w:rsid w:val="00F02530"/>
    <w:rsid w:val="00F0388F"/>
    <w:rsid w:val="00F0424A"/>
    <w:rsid w:val="00F04934"/>
    <w:rsid w:val="00F055F7"/>
    <w:rsid w:val="00F05C1E"/>
    <w:rsid w:val="00F063CD"/>
    <w:rsid w:val="00F06731"/>
    <w:rsid w:val="00F06BD3"/>
    <w:rsid w:val="00F06F75"/>
    <w:rsid w:val="00F0744A"/>
    <w:rsid w:val="00F07A47"/>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46CEE"/>
    <w:rsid w:val="00F47E0E"/>
    <w:rsid w:val="00F506A8"/>
    <w:rsid w:val="00F52299"/>
    <w:rsid w:val="00F53800"/>
    <w:rsid w:val="00F54268"/>
    <w:rsid w:val="00F545F5"/>
    <w:rsid w:val="00F549D7"/>
    <w:rsid w:val="00F5735D"/>
    <w:rsid w:val="00F57474"/>
    <w:rsid w:val="00F57646"/>
    <w:rsid w:val="00F57ADF"/>
    <w:rsid w:val="00F57C5F"/>
    <w:rsid w:val="00F6061A"/>
    <w:rsid w:val="00F6189F"/>
    <w:rsid w:val="00F6212C"/>
    <w:rsid w:val="00F63446"/>
    <w:rsid w:val="00F637FC"/>
    <w:rsid w:val="00F64D68"/>
    <w:rsid w:val="00F659C2"/>
    <w:rsid w:val="00F65C49"/>
    <w:rsid w:val="00F67A38"/>
    <w:rsid w:val="00F67A68"/>
    <w:rsid w:val="00F716DE"/>
    <w:rsid w:val="00F7326F"/>
    <w:rsid w:val="00F73DA2"/>
    <w:rsid w:val="00F73FEE"/>
    <w:rsid w:val="00F745BD"/>
    <w:rsid w:val="00F74C45"/>
    <w:rsid w:val="00F751DC"/>
    <w:rsid w:val="00F7582D"/>
    <w:rsid w:val="00F80243"/>
    <w:rsid w:val="00F8025E"/>
    <w:rsid w:val="00F808B8"/>
    <w:rsid w:val="00F80EE3"/>
    <w:rsid w:val="00F81417"/>
    <w:rsid w:val="00F81974"/>
    <w:rsid w:val="00F83057"/>
    <w:rsid w:val="00F834AF"/>
    <w:rsid w:val="00F858D0"/>
    <w:rsid w:val="00F862D8"/>
    <w:rsid w:val="00F86FB1"/>
    <w:rsid w:val="00F8701B"/>
    <w:rsid w:val="00F8714D"/>
    <w:rsid w:val="00F87166"/>
    <w:rsid w:val="00F871B7"/>
    <w:rsid w:val="00F8750A"/>
    <w:rsid w:val="00F91A12"/>
    <w:rsid w:val="00F920A9"/>
    <w:rsid w:val="00F92D75"/>
    <w:rsid w:val="00F940A0"/>
    <w:rsid w:val="00F94C14"/>
    <w:rsid w:val="00F94FDE"/>
    <w:rsid w:val="00F95114"/>
    <w:rsid w:val="00F97113"/>
    <w:rsid w:val="00FA0E45"/>
    <w:rsid w:val="00FA16AB"/>
    <w:rsid w:val="00FA3255"/>
    <w:rsid w:val="00FA3C97"/>
    <w:rsid w:val="00FA5560"/>
    <w:rsid w:val="00FA5778"/>
    <w:rsid w:val="00FA6B89"/>
    <w:rsid w:val="00FB2179"/>
    <w:rsid w:val="00FB29F5"/>
    <w:rsid w:val="00FB2E9B"/>
    <w:rsid w:val="00FB2F03"/>
    <w:rsid w:val="00FB3320"/>
    <w:rsid w:val="00FB485F"/>
    <w:rsid w:val="00FB50DD"/>
    <w:rsid w:val="00FB5A82"/>
    <w:rsid w:val="00FB6CD1"/>
    <w:rsid w:val="00FB7C1E"/>
    <w:rsid w:val="00FC0551"/>
    <w:rsid w:val="00FC2759"/>
    <w:rsid w:val="00FC37F2"/>
    <w:rsid w:val="00FC3D35"/>
    <w:rsid w:val="00FC4A19"/>
    <w:rsid w:val="00FC4DDE"/>
    <w:rsid w:val="00FC52B3"/>
    <w:rsid w:val="00FC57A7"/>
    <w:rsid w:val="00FC5B76"/>
    <w:rsid w:val="00FC5F8D"/>
    <w:rsid w:val="00FC6F4E"/>
    <w:rsid w:val="00FC70A0"/>
    <w:rsid w:val="00FC766B"/>
    <w:rsid w:val="00FC7A36"/>
    <w:rsid w:val="00FD129E"/>
    <w:rsid w:val="00FD32D0"/>
    <w:rsid w:val="00FD39A7"/>
    <w:rsid w:val="00FD4153"/>
    <w:rsid w:val="00FD43BB"/>
    <w:rsid w:val="00FD49D8"/>
    <w:rsid w:val="00FD612A"/>
    <w:rsid w:val="00FD7D4F"/>
    <w:rsid w:val="00FE3F13"/>
    <w:rsid w:val="00FE584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1A6A9"/>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465"/>
    <w:pPr>
      <w:spacing w:line="480" w:lineRule="auto"/>
      <w:ind w:firstLine="72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974D7B"/>
    <w:pPr>
      <w:ind w:firstLine="7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974D7B"/>
    <w:rPr>
      <w:rFonts w:ascii="Times New Roman" w:eastAsia="Times New Roman" w:hAnsi="Times New Roman" w:cs="Times New Roman"/>
      <w:b/>
      <w:bCs/>
      <w:color w:val="00000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F94C14"/>
    <w:pPr>
      <w:spacing w:line="240" w:lineRule="auto"/>
      <w:ind w:firstLine="0"/>
    </w:pPr>
  </w:style>
  <w:style w:type="character" w:customStyle="1" w:styleId="FootnoteTextChar">
    <w:name w:val="Footnote Text Char"/>
    <w:basedOn w:val="DefaultParagraphFont"/>
    <w:link w:val="FootnoteText"/>
    <w:uiPriority w:val="99"/>
    <w:rsid w:val="00F94C14"/>
    <w:rPr>
      <w:rFonts w:ascii="Times New Roman" w:eastAsia="Times New Roman" w:hAnsi="Times New Roman" w:cs="Times New Roman"/>
      <w:color w:val="00000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style>
  <w:style w:type="paragraph" w:customStyle="1" w:styleId="Title1">
    <w:name w:val="Title1"/>
    <w:basedOn w:val="Normal"/>
    <w:qFormat/>
    <w:rsid w:val="00D77465"/>
    <w:pPr>
      <w:ind w:firstLine="0"/>
      <w:jc w:val="center"/>
    </w:p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FootnoteText"/>
    <w:link w:val="FooterChar"/>
    <w:uiPriority w:val="99"/>
    <w:unhideWhenUsed/>
    <w:rsid w:val="00F94C14"/>
  </w:style>
  <w:style w:type="character" w:customStyle="1" w:styleId="FooterChar">
    <w:name w:val="Footer Char"/>
    <w:basedOn w:val="DefaultParagraphFont"/>
    <w:link w:val="Footer"/>
    <w:uiPriority w:val="99"/>
    <w:rsid w:val="00F94C14"/>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176747">
      <w:bodyDiv w:val="1"/>
      <w:marLeft w:val="0"/>
      <w:marRight w:val="0"/>
      <w:marTop w:val="0"/>
      <w:marBottom w:val="0"/>
      <w:divBdr>
        <w:top w:val="none" w:sz="0" w:space="0" w:color="auto"/>
        <w:left w:val="none" w:sz="0" w:space="0" w:color="auto"/>
        <w:bottom w:val="none" w:sz="0" w:space="0" w:color="auto"/>
        <w:right w:val="none" w:sz="0" w:space="0" w:color="auto"/>
      </w:divBdr>
      <w:divsChild>
        <w:div w:id="1587035385">
          <w:marLeft w:val="0"/>
          <w:marRight w:val="0"/>
          <w:marTop w:val="0"/>
          <w:marBottom w:val="0"/>
          <w:divBdr>
            <w:top w:val="none" w:sz="0" w:space="0" w:color="auto"/>
            <w:left w:val="none" w:sz="0" w:space="0" w:color="auto"/>
            <w:bottom w:val="none" w:sz="0" w:space="0" w:color="auto"/>
            <w:right w:val="none" w:sz="0" w:space="0" w:color="auto"/>
          </w:divBdr>
          <w:divsChild>
            <w:div w:id="15840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00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51</Pages>
  <Words>33386</Words>
  <Characters>190303</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1814</cp:revision>
  <cp:lastPrinted>2024-08-01T11:55:00Z</cp:lastPrinted>
  <dcterms:created xsi:type="dcterms:W3CDTF">2024-08-01T11:55:00Z</dcterms:created>
  <dcterms:modified xsi:type="dcterms:W3CDTF">2024-10-17T20:07:00Z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id="KF6fLWg1"/&gt;&lt;style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