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C240F1" w:rsidRPr="00832F7C" w:rsidP="00805BE0" w14:paraId="489F84A7" w14:textId="77777777">
      <w:pPr>
        <w:ind w:firstLine="0"/>
        <w:sectPr w:rsidSect="00D77465">
          <w:headerReference w:type="even" r:id="rId6"/>
          <w:headerReference w:type="default" r:id="rId7"/>
          <w:footerReference w:type="even" r:id="rId8"/>
          <w:footerReference w:type="default" r:id="rId9"/>
          <w:pgSz w:w="11900" w:h="16840"/>
          <w:pgMar w:top="1440" w:right="1440" w:bottom="1440" w:left="1440" w:header="709" w:footer="709" w:gutter="0"/>
          <w:cols w:space="708"/>
          <w:docGrid w:linePitch="360"/>
          <w15:footnoteColumns w:val="1"/>
        </w:sectPr>
      </w:pPr>
    </w:p>
    <w:p w:rsidR="00D77465" w:rsidRPr="00832F7C" w:rsidP="00C240F1" w14:paraId="2DDFE060" w14:textId="7E6FE495">
      <w:pPr>
        <w:pStyle w:val="Title1"/>
        <w:jc w:val="left"/>
      </w:pPr>
      <w:r w:rsidRPr="00832F7C">
        <w:t>Verification Report: A critical reanalysis of Vahey et al. (2015) “A meta-analysis of criterion effects for the Implicit Relational Assessment Procedure (IRAP) in the clinical domain”</w:t>
      </w:r>
    </w:p>
    <w:p w:rsidR="00D77465" w:rsidRPr="00832F7C" w:rsidP="00D77465" w14:paraId="09B4F2AD" w14:textId="77777777"/>
    <w:p w:rsidR="0080605A" w:rsidRPr="00832F7C" w:rsidP="00D77465" w14:paraId="2AB0CFA3" w14:textId="4BDA1DC5">
      <w:r w:rsidRPr="00832F7C">
        <w:t xml:space="preserve">There is now a growing literature on post-publication scientific error detection in meta-analyses. Much of this has focused on quantifying the prevalence of issues that undermine the validity of meta-analysis results, such as errors in effect size extraction </w:t>
      </w:r>
      <w:r w:rsidRPr="00832F7C">
        <w:fldChar w:fldCharType="begin"/>
      </w:r>
      <w:r w:rsidRPr="00832F7C">
        <w:instrText xml:space="preserve"> ADDIN ZOTERO_ITEM CSL_CITATION {"citationID":"MK9rz5ZD","properties":{"formattedCitation":"(e.g., G\\uc0\\u248{}tzsche et al., 2007; Lakens et al., 2017; Maassen et al., 2020)","plainCitation":"(e.g., Gøtzsche et al., 2007; Lakens et al.,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832F7C">
        <w:fldChar w:fldCharType="separate"/>
      </w:r>
      <w:r w:rsidRPr="00832F7C">
        <w:t>(e.g., Gøtzsche et al., 2007; Lakens et al., 2017; Maassen et al., 2020)</w:t>
      </w:r>
      <w:r w:rsidRPr="00832F7C">
        <w:fldChar w:fldCharType="end"/>
      </w:r>
      <w:r w:rsidRPr="00832F7C">
        <w:t xml:space="preserve">, or indicators of reproducibility such as the reproducibility of the systematic search strategy, specification of the exact method to compute effect sizes, choice of weightings and estimator function, and sharing of data and code </w:t>
      </w:r>
      <w:r w:rsidRPr="00832F7C">
        <w:fldChar w:fldCharType="begin"/>
      </w:r>
      <w:r w:rsidRPr="00832F7C">
        <w:instrText xml:space="preserve"> ADDIN ZOTERO_ITEM CSL_CITATION {"citationID":"Ms4MoTlj","properties":{"formattedCitation":"(L\\uc0\\u243{}pez-Nicol\\uc0\\u225{}s et al., 2022)","plainCitation":"(López-Nicolás et al., 2022)","noteIndex":0},"citationItems":[{"id":4600,"uris":["http://zotero.org/users/1687755/items/MH7F7IGH"],"itemData":{"id":4600,"type":"article-journal","abstract":"Meta-analysis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rsidRPr="00832F7C">
        <w:fldChar w:fldCharType="separate"/>
      </w:r>
      <w:r w:rsidRPr="00832F7C">
        <w:t>(López-Nicolás et al., 2022)</w:t>
      </w:r>
      <w:r w:rsidRPr="00832F7C">
        <w:fldChar w:fldCharType="end"/>
      </w:r>
      <w:r w:rsidRPr="00832F7C">
        <w:t>. More recently, this has been supplemented with</w:t>
      </w:r>
      <w:r w:rsidRPr="00832F7C" w:rsidR="00224408">
        <w:t xml:space="preserve"> work that is explicitly focused on</w:t>
      </w:r>
      <w:r w:rsidRPr="00832F7C">
        <w:t xml:space="preserve"> error detection that has the goal of examining what features of a meta-analysis can be checked and how, and where meta-analyses tend to make errors </w:t>
      </w:r>
      <w:r w:rsidRPr="00832F7C">
        <w:fldChar w:fldCharType="begin"/>
      </w:r>
      <w:r w:rsidRPr="00832F7C">
        <w:instrText xml:space="preserve"> ADDIN ZOTERO_ITEM CSL_CITATION {"citationID":"0ufZDgN2","properties":{"formattedCitation":"(Kadlec et al., 2023)","plainCitation":"(Kadlec et al., 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L."},{"family":"Nimphius","given":"Sophia"}],"issued":{"date-parts":[["2023",2,1]]}},"label":"page"}],"schema":"https://github.com/citation-style-language/schema/raw/master/csl-citation.json"} </w:instrText>
      </w:r>
      <w:r w:rsidRPr="00832F7C">
        <w:fldChar w:fldCharType="separate"/>
      </w:r>
      <w:r w:rsidRPr="00832F7C">
        <w:rPr>
          <w:noProof/>
        </w:rPr>
        <w:t>(Kadlec et al., 2023)</w:t>
      </w:r>
      <w:r w:rsidRPr="00832F7C">
        <w:fldChar w:fldCharType="end"/>
      </w:r>
      <w:r w:rsidRPr="00832F7C">
        <w:t>. Th</w:t>
      </w:r>
      <w:r w:rsidRPr="00832F7C" w:rsidR="00F063CD">
        <w:t>is</w:t>
      </w:r>
      <w:r w:rsidRPr="00832F7C">
        <w:t xml:space="preserve"> article continues in this vein: following the logic of error detection tools for original research articles </w:t>
      </w:r>
      <w:r w:rsidRPr="00832F7C">
        <w:fldChar w:fldCharType="begin"/>
      </w:r>
      <w:r w:rsidRPr="00832F7C">
        <w:instrText xml:space="preserve"> ADDIN ZOTERO_ITEM CSL_CITATION {"citationID":"AadGykF4","properties":{"formattedCitation":"(e.g., Heathers et al., 2018)","plainCitation":"(e.g., Heathers et al., 2018)","noteIndex":0},"citationItems":[{"id":75,"uris":["http://zotero.org/users/1687755/items/M3ZLFXPT"],"itemData":{"id":75,"type":"report","abstract":"Scientific publications have not traditionally been accompanied by data, either during the peer review process or when published. Concern has arisen that the literature in many fields may contain inaccuracies or errors that cannot be detected without inspecting the original data. Here, we introduce SPRITE (Sample Parameter Reconstruction via Interative TEchniques), a heuristic method for reconstructing plausible samples from descriptive statistics of granular data, allowing reviewers, editors, readers, and future researchers to gain insights into the possible distributions of item values in the original data set. This paper presents the principles of operation of SPRITE, as well as worked examples of its practical use for error detection in real published work. Full source code for three software implementations of SPRITE (in MATLAB, R, and Python) and two web-based implementations requiring no local installation (1, 2) are available for readers.","language":"en","note":"ISSN: 2167-9843\nDOI: 10.7287/peerj.preprints.26968v1","number":"e26968v1","publisher":"PeerJ Inc.","source":"peerj.com","title":"Recovering data from summary statistics: Sample Parameter Reconstruction via Iterative TEchniques (SPRITE)","title-short":"Recovering data from summary statistics","URL":"https://peerj.com/preprints/26968","author":[{"family":"Heathers","given":"James A."},{"family":"Anaya","given":"Jordan"},{"family":"Zee","given":"Tim","dropping-particle":"van der"},{"family":"Brown","given":"Nicholas JL"}],"accessed":{"date-parts":[["2023",5,31]]},"issued":{"date-parts":[["2018",5,30]]}},"label":"page","prefix":"e.g., "}],"schema":"https://github.com/citation-style-language/schema/raw/master/csl-citation.json"} </w:instrText>
      </w:r>
      <w:r w:rsidRPr="00832F7C">
        <w:fldChar w:fldCharType="separate"/>
      </w:r>
      <w:r w:rsidRPr="00832F7C">
        <w:rPr>
          <w:noProof/>
        </w:rPr>
        <w:t>(e.g., Heathers et al., 2018)</w:t>
      </w:r>
      <w:r w:rsidRPr="00832F7C">
        <w:fldChar w:fldCharType="end"/>
      </w:r>
      <w:r w:rsidRPr="00832F7C">
        <w:t xml:space="preserve">, it focuses on features of meta-analyses that are either informative but often overlooked or that repeat information. Both provide vectors for error detection. </w:t>
      </w:r>
      <w:r w:rsidRPr="00832F7C" w:rsidR="0074245E">
        <w:t xml:space="preserve">Indeed, these principles of examining overlooked repeated information to assess the trustworthiness of published work are now being integrated into Cochrane’s systematic review process </w:t>
      </w:r>
      <w:r w:rsidRPr="00832F7C" w:rsidR="0074245E">
        <w:fldChar w:fldCharType="begin"/>
      </w:r>
      <w:r w:rsidRPr="00832F7C" w:rsidR="0074245E">
        <w:instrText xml:space="preserve"> ADDIN ZOTERO_ITEM CSL_CITATION {"citationID":"IBHTGa12","properties":{"formattedCitation":"(Wilkinson et al., 2023)","plainCitation":"(Wilkinson et al., 2023)","noteIndex":0},"citationItems":[{"id":26250,"uris":["http://zotero.org/users/1687755/items/GPA4IIIS"],"itemData":{"id":26250,"type":"article","abstract":"Introduction Randomised controlled trials (RCTs) inform healthcare decisions. It is now apparent that some published RCTs contain false data, and some appear to have been entirely fabricated. Systematic reviews are performed to identify and synthesise all RCTs that have been conducted on a given topic. While it is usual to assess methodological features of the RCTs in the process of undertaking a systematic review, it is not usual to consider whether the RCTs contain false data. Studies containing false data therefore go unnoticed, and contribute to systematic review conclusions. The INSPECT-SR project will develop a tool to assess the trustworthiness of RCTs in systematic reviews of healthcare related interventions.\nMethods and analysis The INSPECT-SR tool will be developed using expert consensus in combination with empirical evidence, over five stages: 1) a survey of experts to assemble a comprehensive list of checks for detecting problematic RCTs, 2) an evaluation of the feasibility and impact of applying the checks to systematic reviews, 3) a Delphi survey to determine which of the checks are supported by expert consensus, culminating in 4) a consensus meeting to select checks to be included in a draft tool and to determine its format, 5) prospective testing of the draft tool in the production of new health systematic reviews, to allow refinement based on user feedback. We anticipate that the INSPECT-SR tool will help researchers to identify problematic studies, and will help patients by protecting them from the influence of false data on their healthcare.","DOI":"10.1101/2023.09.21.23295626","language":"en","license":"© 2023, Posted by Cold Spring Harbor Laboratory. This pre-print is available under a Creative Commons License (Attribution 4.0 International), CC BY 4.0, as described at http://creativecommons.org/licenses/by/4.0/","note":"page: 2023.09.21.23295626","publisher":"medRxiv","source":"medRxiv","title":"Protocol for the development of a tool (INSPECT-SR) to identify problematic randomised controlled trials in systematic reviews of health interventions","URL":"https://www.medrxiv.org/content/10.1101/2023.09.21.23295626v1","author":[{"family":"Wilkinson","given":"Jack"},{"family":"Heal","given":"Calvin"},{"family":"Antoniou","given":"George A."},{"family":"Alfirevic","given":"Zarko"},{"family":"Avenell","given":"Alison"},{"family":"Barbour","given":"Virginia"},{"family":"Brown","given":"Nicholas J. L."},{"family":"Carlisle","given":"John"},{"family":"Dicker","given":"Patrick"},{"family":"Dumville","given":"Jo"},{"family":"Grey","given":"Andrew"},{"family":"Gurrin","given":"Lyle C."},{"family":"Hayden","given":"Jill A."},{"family":"Heathers","given":"James"},{"family":"Hunter","given":"Kylie E."},{"family":"Lasserson","given":"Toby"},{"family":"Lam","given":"Emily"},{"family":"Lensen","given":"Sarah"},{"family":"Li","given":"Tianjing"},{"family":"Li","given":"Wentao"},{"family":"Loder","given":"Elizabeth"},{"family":"Lundh","given":"Andreas"},{"family":"Meyerowitz-Katz","given":"Gideon"},{"family":"Mol","given":"Ben W."},{"family":"Connell","given":"Neil E. O’"},{"family":"Parker","given":"Lisa"},{"family":"Redman","given":"Barbara K."},{"family":"Seidler","given":"Anna Lene"},{"family":"Sheldrick","given":"Kyle A."},{"family":"Sydenham","given":"Emma"},{"family":"Torgerson","given":"David J."},{"family":"Wely","given":"Madelon","dropping-particle":"van"},{"family":"Wang","given":"Rui"},{"family":"Bero","given":"Lisa"},{"family":"Kirkham","given":"Jamie J."}],"accessed":{"date-parts":[["2024",1,24]]},"issued":{"date-parts":[["2023",9,25]]}}}],"schema":"https://github.com/citation-style-language/schema/raw/master/csl-citation.json"} </w:instrText>
      </w:r>
      <w:r w:rsidRPr="00832F7C" w:rsidR="0074245E">
        <w:fldChar w:fldCharType="separate"/>
      </w:r>
      <w:r w:rsidRPr="00832F7C" w:rsidR="0074245E">
        <w:rPr>
          <w:noProof/>
        </w:rPr>
        <w:t>(Wilkinson et al., 2023)</w:t>
      </w:r>
      <w:r w:rsidRPr="00832F7C" w:rsidR="0074245E">
        <w:fldChar w:fldCharType="end"/>
      </w:r>
      <w:r w:rsidRPr="00832F7C" w:rsidR="0074245E">
        <w:t xml:space="preserve">. </w:t>
      </w:r>
      <w:r w:rsidRPr="00832F7C">
        <w:t>The intended meta-scientific utility of this manuscript is therefore to provide a relatively fine-grain description of what information was inspected for errors and how, in the hope that some of these methods of verification allow other meta-analyses to be more efficiently and effectively inspected for errors.</w:t>
      </w:r>
    </w:p>
    <w:p w:rsidR="00BC1572" w:rsidRPr="00832F7C" w:rsidP="00D77465" w14:paraId="3EB539E4" w14:textId="707283B6">
      <w:r w:rsidRPr="00832F7C">
        <w:t xml:space="preserve">Briefly, </w:t>
      </w:r>
      <w:r w:rsidRPr="00832F7C">
        <w:t xml:space="preserve">Implicit Relational Assessment Procedure </w:t>
      </w:r>
      <w:r w:rsidRPr="00832F7C" w:rsidR="007F3475">
        <w:fldChar w:fldCharType="begin"/>
      </w:r>
      <w:r w:rsidRPr="00832F7C" w:rsidR="007F3475">
        <w:instrText xml:space="preserve"> ADDIN ZOTERO_ITEM CSL_CITATION {"citationID":"GegimLVW","properties":{"formattedCitation":"(IRAP: Barnes-Holmes et al., 2006, 2010)","plainCitation":"(IRAP: Barnes-Holmes et al., 2006, 2010)","noteIndex":0},"citationItems":[{"id":1724,"uris":["http://zotero.org/users/1687755/items/A8CJRWUP"],"itemData":{"id":1724,"type":"article-journal","container-title":"The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IRAP: "},{"id":4868,"uris":["http://zotero.org/users/1687755/items/XI3TJMRH"],"itemData":{"id":4868,"type":"article-journal","container-title":"The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Pr="00832F7C" w:rsidR="007F3475">
        <w:fldChar w:fldCharType="separate"/>
      </w:r>
      <w:r w:rsidRPr="00832F7C" w:rsidR="007F3475">
        <w:t>(IRAP: Barnes-Holmes et al., 2006, 2010)</w:t>
      </w:r>
      <w:r w:rsidRPr="00832F7C" w:rsidR="007F3475">
        <w:fldChar w:fldCharType="end"/>
      </w:r>
      <w:r w:rsidRPr="00832F7C" w:rsidR="007F3475">
        <w:t xml:space="preserve"> is a reaction-time-based measure that has been used in over 150 publications </w:t>
      </w:r>
      <w:r w:rsidRPr="00832F7C" w:rsidR="007F3475">
        <w:fldChar w:fldCharType="begin"/>
      </w:r>
      <w:r w:rsidRPr="00832F7C" w:rsidR="007F3475">
        <w:instrText xml:space="preserve"> ADDIN ZOTERO_ITEM CSL_CITATION {"citationID":"mbJoRt8A","properties":{"formattedCitation":"(Hussey, 2023)","plainCitation":"(Hussey, 2023)","noteIndex":0},"citationItems":[{"id":5224,"uris":["http://zotero.org/users/1687755/items/V6AXJF9Q"],"itemData":{"id":5224,"type":"article-journal","abstract":"Following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Procedure","volume":"29","author":[{"family":"Hussey","given":"Ian"}],"issued":{"date-parts":[["2023",7,1]]}}}],"schema":"https://github.com/citation-style-language/schema/raw/master/csl-citation.json"} </w:instrText>
      </w:r>
      <w:r w:rsidRPr="00832F7C" w:rsidR="007F3475">
        <w:fldChar w:fldCharType="separate"/>
      </w:r>
      <w:r w:rsidRPr="00832F7C" w:rsidR="007F3475">
        <w:rPr>
          <w:noProof/>
        </w:rPr>
        <w:t>(Hussey, 2023)</w:t>
      </w:r>
      <w:r w:rsidRPr="00832F7C" w:rsidR="007F3475">
        <w:fldChar w:fldCharType="end"/>
      </w:r>
      <w:r w:rsidRPr="00832F7C" w:rsidR="007F3475">
        <w:t>. Typical implementations of the IRAP</w:t>
      </w:r>
      <w:r w:rsidRPr="00832F7C" w:rsidR="0023388C">
        <w:t xml:space="preserve"> </w:t>
      </w:r>
      <w:r w:rsidRPr="00832F7C" w:rsidR="007F3475">
        <w:t>involve presenting “sample” words</w:t>
      </w:r>
      <w:r w:rsidRPr="00832F7C" w:rsidR="00C93578">
        <w:t xml:space="preserve"> or images</w:t>
      </w:r>
      <w:r w:rsidRPr="00832F7C" w:rsidR="007F3475">
        <w:t xml:space="preserve"> at the top of the screen and “target” words</w:t>
      </w:r>
      <w:r w:rsidRPr="00832F7C" w:rsidR="00C93578">
        <w:t xml:space="preserve"> or images</w:t>
      </w:r>
      <w:r w:rsidRPr="00832F7C" w:rsidR="007F3475">
        <w:t xml:space="preserve"> in the middle of the screen. Participants must respond with one of two response options that involve opposing relational terms, such as True/False or (</w:t>
      </w:r>
      <w:r w:rsidRPr="00832F7C" w:rsidR="006B4B14">
        <w:t xml:space="preserve">more rarely) similar/different, which are assigned to a left vs. right response key on the keyboard. </w:t>
      </w:r>
      <w:r w:rsidRPr="00832F7C" w:rsidR="00C93578">
        <w:t xml:space="preserve">Participants complete pairs of blocks of trials, most commonly three pairs of blocks of ‘consistent’ vs. ‘inconsistent’ trials, with 24 trials per block. Each trial requires the participant to provide a specific response to advance to the next trial. The other incorrect response causes corrective feedback to be presented on screen, most commonly a red X. The required response swaps between blocks. For example, a disgust IRAP could employ disgusting vs. pleasant images as sample stimuli and positive vs. negative words as target stimuli. On the ‘consistent’ blocks, when presented with a disgusting image and the words “I feel sick”, the required response would be “True”. On ‘inconsistent’ blocks, the required response would instead be “False”. </w:t>
      </w:r>
      <w:r w:rsidRPr="00832F7C" w:rsidR="008F6DD8">
        <w:t>Participants are instructed and trained to maintain accuracy and speed criteria in practice blocks (e.g., median reaction time &lt; 2000ms and percentage accuracy &gt; 80%)</w:t>
      </w:r>
      <w:r w:rsidRPr="00832F7C" w:rsidR="00982F6A">
        <w:t xml:space="preserve"> before being presented with a fixed number of test blocks. </w:t>
      </w:r>
      <w:r w:rsidRPr="00832F7C" w:rsidR="00BB7CA7">
        <w:t>Reaction time d</w:t>
      </w:r>
      <w:r w:rsidRPr="00832F7C" w:rsidR="00982F6A">
        <w:t xml:space="preserve">ata from the test blocks are typically scored using a version of the Greenwald </w:t>
      </w:r>
      <w:r w:rsidRPr="00832F7C" w:rsidR="00982F6A">
        <w:rPr>
          <w:i/>
          <w:iCs/>
        </w:rPr>
        <w:t>D</w:t>
      </w:r>
      <w:r w:rsidRPr="00832F7C" w:rsidR="00982F6A">
        <w:t xml:space="preserve"> metric developed for the Implicit Association Test </w:t>
      </w:r>
      <w:r w:rsidRPr="00832F7C" w:rsidR="00982F6A">
        <w:fldChar w:fldCharType="begin"/>
      </w:r>
      <w:r w:rsidRPr="00832F7C" w:rsidR="00475EDA">
        <w:instrText xml:space="preserve"> ADDIN ZOTERO_ITEM CSL_CITATION {"citationID":"kHOXouLU","properties":{"unsorted":true,"formattedCitation":"(Greenwald et al., 2003; Hussey et al., 2015; although for issues with D and a more robust alterantive see De Schryver et al., 2018)","plainCitation":"(Greenwald et al., 2003; Hussey et al., 2015; although for issues with D and a more robust alterantive see De Schryver et al., 2018)","noteIndex":0},"citationItems":[{"id":1735,"uris":["http://zotero.org/users/1687755/items/BDWCSHP8"],"itemData":{"id":1735,"type":"article-journal","container-title":"Journal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R."}],"issued":{"date-parts":[["2003"]]}}},{"id":2687,"uris":["http://zotero.org/users/1687755/items/QDNB6VD9"],"itemData":{"id":2687,"type":"article-journal","abstract":"This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id":1101,"uris":["http://zotero.org/users/1687755/items/GWGYDUED"],"itemData":{"id":1101,"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Neve","given":"Jan"},{"family":"Cartwright","given":"Aoife"},{"family":"Barnes-Holmes","given":"Dermot"}],"issued":{"date-parts":[["2018",1,1]]}},"label":"page","prefix":"although for issues with D and a more robust alterantive see "}],"schema":"https://github.com/citation-style-language/schema/raw/master/csl-citation.json"} </w:instrText>
      </w:r>
      <w:r w:rsidRPr="00832F7C" w:rsidR="00982F6A">
        <w:fldChar w:fldCharType="separate"/>
      </w:r>
      <w:r w:rsidRPr="00832F7C" w:rsidR="00475EDA">
        <w:rPr>
          <w:noProof/>
        </w:rPr>
        <w:t xml:space="preserve">(Greenwald et al., 2003; Hussey et al., 2015; although for issues with </w:t>
      </w:r>
      <w:r w:rsidRPr="00832F7C" w:rsidR="00475EDA">
        <w:rPr>
          <w:i/>
          <w:iCs/>
          <w:noProof/>
        </w:rPr>
        <w:t>D</w:t>
      </w:r>
      <w:r w:rsidRPr="00832F7C" w:rsidR="00475EDA">
        <w:rPr>
          <w:noProof/>
        </w:rPr>
        <w:t xml:space="preserve"> and a more robust alternative see De Schryver et al., 2018)</w:t>
      </w:r>
      <w:r w:rsidRPr="00832F7C" w:rsidR="00982F6A">
        <w:fldChar w:fldCharType="end"/>
      </w:r>
      <w:r w:rsidRPr="00832F7C" w:rsidR="00F80EE3">
        <w:t xml:space="preserve"> to quantify the IRAP effect: the relative speed at which participants emit one pattern of relational responses relative to the other. This </w:t>
      </w:r>
      <w:r w:rsidRPr="00832F7C" w:rsidR="00D2188C">
        <w:t>effect is sometimes used as a metric of (relational) implicit attitudes or beliefs and at other times is used in the study of the dynamics of relational responding</w:t>
      </w:r>
      <w:r w:rsidRPr="00832F7C" w:rsidR="00DF0C5A">
        <w:t xml:space="preserve">. </w:t>
      </w:r>
    </w:p>
    <w:p w:rsidR="00C842F7" w:rsidRPr="00832F7C" w:rsidP="00D77465" w14:paraId="5C1A794E" w14:textId="651147EE">
      <w:r w:rsidRPr="00832F7C">
        <w:t xml:space="preserve">Vahey et al.’s </w:t>
      </w:r>
      <w:r w:rsidRPr="00832F7C">
        <w:fldChar w:fldCharType="begin"/>
      </w:r>
      <w:r w:rsidRPr="00832F7C">
        <w:instrText xml:space="preserve"> ADDIN ZOTERO_ITEM CSL_CITATION {"citationID":"e3PmKru9","properties":{"formattedCitation":"(2015)","plainCitation":"(2015)","noteIndex":0},"citationItems":[{"id":1617,"uris":["http://zotero.org/users/1687755/items/4SHQ9XKM"],"itemData":{"id":1617,"type":"article-journal","abstract":"AbstractBackground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Pr="00832F7C">
        <w:fldChar w:fldCharType="separate"/>
      </w:r>
      <w:r w:rsidRPr="00832F7C">
        <w:t>(2015)</w:t>
      </w:r>
      <w:r w:rsidRPr="00832F7C">
        <w:fldChar w:fldCharType="end"/>
      </w:r>
      <w:r w:rsidRPr="00832F7C" w:rsidR="000D2430">
        <w:t xml:space="preserve"> meta-analysis concluded that </w:t>
      </w:r>
      <w:r w:rsidRPr="00832F7C" w:rsidR="007F3475">
        <w:t xml:space="preserve">the IRAP </w:t>
      </w:r>
      <w:r w:rsidRPr="00832F7C" w:rsidR="000D2430">
        <w:t xml:space="preserve">possesses good </w:t>
      </w:r>
      <w:r w:rsidRPr="00832F7C" w:rsidR="007F3475">
        <w:t xml:space="preserve">clinical </w:t>
      </w:r>
      <w:r w:rsidRPr="00832F7C" w:rsidR="000D2430">
        <w:t xml:space="preserve">criterion validity </w:t>
      </w:r>
      <w:r w:rsidRPr="00832F7C">
        <w:t xml:space="preserve">and that </w:t>
      </w:r>
      <w:r w:rsidRPr="00832F7C" w:rsidR="007F3475">
        <w:t xml:space="preserve">results </w:t>
      </w:r>
      <w:r w:rsidRPr="00832F7C" w:rsidR="00150CC4">
        <w:t>“</w:t>
      </w:r>
      <w:r w:rsidRPr="00832F7C" w:rsidR="00457274">
        <w:t>demonstrates the potential of the IRAP as a tool for clinical assessment”</w:t>
      </w:r>
      <w:r w:rsidRPr="00832F7C" w:rsidR="00150CC4">
        <w:t xml:space="preserve"> (p. 64)</w:t>
      </w:r>
      <w:r w:rsidRPr="00832F7C">
        <w:t xml:space="preserve">. </w:t>
      </w:r>
      <w:r w:rsidRPr="00832F7C" w:rsidR="008513BA">
        <w:t>Based on a non-systematic review</w:t>
      </w:r>
      <w:r w:rsidRPr="00832F7C" w:rsidR="0038777F">
        <w:t xml:space="preserve"> followed by a meta-analysis</w:t>
      </w:r>
      <w:r w:rsidRPr="00832F7C" w:rsidR="008513BA">
        <w:t>, th</w:t>
      </w:r>
      <w:r w:rsidRPr="00832F7C" w:rsidR="00702047">
        <w:t>ose</w:t>
      </w:r>
      <w:r w:rsidRPr="00832F7C" w:rsidR="008513BA">
        <w:t xml:space="preserve"> </w:t>
      </w:r>
      <w:r w:rsidRPr="00832F7C" w:rsidR="008513BA">
        <w:t xml:space="preserve">authors </w:t>
      </w:r>
      <w:r w:rsidRPr="00832F7C" w:rsidR="000D2430">
        <w:t xml:space="preserve">(a) provided an estimate of the association between IRAP effects and clinically relevant criterion variables, (b) reported that the IRAP compares </w:t>
      </w:r>
      <w:r w:rsidRPr="00832F7C" w:rsidR="00EB7476">
        <w:t>favorably</w:t>
      </w:r>
      <w:r w:rsidRPr="00832F7C" w:rsidR="000D2430">
        <w:t xml:space="preserve"> to other popular implicit measures, including the Implicit Association Test </w:t>
      </w:r>
      <w:r w:rsidRPr="00832F7C" w:rsidR="000D2430">
        <w:fldChar w:fldCharType="begin"/>
      </w:r>
      <w:r w:rsidRPr="00832F7C" w:rsidR="007C23EB">
        <w:instrText xml:space="preserve"> ADDIN ZOTERO_ITEM CSL_CITATION {"citationID":"ZUfIn3Nj","properties":{"formattedCitation":"(Greenwald et al., 1998)","plainCitation":"(Greenwald et al., 1998)","noteIndex":0},"citationItems":[{"id":1469,"uris":["http://zotero.org/users/1687755/items/DAREVDNK"],"itemData":{"id":1469,"type":"article-journal","abstract":"An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Pr="00832F7C" w:rsidR="000D2430">
        <w:fldChar w:fldCharType="separate"/>
      </w:r>
      <w:r w:rsidRPr="00832F7C" w:rsidR="000D2430">
        <w:t>(Greenwald et al., 1998)</w:t>
      </w:r>
      <w:r w:rsidRPr="00832F7C" w:rsidR="000D2430">
        <w:fldChar w:fldCharType="end"/>
      </w:r>
      <w:r w:rsidRPr="00832F7C" w:rsidR="000D2430">
        <w:t>, and (c) used the</w:t>
      </w:r>
      <w:r w:rsidRPr="00832F7C" w:rsidR="00457274">
        <w:t>ir meta-</w:t>
      </w:r>
      <w:r w:rsidRPr="00832F7C" w:rsidR="00EB7476">
        <w:t>analyzed</w:t>
      </w:r>
      <w:r w:rsidRPr="00832F7C" w:rsidR="000D2430">
        <w:t xml:space="preserve"> estimate of effect size to conduct power analyses </w:t>
      </w:r>
      <w:r w:rsidRPr="00832F7C" w:rsidR="008425FE">
        <w:t xml:space="preserve">and </w:t>
      </w:r>
      <w:r w:rsidRPr="00832F7C" w:rsidR="000D2430">
        <w:t>make sample size recommendations for future research</w:t>
      </w:r>
      <w:r w:rsidRPr="00832F7C" w:rsidR="00802224">
        <w:t xml:space="preserve"> using the IRAP</w:t>
      </w:r>
      <w:r w:rsidRPr="00832F7C" w:rsidR="000D2430">
        <w:t>.</w:t>
      </w:r>
      <w:r w:rsidRPr="00832F7C">
        <w:t xml:space="preserve"> While there has been a subsequent debate about the degree to which the IRAP is or is not an “implicit” measure </w:t>
      </w:r>
      <w:r w:rsidRPr="00832F7C">
        <w:fldChar w:fldCharType="begin"/>
      </w:r>
      <w:r w:rsidRPr="00832F7C" w:rsidR="008D3041">
        <w:instrText xml:space="preserve"> ADDIN ZOTERO_ITEM CSL_CITATION {"citationID":"uSJLyHHf","properties":{"formattedCitation":"(Barnes-Holmes &amp; Harte, 2022a; Hussey, 2022)","plainCitation":"(Barnes-Holmes &amp; Harte, 2022a; Hussey, 2022)","noteIndex":0},"citationItems":[{"id":4707,"uris":["http://zotero.org/users/1687755/items/DJC2GMQM"],"itemData":{"id":4707,"type":"article-journal","abstract":"The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5223,"uris":["http://zotero.org/users/1687755/items/8AY5SY46"],"itemData":{"id":5223,"type":"article-journal","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recklessness.","container-title":"PsyArXiv","DOI":"10.31234/osf.io/qmg6s","language":"en-us","source":"OSF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Pr="00832F7C">
        <w:fldChar w:fldCharType="separate"/>
      </w:r>
      <w:r w:rsidRPr="00832F7C" w:rsidR="008D3041">
        <w:rPr>
          <w:noProof/>
        </w:rPr>
        <w:t>(Barnes-Holmes &amp; Harte, 2022a; Hussey, 2022)</w:t>
      </w:r>
      <w:r w:rsidRPr="00832F7C">
        <w:fldChar w:fldCharType="end"/>
      </w:r>
      <w:r w:rsidRPr="00832F7C">
        <w:t xml:space="preserve">, and indeed what the term even means </w:t>
      </w:r>
      <w:r w:rsidRPr="00832F7C">
        <w:fldChar w:fldCharType="begin"/>
      </w:r>
      <w:r w:rsidRPr="00832F7C">
        <w:instrText xml:space="preserve"> ADDIN ZOTERO_ITEM CSL_CITATION {"citationID":"wgbMLfX8","properties":{"unsorted":true,"formattedCitation":"(Corneille &amp; H\\uc0\\u252{}tter, 2020)","plainCitation":"(Corneille &amp; Hütter, 2020)","noteIndex":0},"citationItems":[{"id":428,"uris":["http://zotero.org/users/1687755/items/L3DDQX5Y"],"itemData":{"id":428,"type":"article-journal","abstract":"This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Research","title-short":"Implicit?","author":[{"family":"Corneille","given":"Olivier"},{"family":"Hütter","given":"Mandy"}],"issued":{"date-parts":[["2020",3,20]]}},"label":"page"}],"schema":"https://github.com/citation-style-language/schema/raw/master/csl-citation.json"} </w:instrText>
      </w:r>
      <w:r w:rsidRPr="00832F7C">
        <w:fldChar w:fldCharType="separate"/>
      </w:r>
      <w:r w:rsidRPr="00832F7C">
        <w:t>(Corneille &amp; Hütter, 2020)</w:t>
      </w:r>
      <w:r w:rsidRPr="00832F7C">
        <w:fldChar w:fldCharType="end"/>
      </w:r>
      <w:r w:rsidRPr="00832F7C">
        <w:t xml:space="preserve">, these debates are secondary to the fact that the IRAP, and tasks like it, are claimed to be valid measures of individual differences based on sources of evidence such as Vahey et al. (2015). </w:t>
      </w:r>
    </w:p>
    <w:p w:rsidR="001537F8" w:rsidRPr="00832F7C" w:rsidP="00D77465" w14:paraId="7EAC7E0C" w14:textId="77777777">
      <w:pPr>
        <w:pStyle w:val="Heading2"/>
      </w:pPr>
      <w:r w:rsidRPr="00832F7C">
        <w:t xml:space="preserve">Rationale for </w:t>
      </w:r>
      <w:r w:rsidRPr="00832F7C" w:rsidR="00223420">
        <w:t>verification</w:t>
      </w:r>
    </w:p>
    <w:p w:rsidR="00C9290D" w:rsidRPr="00832F7C" w:rsidP="00D77465" w14:paraId="3A6C94F6" w14:textId="1C82FF77">
      <w:r w:rsidRPr="00832F7C">
        <w:t>In addition to the meta-scientific utility of doing so discussed previously, t</w:t>
      </w:r>
      <w:r w:rsidRPr="00832F7C" w:rsidR="0093498C">
        <w:t xml:space="preserve">here are </w:t>
      </w:r>
      <w:r w:rsidRPr="00832F7C" w:rsidR="005924D8">
        <w:t xml:space="preserve">at least </w:t>
      </w:r>
      <w:r w:rsidRPr="00832F7C" w:rsidR="008A44AB">
        <w:t>four</w:t>
      </w:r>
      <w:r w:rsidRPr="00832F7C">
        <w:t xml:space="preserve"> </w:t>
      </w:r>
      <w:r w:rsidRPr="00832F7C" w:rsidR="00D96AB3">
        <w:t xml:space="preserve">rationales for performing a verification of </w:t>
      </w:r>
      <w:r w:rsidR="0014262C">
        <w:t xml:space="preserve">the results presented in </w:t>
      </w:r>
      <w:r w:rsidRPr="00832F7C" w:rsidR="00D96AB3">
        <w:t>Vahey et al. (201</w:t>
      </w:r>
      <w:r w:rsidRPr="00832F7C" w:rsidR="00500BC6">
        <w:t>5)</w:t>
      </w:r>
      <w:r w:rsidRPr="00832F7C" w:rsidR="00B80A9A">
        <w:t>.</w:t>
      </w:r>
      <w:r w:rsidRPr="00832F7C" w:rsidR="00500BC6">
        <w:t xml:space="preserve"> </w:t>
      </w:r>
      <w:r w:rsidRPr="00832F7C" w:rsidR="0001350A">
        <w:t xml:space="preserve">First, there is good a priori reason to believe that meta-analyses in general often contain non-replicable results. Lakens et al. </w:t>
      </w:r>
      <w:r w:rsidRPr="00832F7C" w:rsidR="0001350A">
        <w:fldChar w:fldCharType="begin"/>
      </w:r>
      <w:r w:rsidRPr="00832F7C" w:rsidR="007C23EB">
        <w:instrText xml:space="preserve"> ADDIN ZOTERO_ITEM CSL_CITATION {"citationID":"d6XNcoxQ","properties":{"formattedCitation":"(2017)","plainCitation":"(2017)","noteIndex":0},"citationItems":[{"id":4644,"uris":["http://zotero.org/users/1687755/items/IBB5XYVT"],"itemData":{"id":4644,"type":"report","abstract":"Meta-analyses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Pr="00832F7C" w:rsidR="0001350A">
        <w:fldChar w:fldCharType="separate"/>
      </w:r>
      <w:r w:rsidRPr="00832F7C" w:rsidR="0001350A">
        <w:t>(2017)</w:t>
      </w:r>
      <w:r w:rsidRPr="00832F7C" w:rsidR="0001350A">
        <w:fldChar w:fldCharType="end"/>
      </w:r>
      <w:r w:rsidRPr="00832F7C" w:rsidR="0001350A">
        <w:t xml:space="preserve"> recently demonstrated that the results of the majority of a random sample of meta-analyses published in psychology cannot be </w:t>
      </w:r>
      <w:r w:rsidRPr="00832F7C" w:rsidR="00A658AD">
        <w:t xml:space="preserve">computationally </w:t>
      </w:r>
      <w:r w:rsidRPr="00832F7C" w:rsidR="0001350A">
        <w:t>reproduced</w:t>
      </w:r>
      <w:r w:rsidRPr="00832F7C" w:rsidR="00B67C69">
        <w:t xml:space="preserve">, </w:t>
      </w:r>
      <w:r w:rsidRPr="00832F7C" w:rsidR="00104D58">
        <w:t>often because of differences in individual effect sizes between those reported in meta-analyses and those reproduced from the original studies</w:t>
      </w:r>
      <w:r w:rsidRPr="00832F7C" w:rsidR="0001350A">
        <w:t xml:space="preserve">. </w:t>
      </w:r>
      <w:r w:rsidRPr="00832F7C" w:rsidR="00104D58">
        <w:t xml:space="preserve">Similarly, </w:t>
      </w:r>
      <w:r w:rsidRPr="00832F7C" w:rsidR="0001350A">
        <w:t xml:space="preserve">Maassen et al. </w:t>
      </w:r>
      <w:r w:rsidRPr="00832F7C" w:rsidR="0001350A">
        <w:fldChar w:fldCharType="begin"/>
      </w:r>
      <w:r w:rsidRPr="00832F7C" w:rsidR="007C23EB">
        <w:instrText xml:space="preserve"> ADDIN ZOTERO_ITEM CSL_CITATION {"citationID":"4Iu1pdzi","properties":{"formattedCitation":"(2020)","plainCitation":"(2020)","noteIndex":0},"citationItems":[{"id":4654,"uris":["http://zotero.org/users/1687755/items/WUWAGAGT"],"itemData":{"id":4654,"type":"article-journal","abstract":"To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Pr="00832F7C" w:rsidR="0001350A">
        <w:fldChar w:fldCharType="separate"/>
      </w:r>
      <w:r w:rsidRPr="00832F7C" w:rsidR="0001350A">
        <w:t>(2020)</w:t>
      </w:r>
      <w:r w:rsidRPr="00832F7C" w:rsidR="0001350A">
        <w:fldChar w:fldCharType="end"/>
      </w:r>
      <w:r w:rsidRPr="00832F7C" w:rsidR="0001350A">
        <w:t xml:space="preserve"> found that almost half of </w:t>
      </w:r>
      <w:r w:rsidRPr="00832F7C" w:rsidR="00B67C69">
        <w:t xml:space="preserve">the individual </w:t>
      </w:r>
      <w:r w:rsidRPr="00832F7C" w:rsidR="0001350A">
        <w:t xml:space="preserve">effect sizes reported in meta-analyses of psychology research could not be reproduced from the original articles. This was attributed to to a variety of issues </w:t>
      </w:r>
      <w:r w:rsidRPr="00832F7C" w:rsidR="006379D2">
        <w:t xml:space="preserve">including </w:t>
      </w:r>
      <w:r w:rsidRPr="00832F7C" w:rsidR="0001350A">
        <w:t xml:space="preserve">errors in the extraction of effect sizes from original studies, insufficient details regarding data processing and transformation of effect sizes, </w:t>
      </w:r>
      <w:r w:rsidRPr="00832F7C" w:rsidR="006379D2">
        <w:t xml:space="preserve">and </w:t>
      </w:r>
      <w:r w:rsidRPr="00832F7C" w:rsidR="0001350A">
        <w:t>insufficient details of the specific meta-analytic approach employed.</w:t>
      </w:r>
      <w:r w:rsidRPr="00832F7C" w:rsidR="00620486">
        <w:t xml:space="preserve"> </w:t>
      </w:r>
      <w:r w:rsidRPr="00832F7C" w:rsidR="007A688D">
        <w:t>Comparable errors in meta-analyses have also been reported by others</w:t>
      </w:r>
      <w:r w:rsidRPr="00832F7C" w:rsidR="003221C9">
        <w:t xml:space="preserve"> </w:t>
      </w:r>
      <w:r w:rsidRPr="00832F7C" w:rsidR="003221C9">
        <w:fldChar w:fldCharType="begin"/>
      </w:r>
      <w:r w:rsidRPr="00832F7C" w:rsidR="003221C9">
        <w:instrText xml:space="preserve"> ADDIN ZOTERO_ITEM CSL_CITATION {"citationID":"Y8syCoG7","properties":{"formattedCitation":"(e.g., Kadlec et al., 2023; Lakens et al., 2017)","plainCitation":"(e.g., Kadlec et al., 2023; Lakens et al., 2017)","noteIndex":0},"citationItems":[{"id":54,"uris":["http://zotero.org/users/1687755/items/WWKVT2EA"],"itemData":{"id":54,"type":"article-journal","abstract":"Meta-analysis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M."}],"accessed":{"date-parts":[["2020",6,17]]},"issued":{"date-parts":[["2017",3,31]]}}}],"schema":"https://github.com/citation-style-language/schema/raw/master/csl-citation.json"} </w:instrText>
      </w:r>
      <w:r w:rsidRPr="00832F7C" w:rsidR="003221C9">
        <w:fldChar w:fldCharType="separate"/>
      </w:r>
      <w:r w:rsidRPr="00832F7C" w:rsidR="003221C9">
        <w:t>(e.g., Kadlec et al., 2023; Lakens et al., 2017)</w:t>
      </w:r>
      <w:r w:rsidRPr="00832F7C" w:rsidR="003221C9">
        <w:fldChar w:fldCharType="end"/>
      </w:r>
      <w:r w:rsidRPr="00832F7C" w:rsidR="003221C9">
        <w:t>.</w:t>
      </w:r>
    </w:p>
    <w:p w:rsidR="00167923" w:rsidRPr="00832F7C" w:rsidP="00D77465" w14:paraId="729B6BEB" w14:textId="1B92C7EB">
      <w:r w:rsidRPr="00832F7C">
        <w:t xml:space="preserve">Second, </w:t>
      </w:r>
      <w:r w:rsidRPr="00832F7C" w:rsidR="00A22623">
        <w:t>Vahey et al. (2015) has been well-cited and used to guide subsequent work</w:t>
      </w:r>
      <w:r w:rsidRPr="00832F7C" w:rsidR="00166356">
        <w:t>.</w:t>
      </w:r>
      <w:r w:rsidRPr="00832F7C" w:rsidR="00A22623">
        <w:t xml:space="preserve"> </w:t>
      </w:r>
      <w:r w:rsidRPr="00832F7C" w:rsidR="00166356">
        <w:t>A</w:t>
      </w:r>
      <w:r w:rsidRPr="00832F7C" w:rsidR="00A22623">
        <w:t>t the time of writing</w:t>
      </w:r>
      <w:r w:rsidRPr="00832F7C" w:rsidR="00612B35">
        <w:t xml:space="preserve"> in </w:t>
      </w:r>
      <w:r w:rsidRPr="00832F7C" w:rsidR="00D77465">
        <w:t>August</w:t>
      </w:r>
      <w:r w:rsidRPr="00832F7C" w:rsidR="00612B35">
        <w:t xml:space="preserve"> 2024</w:t>
      </w:r>
      <w:r w:rsidRPr="00832F7C" w:rsidR="000954F4">
        <w:t>,</w:t>
      </w:r>
      <w:r w:rsidRPr="00832F7C" w:rsidR="00A22623">
        <w:t xml:space="preserve"> it has been cited </w:t>
      </w:r>
      <w:r w:rsidRPr="00832F7C" w:rsidR="00D17707">
        <w:t>1</w:t>
      </w:r>
      <w:r w:rsidRPr="00832F7C" w:rsidR="00F57646">
        <w:t>4</w:t>
      </w:r>
      <w:r w:rsidRPr="00832F7C" w:rsidR="00D77465">
        <w:t>7</w:t>
      </w:r>
      <w:r w:rsidRPr="00832F7C" w:rsidR="00A22623">
        <w:t xml:space="preserve"> times </w:t>
      </w:r>
      <w:r w:rsidRPr="00832F7C" w:rsidR="00F57646">
        <w:t xml:space="preserve">on Google Scholar, </w:t>
      </w:r>
      <w:r w:rsidRPr="00832F7C" w:rsidR="00A22623">
        <w:t xml:space="preserve">with </w:t>
      </w:r>
      <w:r w:rsidRPr="00832F7C" w:rsidR="00E500EE">
        <w:t xml:space="preserve">many </w:t>
      </w:r>
      <w:r w:rsidRPr="00832F7C" w:rsidR="00A22623">
        <w:t>articles citing it to justify sample size decisions</w:t>
      </w:r>
      <w:r w:rsidRPr="00832F7C" w:rsidR="00AE586D">
        <w:t xml:space="preserve"> in lieu of a power analysis</w:t>
      </w:r>
      <w:r w:rsidRPr="00832F7C" w:rsidR="008D0E58">
        <w:t xml:space="preserve"> for that study</w:t>
      </w:r>
      <w:r w:rsidRPr="00832F7C" w:rsidR="00486207">
        <w:t xml:space="preserve"> </w:t>
      </w:r>
      <w:r w:rsidRPr="00832F7C" w:rsidR="00486207">
        <w:fldChar w:fldCharType="begin"/>
      </w:r>
      <w:r w:rsidRPr="00832F7C" w:rsidR="00486207">
        <w:instrText xml:space="preserve"> ADDIN ZOTERO_ITEM CSL_CITATION {"citationID":"mGDC8f6k","properties":{"formattedCitation":"(e.g., Bast &amp; Barnes-Holmes, 2015; Farrell &amp; McHugh, 2017; Leech et al., 2018; Maloney &amp; Barnes-Holmes, 2016; Power et al., 2017; see supplementary materials for supporting quotes from each)","plainCitation":"(e.g., Bast &amp; Barnes-Holmes, 2015; Farrell &amp; McHugh, 2017; Leech et al., 2018; Maloney &amp; Barnes-Holmes, 2016; Power et al., 2017; see supplementary materials for supporting quotes from each)","noteIndex":0},"citationItems":[{"id":1177,"uris":["http://zotero.org/users/1687755/items/RVQ722GQ"],"itemData":{"id":1177,"type":"article-journal","abstract":"This study aimed to develop the Implicit Relational Assessment Procedure (IRAP) as a measure of response biases related to emotional reactions and expected outcomes in the context of minor failings and successes in everyday life. Additionally, the research explored the extent to which such implicit reactions were related to standardized measures of psychopathology, including depression, anxiety, stress, and a scale that was based directly on the IRAP. Sixty undergraduates completed two IRAPs and the explicit measures. The pattern of biases observed across the implicit and explicit measures diverged, and the correlations between the two types of measures were either absent or relatively weak. The results suggest that implicit measures may provide an additional source of information concerning self-forgiveness beyond that provided by explicit self-report measures per se.","container-title":"The Psychological Record","DOI":"10.1007/s40732-014-0100-5","ISSN":"0033-2933, 2163-3452","issue":"1","journalAbbreviation":"Psychol Rec","language":"en","page":"189-201","source":"link-springer-com.jproxy.nuim.ie","title":"Developing the Implicit Relational Assessment Procedure (IRAP) as a Measure of Self-Forgiveness Related to Failing and Succeeding Behaviors","volume":"65","author":[{"family":"Bast","given":"Diana Ferroni"},{"family":"Barnes-Holmes","given":"Dermot"}],"issued":{"date-parts":[["2015",3,1]]}},"label":"page","prefix":"e.g., "},{"id":1194,"uris":["http://zotero.org/users/1687755/items/HSW29RXH"],"itemData":{"id":1194,"type":"article-journal","abstract":"Women remain under-represented in the fields of Science, Technology, Engineering and Maths (STEM), constituting only 28% of science researchers worldwide. Research has identified implicit gender-bias as a major barrier to women's progression in these fields. Previous research using the Implicit Association Test (IAT) suggests that individuals studying or working in STEM fields exhibit different levels of implicit male-STEM bias than those in non-STEM fields. The Implicit Relational Assessment Procedure (IRAP), a non-relative measure, was compared with the IAT which allowed us to probe this difference further among STEM and non-STEM students. The IRAP revealed a more detailed and complex picture of gender-STEM bias. All groups demonstrated a significant implicit pro-male-STEM bias. However, there was also evidence of a pro-female-STEM bias, significant only among female STEM students. A number of correlations were observed between the explicit measure and the IRAP. The presence of a pro-female-STEM bias has implications for the development of interventions. If this relational response can become more normative it may influence attitudes and behavior towards women in STEM.","container-title":"Journal of Contextual Behavioral Science","DOI":"10.1016/j.jcbs.2017.02.001","ISSN":"2212-1447","issue":"1","journalAbbreviation":"Journal of Contextual Behavioral Science","page":"80-90","source":"ScienceDirect","title":"Examining gender-STEM bias among STEM and non-STEM students using the Implicit Relational Assessment Procedure (IRAP)","volume":"6","author":[{"family":"Farrell","given":"Lynn"},{"family":"McHugh","given":"Louise"}],"issued":{"date-parts":[["2017",1,1]]}}},{"id":4856,"uris":["http://zotero.org/users/1687755/items/U6UXDJM8"],"itemData":{"id":4856,"type":"article-journal","abstract":"Experiment 1 aimed to establish 'fearful' and 'pleasant' functions for arbitrary stimuli (geometric shapes) by relating those stimuli to pictures of spiders and pets using a training version of the Implicit Relational Assessment Procedure (IRAP). The transformation of these functions for the arbitrary stimuli was assessed by exposing participants to a ‘traditional’ version of the IRAP, the Fear-IRAP employed by Leech et al. (2016, 2017). A broadly similar pattern of response biases was recorded for the Fear-IRAP as had been observed in the previously published studies. Experiment 1 thus supported the assumed but untested assumption that the relational context provided by the IRAP may both serve to establish and reveal fear-related response biases in arbitrary stimuli. A second experiment attempted to replicate the effects observed in Experiment 1 but using pictures of ‘unfamiliar’ Australian marsupials as arbitrary stimuli. The pattern of results obtained in Experiment 2 failed to replicate the pattern observed in Experiment 1, or that reported in the previously published studies by Leech et al. Overall, the findings suggest a possibly important boundary condition for the IRAP as a training and/or testing context for establishing fear-related response biases for arbitrary stimuli. (PsycINFO Database Record (c) 2019 APA, all rights reserved)","archive_location":"2018-59135-006","container-title":"Behavioural Processes","DOI":"10.1016/j.beproc.2018.08.012","ISSN":"0376-6357","journalAbbreviation":"Behavioural Processes","note":"publisher: Elsevier Science","page":"24-35","title":"Training and testing for a transformation of fear and avoidance functions using the Implicit Relational Assessment Procedure: The first study","volume":"157","author":[{"family":"Leech","given":"Aileen"},{"family":"Bouyrden","given":"Jaber"},{"family":"Bruijsten","given":"Nathalie"},{"family":"Barnes-Holmes","given":"Dermot"},{"family":"McEnteggart","given":"Ciara"}],"issued":{"date-parts":[["2018",12]]}}},{"id":1174,"uris":["http://zotero.org/users/1687755/items/7LQSWMIZ"],"itemData":{"id":1174,"type":"article-journal","abstract":"The current study examined the role of relational contextual cues (Crels) versus relational coherence indicators (RCIs) as response options in the implicit relational assessment procedure (IRAP). Fifty-two university undergraduate participants successfully completed two consecutive IRAPs. Both IRAPs were similar except for the response options employed. The Crels similar and different served as response options for one IRAP with the RCIs true and false as response options for the other. The order in which the two different IRAPs were completed was counterbalanced across participants. Although the two types of response options yielded similar effects for the participants’ first exposures to the IRAPs, differences emerged during the second exposures. In addition, one of the four trial types from the IRAP appeared to be particularly sensitive to the Crel–RCI manipulation and the order in which the two types of IRAP blocks were presented (consistent-first versus inconsistent-first with natural verbal relations). The findings highlight the complex behavioral dynamics that may be involved in IRAP performances and suggest that even seemingly trivial components of the procedure require systematic analysis.","container-title":"The Psychological Record","DOI":"10.1007/s40732-016-0180-5","ISSN":"0033-2933, 2163-3452","issue":"3","journalAbbreviation":"Psychol Rec","language":"en","page":"395-403","source":"link-springer-com.jproxy.nuim.ie","title":"Exploring the Behavioral Dynamics of the Implicit Relational Assessment Procedure: The Role of Relational Contextual Cues Versus Relational Coherence Indicators as Response Options","title-short":"Exploring the Behavioral Dynamics of the Implicit Relational Assessment Procedure","volume":"66","author":[{"family":"Maloney","given":"Emma"},{"family":"Barnes-Holmes","given":"Dermot"}],"issued":{"date-parts":[["2016",9,1]]}}},{"id":1189,"uris":["http://zotero.org/users/1687755/items/UI8JFNU4"],"itemData":{"id":1189,"type":"article-journal","abstract":"The present study examined levels of racial bias among black and white individuals residing in Ireland using the Implicit Relational Assessment Procedure (IRAP) and a range of questionnaire measures. The IRAP required participants to respond quickly and accurately on a computer-based task. On some blocks of trials participants were required to respond in a pro-white and anti-black manner, whereas on other blocks responding in the opposite direction was required (anti-white/pro-black). The difference in response latencies between these two types of trials provided an index of racial bias. Performance on the IRAP (i) revealed in-group/out-group bias for the white but not the black participants; (ii) substantively increased the predictive validity of a range of questionnaire-based measures; and (iii) provided the best prediction of racial group. The results support the utility of the IRAP as a measure of racial bias, and indicate that this bias differed between black and white Irish residents.","container-title":"The Psychological Record","DOI":"10.1007/s40732-017-0223-6","ISSN":"0033-2933, 2163-3452","issue":"3","journalAbbreviation":"Psychol Rec","language":"en","page":"365-375","source":"link-springer-com.jproxy.nuim.ie","title":"Exploring Racial Bias in a European Country with a Recent History of Immigration of Black Africans","volume":"67","author":[{"family":"Power","given":"Patricia M."},{"family":"Harte","given":"Colin"},{"family":"Barnes-Holmes","given":"Dermot"},{"family":"Barnes-Holmes","given":"Yvonne"}],"issued":{"date-parts":[["2017",9,1]]}},"label":"page","suffix":"; see supplementary materials for supporting quotes from each"}],"schema":"https://github.com/citation-style-language/schema/raw/master/csl-citation.json"} </w:instrText>
      </w:r>
      <w:r w:rsidRPr="00832F7C" w:rsidR="00486207">
        <w:fldChar w:fldCharType="separate"/>
      </w:r>
      <w:r w:rsidRPr="00832F7C" w:rsidR="00486207">
        <w:rPr>
          <w:noProof/>
        </w:rPr>
        <w:t>(e.g., Bast &amp; Barnes-Holmes, 2015; Farrell &amp; McHugh, 2017; Leech et al., 2018; Maloney &amp; Barnes-Holmes, 2016; Power et al., 2017; see supplementary materials for supporting quotes from each)</w:t>
      </w:r>
      <w:r w:rsidRPr="00832F7C" w:rsidR="00486207">
        <w:fldChar w:fldCharType="end"/>
      </w:r>
      <w:r w:rsidRPr="00832F7C" w:rsidR="00A22623">
        <w:t>.</w:t>
      </w:r>
      <w:r w:rsidRPr="00832F7C" w:rsidR="007453D1">
        <w:t xml:space="preserve"> Studies employing the</w:t>
      </w:r>
      <w:r w:rsidRPr="00832F7C" w:rsidR="00A22623">
        <w:t xml:space="preserve"> IRAP have typically involved small sample sizes</w:t>
      </w:r>
      <w:r w:rsidRPr="00832F7C" w:rsidR="00494EFE">
        <w:t xml:space="preserve"> of around 40 </w:t>
      </w:r>
      <w:r w:rsidRPr="00832F7C" w:rsidR="00A50703">
        <w:t xml:space="preserve">participants. </w:t>
      </w:r>
      <w:r w:rsidRPr="00832F7C" w:rsidR="0009015C">
        <w:t>T</w:t>
      </w:r>
      <w:r w:rsidRPr="00832F7C" w:rsidR="00A50703">
        <w:t xml:space="preserve">his </w:t>
      </w:r>
      <w:r w:rsidRPr="00832F7C" w:rsidR="00347726">
        <w:t xml:space="preserve">is </w:t>
      </w:r>
      <w:r w:rsidRPr="00832F7C" w:rsidR="0009015C">
        <w:t xml:space="preserve">frequently argued to be </w:t>
      </w:r>
      <w:r w:rsidRPr="00832F7C" w:rsidR="00347726">
        <w:t xml:space="preserve">acceptable because it </w:t>
      </w:r>
      <w:r w:rsidRPr="00832F7C" w:rsidR="004D304F">
        <w:t xml:space="preserve">is in line with </w:t>
      </w:r>
      <w:r w:rsidR="004A542F">
        <w:t xml:space="preserve">the </w:t>
      </w:r>
      <w:r w:rsidRPr="00832F7C" w:rsidR="00A22623">
        <w:t>sample size recommendation</w:t>
      </w:r>
      <w:r w:rsidR="004A542F">
        <w:t xml:space="preserve"> presented in </w:t>
      </w:r>
      <w:r w:rsidRPr="00832F7C" w:rsidR="004A542F">
        <w:t>Vahey et al. (2015)</w:t>
      </w:r>
      <w:r w:rsidRPr="00832F7C" w:rsidR="002F1558">
        <w:t xml:space="preserve">: “a sample size of at least </w:t>
      </w:r>
      <w:r w:rsidRPr="00832F7C" w:rsidR="002F1558">
        <w:rPr>
          <w:i/>
          <w:iCs/>
        </w:rPr>
        <w:t>N</w:t>
      </w:r>
      <w:r w:rsidRPr="00832F7C" w:rsidR="002F1558">
        <w:t xml:space="preserve"> = 37 would be required in order to achieve a statistical power of .80 when testing a continuous first-order correlation between a </w:t>
      </w:r>
      <w:r w:rsidRPr="00832F7C" w:rsidR="002F1558">
        <w:t>clinically-focused</w:t>
      </w:r>
      <w:r w:rsidRPr="00832F7C" w:rsidR="002F1558">
        <w:t xml:space="preserve"> IRAP effect and a given criterion variable” (p. 63).</w:t>
      </w:r>
      <w:r w:rsidRPr="00832F7C" w:rsidR="00126622">
        <w:t xml:space="preserve"> </w:t>
      </w:r>
      <w:r w:rsidRPr="00832F7C" w:rsidR="004A475C">
        <w:t xml:space="preserve">Kavanagh et al. </w:t>
      </w:r>
      <w:r w:rsidRPr="00832F7C" w:rsidR="003D3B8B">
        <w:fldChar w:fldCharType="begin"/>
      </w:r>
      <w:r w:rsidRPr="00832F7C" w:rsidR="007C23EB">
        <w:instrText xml:space="preserve"> ADDIN ZOTERO_ITEM CSL_CITATION {"citationID":"Q4hgQrQ2","properties":{"formattedCitation":"(2022, p. 528)","plainCitation":"(2022, p. 528)","noteIndex":0},"citationItems":[{"id":5058,"uris":["http://zotero.org/users/1687755/items/8I8Y45WZ"],"itemData":{"id":5058,"type":"article-journal","abstract":"Cognitive perspective-taking research has primarily been conducted under the rubric of theory of mind (ToM), with the core skill believed to involve the correct attribution of mental states to oneself and others as a means of explaining and predicting behavior. Relational frame theory (RFT) has provided a behavioral account of performances on true and false belief protocols by appealing to the three perspective-taking (deictic) relations. The current research sought to investigate the relative strength of cognitive perspective-taking abilities within the context of a false belief vignette and related IRAP. Experiment 1 investigated the impact of block order presentation and vignette stimuli order on IRAP performances. That is, across four conditions, rule order presentations (i.e., vignette consistent vs. vignette inconsistent) and vignette stimuli presentation were manipulated. Results indicated that vignette consistent responding was observed to varying degrees across conditions. To decrease this variability across conditions, Experiment 2 presented a vignette before each block of trials but again the IRAP showed only limited sensitivity to the vignette. The current findings and considerations for future research are discussed in terms of a recently published conceptual analysis of false belief by Kavanagh et al. (2020).","container-title":"The Psychological Record","DOI":"10.1007/s40732-021-00500-y","ISSN":"2163-3452","issue":"4","journalAbbreviation":"Psychol Rec","language":"en","page":"525-549","source":"Springer Link","title":"Attempting to Analyze Perspective-Taking with a False Belief Vignette Using the Implicit Relational Assessment Procedure","volume":"72","author":[{"family":"Kavanagh","given":"Deirdre"},{"family":"Barnes-Holmes","given":"Yvonne"},{"family":"Barnes-Holmes","given":"Dermot"}],"issued":{"date-parts":[["2022",12,1]]}},"label":"page","suppress-author":true,"suffix":", p. 528"}],"schema":"https://github.com/citation-style-language/schema/raw/master/csl-citation.json"} </w:instrText>
      </w:r>
      <w:r w:rsidRPr="00832F7C" w:rsidR="003D3B8B">
        <w:fldChar w:fldCharType="separate"/>
      </w:r>
      <w:r w:rsidRPr="00832F7C" w:rsidR="003D3B8B">
        <w:rPr>
          <w:noProof/>
        </w:rPr>
        <w:t>(2022, p. 528)</w:t>
      </w:r>
      <w:r w:rsidRPr="00832F7C" w:rsidR="003D3B8B">
        <w:fldChar w:fldCharType="end"/>
      </w:r>
      <w:r w:rsidRPr="00832F7C" w:rsidR="00A22623">
        <w:t xml:space="preserve"> provide</w:t>
      </w:r>
      <w:r w:rsidRPr="00832F7C" w:rsidR="009B4B75">
        <w:t>d</w:t>
      </w:r>
      <w:r w:rsidRPr="00832F7C" w:rsidR="00A22623">
        <w:t xml:space="preserve"> a particularly clear characterization of the </w:t>
      </w:r>
      <w:r w:rsidRPr="00832F7C" w:rsidR="00FF422B">
        <w:t xml:space="preserve">ongoing </w:t>
      </w:r>
      <w:r w:rsidRPr="00832F7C" w:rsidR="00A22623">
        <w:t xml:space="preserve">importance of Vahey et al. </w:t>
      </w:r>
      <w:r w:rsidRPr="00832F7C" w:rsidR="00A22623">
        <w:fldChar w:fldCharType="begin"/>
      </w:r>
      <w:r w:rsidRPr="00832F7C" w:rsidR="007C23EB">
        <w:instrText xml:space="preserve"> ADDIN ZOTERO_ITEM CSL_CITATION {"citationID":"Oq85LjsQ","properties":{"formattedCitation":"(2015)","plainCitation":"(2015)","noteIndex":0},"citationItems":[{"id":1617,"uris":["http://zotero.org/users/1687755/items/4SHQ9XKM"],"itemData":{"id":1617,"type":"article-journal","abstract":"AbstractBackground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832F7C" w:rsidR="00A22623">
        <w:fldChar w:fldCharType="separate"/>
      </w:r>
      <w:r w:rsidRPr="00832F7C" w:rsidR="00A22623">
        <w:t>(2015)</w:t>
      </w:r>
      <w:r w:rsidRPr="00832F7C" w:rsidR="00A22623">
        <w:fldChar w:fldCharType="end"/>
      </w:r>
      <w:r w:rsidRPr="00832F7C" w:rsidR="00A22623">
        <w:t xml:space="preserve"> for </w:t>
      </w:r>
      <w:r w:rsidRPr="00832F7C" w:rsidR="00CA1794">
        <w:t xml:space="preserve">practices in </w:t>
      </w:r>
      <w:r w:rsidRPr="00832F7C" w:rsidR="00A22623">
        <w:t xml:space="preserve">the broader IRAP literature: </w:t>
      </w:r>
      <w:r w:rsidRPr="00832F7C" w:rsidR="009C05C1">
        <w:t xml:space="preserve">“The general strategy for recruiting numbers of participants was guided by the results of a recent meta-analysis of IRAP effects in the clinical domain, indicating that a minimum of 29 is required to achieve a power of 0.8 for first-order correlations (Vahey et al., 2015).” </w:t>
      </w:r>
      <w:r w:rsidRPr="00832F7C" w:rsidR="00A22623">
        <w:t xml:space="preserve">Given that </w:t>
      </w:r>
      <w:r w:rsidRPr="00832F7C" w:rsidR="005B1640">
        <w:t xml:space="preserve">research </w:t>
      </w:r>
      <w:r w:rsidRPr="00832F7C" w:rsidR="00A22623">
        <w:t>continue</w:t>
      </w:r>
      <w:r w:rsidRPr="00832F7C" w:rsidR="005B1640">
        <w:t>s</w:t>
      </w:r>
      <w:r w:rsidRPr="00832F7C" w:rsidR="00A22623">
        <w:t xml:space="preserve"> to rely on the conclusions of </w:t>
      </w:r>
      <w:r w:rsidR="00967B72">
        <w:t xml:space="preserve">the </w:t>
      </w:r>
      <w:r w:rsidRPr="00832F7C" w:rsidR="00A22623">
        <w:t xml:space="preserve">Vahey et al. </w:t>
      </w:r>
      <w:r w:rsidRPr="00832F7C" w:rsidR="00A22623">
        <w:fldChar w:fldCharType="begin"/>
      </w:r>
      <w:r w:rsidRPr="00832F7C" w:rsidR="007C23EB">
        <w:instrText xml:space="preserve"> ADDIN ZOTERO_ITEM CSL_CITATION {"citationID":"JPEuisyd","properties":{"formattedCitation":"(2015)","plainCitation":"(2015)","noteIndex":0},"citationItems":[{"id":1617,"uris":["http://zotero.org/users/1687755/items/4SHQ9XKM"],"itemData":{"id":1617,"type":"article-journal","abstract":"AbstractBackground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832F7C" w:rsidR="00A22623">
        <w:fldChar w:fldCharType="separate"/>
      </w:r>
      <w:r w:rsidRPr="00832F7C" w:rsidR="00A22623">
        <w:t>(2015)</w:t>
      </w:r>
      <w:r w:rsidRPr="00832F7C" w:rsidR="00A22623">
        <w:fldChar w:fldCharType="end"/>
      </w:r>
      <w:r w:rsidRPr="00832F7C" w:rsidR="00A22623">
        <w:t xml:space="preserve"> meta-analysis, </w:t>
      </w:r>
      <w:r w:rsidRPr="00832F7C" w:rsidR="00945F4B">
        <w:t xml:space="preserve">and that meta-analyses in general have been shown to have poor computational reproducibility, </w:t>
      </w:r>
      <w:r w:rsidRPr="00832F7C" w:rsidR="00A22623">
        <w:t xml:space="preserve">it is therefore </w:t>
      </w:r>
      <w:r w:rsidRPr="00832F7C" w:rsidR="00842324">
        <w:t>useful</w:t>
      </w:r>
      <w:r w:rsidRPr="00832F7C" w:rsidR="008B007D">
        <w:t xml:space="preserve"> </w:t>
      </w:r>
      <w:r w:rsidRPr="00832F7C" w:rsidR="00842324">
        <w:t xml:space="preserve">to verify </w:t>
      </w:r>
      <w:r w:rsidR="00967B72">
        <w:t xml:space="preserve">the results presented in </w:t>
      </w:r>
      <w:r w:rsidRPr="00832F7C" w:rsidR="00ED5CE9">
        <w:t>Vahey et al. (2015)</w:t>
      </w:r>
      <w:r w:rsidRPr="00832F7C" w:rsidR="00A22623">
        <w:t xml:space="preserve">. </w:t>
      </w:r>
    </w:p>
    <w:p w:rsidR="00663892" w:rsidRPr="00832F7C" w:rsidP="00D77465" w14:paraId="3021EFC0" w14:textId="5BC17A84">
      <w:r w:rsidRPr="00832F7C">
        <w:t xml:space="preserve">Third, Vahey et al. (2015) may have been modest when they reported that </w:t>
      </w:r>
      <w:r w:rsidR="00665A62">
        <w:t>the</w:t>
      </w:r>
      <w:r w:rsidRPr="00832F7C">
        <w:t xml:space="preserve"> results imply the IRAP compares “</w:t>
      </w:r>
      <w:r w:rsidRPr="00832F7C">
        <w:t>favorably</w:t>
      </w:r>
      <w:r w:rsidRPr="00832F7C">
        <w:t xml:space="preserve">” with other implicit measures. In fact, Vahey et al.’s (2015) reported meta-analytic effect size of </w:t>
      </w:r>
      <m:oMath>
        <m:acc>
          <m:accPr>
            <m:chr m:val="̅"/>
            <m:ctrlPr>
              <w:rPr>
                <w:rFonts w:ascii="Cambria Math" w:hAnsi="Cambria Math"/>
                <w:i/>
              </w:rPr>
            </m:ctrlPr>
          </m:accPr>
          <m:e>
            <m:r>
              <w:rPr>
                <w:rFonts w:ascii="Cambria Math" w:hAnsi="Cambria Math"/>
              </w:rPr>
              <m:t>r</m:t>
            </m:r>
          </m:e>
        </m:acc>
      </m:oMath>
      <w:r w:rsidRPr="00832F7C">
        <w:t xml:space="preserve"> = .46 would place it in &gt;90</w:t>
      </w:r>
      <w:r w:rsidRPr="00832F7C">
        <w:rPr>
          <w:vertAlign w:val="superscript"/>
        </w:rPr>
        <w:t>th</w:t>
      </w:r>
      <w:r w:rsidRPr="00832F7C">
        <w:t xml:space="preserve"> percentile of all meta-analytic effect sizes reported in psychology (Richard et al., 2003). Given that the IRAP is a reaction-time-based measure, which and such measures are inherently prone to noise and therefore poor reliability (as I discuss in the next section), the original result implies that the </w:t>
      </w:r>
      <w:r w:rsidRPr="00832F7C">
        <w:t xml:space="preserve">IRAP is a truly remarkable measure to be able to correlate so highly with a range of clinical criterion measures. </w:t>
      </w:r>
      <w:r w:rsidRPr="00832F7C">
        <w:t>Or,</w:t>
      </w:r>
      <w:r w:rsidRPr="00832F7C">
        <w:t xml:space="preserve"> something is amiss with </w:t>
      </w:r>
      <w:r w:rsidRPr="00832F7C" w:rsidR="00F94C14">
        <w:t xml:space="preserve">the results reported in </w:t>
      </w:r>
      <w:r w:rsidRPr="00832F7C">
        <w:t>Vahey et al. (2015).</w:t>
      </w:r>
    </w:p>
    <w:p w:rsidR="00663892" w:rsidRPr="00832F7C" w:rsidP="00D77465" w14:paraId="20F75405" w14:textId="77777777">
      <w:r w:rsidRPr="00832F7C">
        <w:t xml:space="preserve">Fourth, in light of estimates of the IRAP’s low reliability </w:t>
      </w:r>
      <w:r w:rsidRPr="00832F7C">
        <w:fldChar w:fldCharType="begin"/>
      </w:r>
      <w:r w:rsidRPr="00832F7C">
        <w:instrText xml:space="preserve"> ADDIN ZOTERO_ITEM CSL_CITATION {"citationID":"s2E40MRn","properties":{"formattedCitation":"(Hussey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Pr="00832F7C">
        <w:fldChar w:fldCharType="separate"/>
      </w:r>
      <w:r w:rsidRPr="00832F7C">
        <w:rPr>
          <w:noProof/>
        </w:rPr>
        <w:t>(Hussey &amp; Drake, 2020)</w:t>
      </w:r>
      <w:r w:rsidRPr="00832F7C">
        <w:fldChar w:fldCharType="end"/>
      </w:r>
      <w:r w:rsidRPr="00832F7C">
        <w:t xml:space="preserve">, there is good reason to believe that Vahey et al.’s (2015) meta-analytic estimate of </w:t>
      </w:r>
      <m:oMath>
        <m:acc>
          <m:accPr>
            <m:chr m:val="̅"/>
            <m:ctrlPr>
              <w:rPr>
                <w:rFonts w:ascii="Cambria Math" w:hAnsi="Cambria Math"/>
                <w:i/>
              </w:rPr>
            </m:ctrlPr>
          </m:accPr>
          <m:e>
            <m:r>
              <w:rPr>
                <w:rFonts w:ascii="Cambria Math" w:hAnsi="Cambria Math"/>
              </w:rPr>
              <m:t>r</m:t>
            </m:r>
          </m:e>
        </m:acc>
      </m:oMath>
      <w:r w:rsidRPr="00832F7C">
        <w:t xml:space="preserve"> = .45 is implausibly large. According to classical test theory, a measure's reliability refers to the proportion of the variance that is caused by the construct rather than noise </w:t>
      </w:r>
      <w:r w:rsidRPr="00832F7C">
        <w:fldChar w:fldCharType="begin"/>
      </w:r>
      <w:r w:rsidRPr="00832F7C">
        <w:instrText xml:space="preserve"> ADDIN ZOTERO_ITEM CSL_CITATION {"citationID":"OCVbfAsv","properties":{"formattedCitation":"(Allen &amp; Yen, 2002, p.73)","plainCitation":"(Allen &amp; Yen, 2002, p.73)","noteIndex":0},"citationItems":[{"id":5085,"uris":["http://zotero.org/users/1687755/items/WC4LA7X6"],"itemData":{"id":5085,"type":"book","publisher":"Waveland Press","title":"Introduction to measurement theory","author":[{"family":"Allen","given":"Mary J"},{"family":"Yen","given":"Wendy M"}],"issued":{"date-parts":[["2002"]]}},"label":"page","suffix":", p.73"}],"schema":"https://github.com/citation-style-language/schema/raw/master/csl-citation.json"} </w:instrText>
      </w:r>
      <w:r w:rsidRPr="00832F7C">
        <w:fldChar w:fldCharType="separate"/>
      </w:r>
      <w:r w:rsidRPr="00832F7C">
        <w:rPr>
          <w:noProof/>
        </w:rPr>
        <w:t>(Allen &amp; Yen, 2002, p.73)</w:t>
      </w:r>
      <w:r w:rsidRPr="00832F7C">
        <w:fldChar w:fldCharType="end"/>
      </w:r>
      <w:r w:rsidRPr="00832F7C">
        <w:t xml:space="preserve">. As such, reliability places a limit on the mean observable associations between scores on any two measures: the less reliably the two variables are measured, the lower the observable correlation between the two variables. The observed correlation between two measures </w:t>
      </w:r>
      <m:oMath>
        <m:r>
          <w:rPr>
            <w:rFonts w:ascii="Cambria Math" w:hAnsi="Cambria Math"/>
          </w:rPr>
          <m:t>x</m:t>
        </m:r>
      </m:oMath>
      <w:r w:rsidRPr="00832F7C">
        <w:t xml:space="preserve"> and </w:t>
      </w:r>
      <m:oMath>
        <m:r>
          <w:rPr>
            <w:rFonts w:ascii="Cambria Math" w:hAnsi="Cambria Math"/>
          </w:rPr>
          <m:t>y</m:t>
        </m:r>
      </m:oMath>
      <w:r w:rsidRPr="00832F7C">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observed</m:t>
            </m:r>
          </m:sup>
        </m:sSubSup>
      </m:oMath>
      <w:r w:rsidRPr="00832F7C">
        <w:t>) is a function of the true correlation between the variables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832F7C">
        <w:t xml:space="preserve">) and the reliability of both measures (their self-correlation </w:t>
      </w:r>
      <m:oMath>
        <m:sSub>
          <m:sSubPr>
            <m:ctrlPr>
              <w:rPr>
                <w:rFonts w:ascii="Cambria Math" w:hAnsi="Cambria Math"/>
                <w:i/>
              </w:rPr>
            </m:ctrlPr>
          </m:sSubPr>
          <m:e>
            <m:r>
              <w:rPr>
                <w:rFonts w:ascii="Cambria Math" w:hAnsi="Cambria Math"/>
              </w:rPr>
              <m:t>r</m:t>
            </m:r>
          </m:e>
          <m:sub>
            <m:r>
              <w:rPr>
                <w:rFonts w:ascii="Cambria Math" w:hAnsi="Cambria Math"/>
              </w:rPr>
              <m:t>xx</m:t>
            </m:r>
          </m:sub>
        </m:sSub>
      </m:oMath>
      <w:r w:rsidRPr="00832F7C">
        <w:t xml:space="preserve"> and </w:t>
      </w:r>
      <m:oMath>
        <m:sSub>
          <m:sSubPr>
            <m:ctrlPr>
              <w:rPr>
                <w:rFonts w:ascii="Cambria Math" w:hAnsi="Cambria Math"/>
                <w:i/>
              </w:rPr>
            </m:ctrlPr>
          </m:sSubPr>
          <m:e>
            <m:r>
              <w:rPr>
                <w:rFonts w:ascii="Cambria Math" w:hAnsi="Cambria Math"/>
              </w:rPr>
              <m:t>r</m:t>
            </m:r>
          </m:e>
          <m:sub>
            <m:r>
              <w:rPr>
                <w:rFonts w:ascii="Cambria Math" w:hAnsi="Cambria Math"/>
              </w:rPr>
              <m:t>yy</m:t>
            </m:r>
          </m:sub>
        </m:sSub>
      </m:oMath>
      <w:r w:rsidRPr="00832F7C">
        <w:t xml:space="preserve">). This can be quantified via </w:t>
      </w:r>
      <w:r w:rsidRPr="00832F7C">
        <w:rPr>
          <w:lang w:val="en-US"/>
        </w:rPr>
        <w:t xml:space="preserve">the Attenuation Formula derived from classical test theory </w:t>
      </w:r>
      <w:r w:rsidRPr="00832F7C">
        <w:fldChar w:fldCharType="begin"/>
      </w:r>
      <w:r w:rsidRPr="00832F7C">
        <w:instrText xml:space="preserve"> ADDIN ZOTERO_ITEM CSL_CITATION {"citationID":"TCI4P71m","properties":{"formattedCitation":"(Revelle, 2009, equation 7.3)","plainCitation":"(Revelle, 2009, equation 7.3)","noteIndex":0},"citationItems":[{"id":5064,"uris":["http://zotero.org/users/1687755/items/XQWU33J8"],"itemData":{"id":5064,"type":"book","publisher":"Springer Evanston, IL","title":"An introduction to psychometric theory with applications in R","URL":"https://www.personality-project.org/r/book/","author":[{"family":"Revelle","given":"William"}],"issued":{"date-parts":[["2009"]]}},"label":"page","suffix":", equation 7.3"}],"schema":"https://github.com/citation-style-language/schema/raw/master/csl-citation.json"} </w:instrText>
      </w:r>
      <w:r w:rsidRPr="00832F7C">
        <w:fldChar w:fldCharType="separate"/>
      </w:r>
      <w:r w:rsidRPr="00832F7C">
        <w:rPr>
          <w:noProof/>
        </w:rPr>
        <w:t>(Revelle, 2009, equation 7.3)</w:t>
      </w:r>
      <w:r w:rsidRPr="00832F7C">
        <w:fldChar w:fldCharType="end"/>
      </w:r>
      <w:r w:rsidRPr="00832F7C">
        <w:t>:</w:t>
      </w:r>
    </w:p>
    <w:p w:rsidR="00663892" w:rsidRPr="00832F7C" w:rsidP="00D77465" w14:paraId="4B5F114B" w14:textId="77777777"/>
    <w:p w:rsidR="00663892" w:rsidRPr="00832F7C" w:rsidP="00D77465" w14:paraId="19273D0B" w14:textId="77777777">
      <m:oMathPara>
        <m:oMath>
          <m:eqArr>
            <m:eqArrPr>
              <m:maxDist/>
              <m:ctrlPr>
                <w:rPr>
                  <w:rFonts w:ascii="Cambria Math" w:hAnsi="Cambria Math"/>
                </w:rPr>
              </m:ctrlPr>
            </m:eqArrPr>
            <m:e>
              <m:sSubSup>
                <m:sSubSupPr>
                  <m:ctrlPr>
                    <w:rPr>
                      <w:rFonts w:ascii="Cambria Math" w:hAnsi="Cambria Math"/>
                    </w:rPr>
                  </m:ctrlPr>
                </m:sSubSupPr>
                <m:e>
                  <m:r>
                    <w:rPr>
                      <w:rFonts w:ascii="Cambria Math" w:hAnsi="Cambria Math"/>
                    </w:rPr>
                    <m:t>r</m:t>
                  </m:r>
                </m:e>
                <m:sub>
                  <m:r>
                    <w:rPr>
                      <w:rFonts w:ascii="Cambria Math" w:hAnsi="Cambria Math"/>
                    </w:rPr>
                    <m:t>xy</m:t>
                  </m:r>
                </m:sub>
                <m:sup>
                  <m:r>
                    <w:rPr>
                      <w:rFonts w:ascii="Cambria Math" w:hAnsi="Cambria Math"/>
                    </w:rPr>
                    <m:t>true</m:t>
                  </m:r>
                </m:sup>
              </m:sSubSup>
              <m:r>
                <m:rPr>
                  <m:sty m:val="p"/>
                </m:rP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xy</m:t>
                      </m:r>
                    </m:sub>
                    <m:sup>
                      <m:r>
                        <w:rPr>
                          <w:rFonts w:ascii="Cambria Math" w:hAnsi="Cambria Math"/>
                        </w:rPr>
                        <m:t>observed</m:t>
                      </m:r>
                    </m:sup>
                  </m:sSubSup>
                </m:num>
                <m:den>
                  <m:rad>
                    <m:radPr>
                      <m:degHide/>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sub>
                      </m:sSub>
                      <m:sSub>
                        <m:sSubPr>
                          <m:ctrlPr>
                            <w:rPr>
                              <w:rFonts w:ascii="Cambria Math" w:hAnsi="Cambria Math"/>
                            </w:rPr>
                          </m:ctrlPr>
                        </m:sSubPr>
                        <m:e>
                          <m:r>
                            <w:rPr>
                              <w:rFonts w:ascii="Cambria Math" w:hAnsi="Cambria Math"/>
                            </w:rPr>
                            <m:t>r</m:t>
                          </m:r>
                        </m:e>
                        <m:sub>
                          <m:r>
                            <w:rPr>
                              <w:rFonts w:ascii="Cambria Math" w:hAnsi="Cambria Math"/>
                            </w:rPr>
                            <m:t>yy</m:t>
                          </m:r>
                        </m:sub>
                      </m:sSub>
                    </m:e>
                  </m:rad>
                </m:den>
              </m:f>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e>
          </m:eqArr>
        </m:oMath>
      </m:oMathPara>
    </w:p>
    <w:p w:rsidR="00663892" w:rsidRPr="00832F7C" w:rsidP="00D77465" w14:paraId="115D9DD3" w14:textId="77777777"/>
    <w:p w:rsidR="00663892" w:rsidRPr="00832F7C" w:rsidP="00D77465" w14:paraId="4F7C5E6D" w14:textId="141EC677">
      <w:r w:rsidRPr="00832F7C">
        <w:t xml:space="preserve">Two of the variables in Equation 1 already have empirical estimates. First, </w:t>
      </w:r>
      <w:r w:rsidRPr="00832F7C" w:rsidR="0082157D">
        <w:t xml:space="preserve">Vahey et al. (2015) </w:t>
      </w:r>
      <w:r w:rsidR="0082157D">
        <w:t xml:space="preserve">reported an </w:t>
      </w:r>
      <w:r w:rsidRPr="00832F7C">
        <w:t xml:space="preserve">estimate of the </w:t>
      </w:r>
      <w:r w:rsidR="0082157D">
        <w:t xml:space="preserve">average </w:t>
      </w:r>
      <w:r w:rsidRPr="00832F7C">
        <w:t>observed correlation between the IRAP and criterion variables</w:t>
      </w:r>
      <w:r w:rsidR="00D955A3">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832F7C">
        <w:t xml:space="preserve"> = .45. Second, estimates of the IRAP’s reliability have been provided by a recent meta-analysis. At the trial-type level (i.e., the method of scoring IRAP as four scores that proponents of the task typically recommend), both internal consistency (</w:t>
      </w:r>
      <m:oMath>
        <m:r>
          <m:rPr>
            <m:sty m:val="p"/>
          </m:rPr>
          <w:rPr>
            <w:rFonts w:ascii="Cambria Math" w:hAnsi="Cambria Math"/>
          </w:rPr>
          <m:t>α</m:t>
        </m:r>
      </m:oMath>
      <w:r w:rsidRPr="00832F7C">
        <w:t xml:space="preserve"> </w:t>
      </w:r>
      <w:r w:rsidRPr="00832F7C">
        <w:t>= .27) and test-retest (ICC</w:t>
      </w:r>
      <w:r w:rsidRPr="00832F7C">
        <w:rPr>
          <w:vertAlign w:val="subscript"/>
        </w:rPr>
        <w:t>2</w:t>
      </w:r>
      <w:r w:rsidRPr="00832F7C">
        <w:t xml:space="preserve"> = .18) are extremely low </w:t>
      </w:r>
      <w:r w:rsidRPr="00832F7C">
        <w:fldChar w:fldCharType="begin"/>
      </w:r>
      <w:r w:rsidRPr="00832F7C">
        <w:instrText xml:space="preserve"> ADDIN ZOTERO_ITEM CSL_CITATION {"citationID":"19vSLMPh","properties":{"formattedCitation":"(Hussey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Pr="00832F7C">
        <w:fldChar w:fldCharType="separate"/>
      </w:r>
      <w:r w:rsidRPr="00832F7C">
        <w:rPr>
          <w:noProof/>
        </w:rPr>
        <w:t>(Hussey &amp; Drake, 2020)</w:t>
      </w:r>
      <w:r w:rsidRPr="00832F7C">
        <w:fldChar w:fldCharType="end"/>
      </w:r>
      <w:r w:rsidRPr="00832F7C">
        <w:t>.</w:t>
      </w:r>
      <w:r>
        <w:rPr>
          <w:rStyle w:val="FootnoteReference"/>
        </w:rPr>
        <w:footnoteReference w:id="2"/>
      </w:r>
      <w:r w:rsidRPr="00832F7C">
        <w:t xml:space="preserve"> This leaves two remaining variables, the IRAP’s criterion validity after adjusting for measurement error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832F7C">
        <w:t>) and the criterion tasks’ mean reliability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Pr="00832F7C">
        <w:t xml:space="preserve">). </w:t>
      </w:r>
      <w:r w:rsidRPr="00832F7C">
        <w:t>Both of these</w:t>
      </w:r>
      <w:r w:rsidRPr="00832F7C">
        <w:t xml:space="preserve"> variables share the same constraint: as correlations, their value cannot be below -1 or above 1. For the moment, if we assume that the criterion tasks’ mean reliability is very good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Pr="00832F7C">
        <w:t xml:space="preserve"> = 0.90)</w:t>
      </w:r>
      <w:r w:rsidR="00C42A74">
        <w:t>, t</w:t>
      </w:r>
      <w:r w:rsidRPr="00832F7C">
        <w:t xml:space="preserve">his would imply that the lower limit of the IRAP’s true criterion validity after adjusting for measurement error is somewhere between (a) implausibly high,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832F7C">
        <w:t xml:space="preserve"> = .91 (when using the estimate of internal consistency), and (b) mathematically impossible,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832F7C">
        <w:t xml:space="preserve"> = 1.12 (when using the estimate of test-retest reliability). Using lower and arguably more plausible values for the mean reliability of the criterion tasks produces even higher estimates for the true correlation, making both values impossible (i.e., when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Pr="00832F7C">
        <w:t xml:space="preserve"> = .70,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832F7C">
        <w:t xml:space="preserve"> = 1.04 or 1.27 respectively). </w:t>
      </w:r>
    </w:p>
    <w:p w:rsidR="00663892" w:rsidRPr="00832F7C" w:rsidP="00D77465" w14:paraId="2AB7AB4F" w14:textId="13E78FE0">
      <w:r w:rsidRPr="00832F7C">
        <w:t xml:space="preserve">Given that these estimates range between highly implausible and impossible, something appears to be amiss. Either </w:t>
      </w:r>
      <w:r w:rsidR="002A735B">
        <w:t xml:space="preserve">the </w:t>
      </w:r>
      <w:r w:rsidRPr="00832F7C">
        <w:t xml:space="preserve">estimate of average criterion associations </w:t>
      </w:r>
      <w:r w:rsidR="002A735B">
        <w:t xml:space="preserve">reported in </w:t>
      </w:r>
      <w:r w:rsidRPr="00832F7C" w:rsidR="002A735B">
        <w:t xml:space="preserve">Vahey et al. (2015) </w:t>
      </w:r>
      <w:r w:rsidRPr="00832F7C">
        <w:t>is somewhere between highly implausible and mathematically impossible given the IRAP</w:t>
      </w:r>
      <w:r w:rsidR="002A735B">
        <w:t>’</w:t>
      </w:r>
      <w:r w:rsidRPr="00832F7C">
        <w:t xml:space="preserve">s reliability (i.e., assuming Hussey &amp; Drake 2020 are right about the IRAP’s reliability), or Hussey &amp; Drake's (2020) estimates of the IRAP's average reliability is implausibly low given the IRAP's high criterion validity (i.e., assuming Vahey et al., 2015, are right about the IRAP’s criterion validity). Ultimately it will be up to the </w:t>
      </w:r>
      <w:r w:rsidRPr="00832F7C">
        <w:t xml:space="preserve">research community to determine whether </w:t>
      </w:r>
      <w:r w:rsidRPr="00832F7C" w:rsidR="00C3403D">
        <w:t>the</w:t>
      </w:r>
      <w:r w:rsidRPr="00832F7C">
        <w:t xml:space="preserve"> analyses in Hussey &amp; Drake (2020) are sound</w:t>
      </w:r>
      <w:r w:rsidRPr="00832F7C" w:rsidR="004D761B">
        <w:t xml:space="preserve">. </w:t>
      </w:r>
      <w:r w:rsidRPr="00832F7C" w:rsidR="004D761B">
        <w:rPr>
          <w:highlight w:val="yellow"/>
        </w:rPr>
        <w:t>[BLINDED FOR PEER REVIEW]</w:t>
      </w:r>
    </w:p>
    <w:p w:rsidR="00663892" w:rsidRPr="00832F7C" w:rsidP="00D77465" w14:paraId="6333CFFC" w14:textId="77777777">
      <w:pPr>
        <w:pStyle w:val="Heading1"/>
      </w:pPr>
      <w:r w:rsidRPr="00832F7C">
        <w:t>Method &amp; Results</w:t>
      </w:r>
    </w:p>
    <w:p w:rsidR="00663892" w:rsidRPr="00832F7C" w:rsidP="00053DFD" w14:paraId="1957DD92" w14:textId="4FF51426">
      <w:r w:rsidRPr="00832F7C">
        <w:t xml:space="preserve">Vahey et al. (2015) reported the steps in their analyses in the conventional order: they identified effect sizes in the original article, applied inclusion and exclusion criteria, extracted them, converted them to Pearson’s </w:t>
      </w:r>
      <w:r w:rsidRPr="00832F7C">
        <w:rPr>
          <w:i/>
          <w:iCs/>
        </w:rPr>
        <w:t>r</w:t>
      </w:r>
      <w:r w:rsidRPr="00832F7C">
        <w:t xml:space="preserve">, averaged them when multiple effect sizes came from a given study, fit a meta-analysis model, and performed a power analysis on the meta-effect size to guide sample size determination in future studies. Attempts to verify these steps for this article were conducted and reported here in reverse order. Subsequently, I report a new meta-analysis and power analysis using the re-extracted individual effect sizes. </w:t>
      </w:r>
    </w:p>
    <w:p w:rsidR="00C2715D" w:rsidP="00E0687A" w14:paraId="2A27586A" w14:textId="77777777">
      <w:pPr>
        <w:pStyle w:val="Heading2"/>
      </w:pPr>
      <w:r w:rsidRPr="00832F7C">
        <w:t>Transparency statement</w:t>
      </w:r>
    </w:p>
    <w:p w:rsidR="00C2715D" w:rsidP="00C2715D" w14:paraId="02940B6F" w14:textId="529202B1">
      <w:r w:rsidRPr="00832F7C">
        <w:t xml:space="preserve">All data, code, and formulae (e.g., to convert effect sizes) to reproduce the verification and extension analyses can be found in the supplementary materials (see </w:t>
      </w:r>
      <w:r w:rsidRPr="00832F7C">
        <w:rPr>
          <w:highlight w:val="yellow"/>
        </w:rPr>
        <w:t>https://osf.io/jg8td/?view_only=b1ff22e706ac43188604bb5d08098925</w:t>
      </w:r>
      <w:r w:rsidRPr="00832F7C">
        <w:t xml:space="preserve">). </w:t>
      </w:r>
    </w:p>
    <w:p w:rsidR="001B7E88" w:rsidP="00E0687A" w14:paraId="54DE4984" w14:textId="5C00BE03">
      <w:pPr>
        <w:pStyle w:val="Heading2"/>
      </w:pPr>
      <w:r w:rsidRPr="006F3C03">
        <w:t>Correspondence</w:t>
      </w:r>
      <w:r w:rsidRPr="006A1F36">
        <w:rPr>
          <w:i/>
          <w:iCs/>
        </w:rPr>
        <w:t xml:space="preserve"> </w:t>
      </w:r>
      <w:r w:rsidR="00FD11FD">
        <w:t>and source of original code</w:t>
      </w:r>
    </w:p>
    <w:p w:rsidR="00AE2A45" w:rsidP="00AE2A45" w14:paraId="63AAE737" w14:textId="60D51F82">
      <w:r w:rsidRPr="00832F7C">
        <w:t xml:space="preserve">In the process of conducting this verification attempt, I contacted </w:t>
      </w:r>
      <w:r w:rsidR="005B7DB6">
        <w:t>Dr.</w:t>
      </w:r>
      <w:r w:rsidR="005B7DB6">
        <w:t xml:space="preserve"> Vahey as the</w:t>
      </w:r>
      <w:r w:rsidRPr="00832F7C">
        <w:t xml:space="preserve"> </w:t>
      </w:r>
      <w:r w:rsidR="003A4FEB">
        <w:t>first-and-</w:t>
      </w:r>
      <w:r w:rsidRPr="00832F7C">
        <w:t xml:space="preserve">corresponding author of Vahey et al. (2015) </w:t>
      </w:r>
      <w:r w:rsidR="00F779F0">
        <w:t xml:space="preserve">in April 2019 to </w:t>
      </w:r>
      <w:r w:rsidRPr="00832F7C">
        <w:t>request</w:t>
      </w:r>
      <w:r w:rsidR="00F779F0">
        <w:t xml:space="preserve"> </w:t>
      </w:r>
      <w:r w:rsidRPr="00832F7C">
        <w:t xml:space="preserve">that </w:t>
      </w:r>
      <w:r w:rsidR="005B7DB6">
        <w:t>he</w:t>
      </w:r>
      <w:r w:rsidRPr="00832F7C">
        <w:t xml:space="preserve"> share their code or further details of their analytic approach</w:t>
      </w:r>
      <w:r w:rsidR="00584845">
        <w:t xml:space="preserve">, on the basis that I had observed what appeared to be errors in the </w:t>
      </w:r>
      <w:r w:rsidR="0044103E">
        <w:t xml:space="preserve">reported </w:t>
      </w:r>
      <w:r w:rsidR="00584845">
        <w:t xml:space="preserve">results. </w:t>
      </w:r>
      <w:r w:rsidR="00CC58D1">
        <w:t>He</w:t>
      </w:r>
      <w:r w:rsidR="00F779F0">
        <w:t xml:space="preserve"> initially declined to do so on the basis that all code could be obtained from the supplementary materials associated with </w:t>
      </w:r>
      <w:r w:rsidR="0044103E">
        <w:t xml:space="preserve">the tutorial article they used (i.e., </w:t>
      </w:r>
      <w:r w:rsidR="006C36CA">
        <w:t>Field and Gillett</w:t>
      </w:r>
      <w:r w:rsidR="006C36CA">
        <w:t xml:space="preserve">, </w:t>
      </w:r>
      <w:r w:rsidRPr="00832F7C" w:rsidR="006C36CA">
        <w:t>2010)</w:t>
      </w:r>
      <w:r w:rsidR="00DF79F5">
        <w:t xml:space="preserve">, and it </w:t>
      </w:r>
      <w:r w:rsidRPr="00832F7C" w:rsidR="006C36CA">
        <w:t xml:space="preserve">should in principle be possible to reconstruct their analytic strategy and results from the code provided by </w:t>
      </w:r>
      <w:r w:rsidR="006C36CA">
        <w:t>Field and Gillett</w:t>
      </w:r>
      <w:r w:rsidRPr="00832F7C" w:rsidR="006C36CA">
        <w:t xml:space="preserve"> (2010)</w:t>
      </w:r>
      <w:r w:rsidR="00DF79F5">
        <w:t xml:space="preserve">. </w:t>
      </w:r>
      <w:r w:rsidR="00084912">
        <w:t xml:space="preserve">On the basis that I could not obtain the reported results using Field and Gillett’s scripts, I sent two further requests to </w:t>
      </w:r>
      <w:r w:rsidR="00CA28CF">
        <w:t>Dr.</w:t>
      </w:r>
      <w:r w:rsidR="00CA28CF">
        <w:t xml:space="preserve"> </w:t>
      </w:r>
      <w:r w:rsidR="00084912">
        <w:t>Vahey to send me the scripts they employed</w:t>
      </w:r>
      <w:r w:rsidR="009B3421">
        <w:t xml:space="preserve">. In both cases, </w:t>
      </w:r>
      <w:r w:rsidR="009B3421">
        <w:t>Dr.</w:t>
      </w:r>
      <w:r w:rsidR="009B3421">
        <w:t xml:space="preserve"> Vahey promised to share the code with me, but did </w:t>
      </w:r>
      <w:r w:rsidR="00084912">
        <w:t>not</w:t>
      </w:r>
      <w:r w:rsidR="009B3421">
        <w:t xml:space="preserve"> do so</w:t>
      </w:r>
      <w:r w:rsidR="00084912">
        <w:t xml:space="preserve">. </w:t>
      </w:r>
    </w:p>
    <w:p w:rsidR="004D7B8F" w:rsidP="00186B2A" w14:paraId="3DB1EB51" w14:textId="77777777">
      <w:r w:rsidRPr="00832F7C">
        <w:t xml:space="preserve">In July 2019, I shared a copy of an earlier version of these verification attempts with </w:t>
      </w:r>
      <w:r w:rsidR="00AA5254">
        <w:t>Dr.</w:t>
      </w:r>
      <w:r w:rsidR="00AA5254">
        <w:t xml:space="preserve"> Vahey</w:t>
      </w:r>
      <w:r w:rsidRPr="00832F7C">
        <w:t xml:space="preserve">, including code, data, and a set of slides outlining my concerns about the </w:t>
      </w:r>
      <w:r w:rsidR="00AE2A45">
        <w:t xml:space="preserve">results reported in Vahey et al. (2015). </w:t>
      </w:r>
      <w:r w:rsidR="00F109FA">
        <w:t xml:space="preserve">That month, I also presented these results at the Association for Contextual </w:t>
      </w:r>
      <w:r w:rsidR="00F109FA">
        <w:t>Behavioral</w:t>
      </w:r>
      <w:r w:rsidR="00F109FA">
        <w:t xml:space="preserve"> Science World Conference in Dublin. My presentation contained links to the public OSF URL for the project, which included all data and code to support my conclusions. The Supplementary Materials for this article on OSF (see Transparency Statement </w:t>
      </w:r>
      <w:r w:rsidR="00F75496">
        <w:t>above</w:t>
      </w:r>
      <w:r w:rsidR="00F109FA">
        <w:t xml:space="preserve">) contain a timestamped copy of that 2019 presentation. </w:t>
      </w:r>
      <w:r w:rsidR="00186B2A">
        <w:t>Dr.</w:t>
      </w:r>
      <w:r w:rsidR="00186B2A">
        <w:t xml:space="preserve"> Vahey et al. (2015) was a member of the audience at that talk, and we exchanged questions at the end. </w:t>
      </w:r>
    </w:p>
    <w:p w:rsidR="00790A58" w:rsidP="00845FB7" w14:paraId="7AA16A81" w14:textId="4C704B5A">
      <w:r>
        <w:t xml:space="preserve">I received no correspondence from </w:t>
      </w:r>
      <w:r w:rsidR="00186B2A">
        <w:t>Dr.</w:t>
      </w:r>
      <w:r w:rsidR="00186B2A">
        <w:t xml:space="preserve"> </w:t>
      </w:r>
      <w:r>
        <w:t xml:space="preserve">Vahey </w:t>
      </w:r>
      <w:r w:rsidR="00186B2A">
        <w:t xml:space="preserve">between then and </w:t>
      </w:r>
      <w:r w:rsidRPr="00832F7C" w:rsidR="00AE59AD">
        <w:t>August 2024</w:t>
      </w:r>
      <w:r w:rsidR="00186B2A">
        <w:t xml:space="preserve">, when </w:t>
      </w:r>
      <w:r w:rsidRPr="00832F7C" w:rsidR="00AE59AD">
        <w:t xml:space="preserve">I </w:t>
      </w:r>
      <w:r w:rsidR="00186B2A">
        <w:t xml:space="preserve">emailed him and the other authors of Vahey et al. (2015) </w:t>
      </w:r>
      <w:r w:rsidRPr="00832F7C" w:rsidR="00AE59AD">
        <w:t xml:space="preserve">a copy of </w:t>
      </w:r>
      <w:r w:rsidR="00186B2A">
        <w:t>an earlier draft of this</w:t>
      </w:r>
      <w:r w:rsidRPr="00832F7C" w:rsidR="00AE59AD">
        <w:t xml:space="preserve"> manuscript</w:t>
      </w:r>
      <w:r w:rsidR="00186B2A">
        <w:t xml:space="preserve"> and </w:t>
      </w:r>
      <w:r w:rsidRPr="00832F7C" w:rsidR="00AE59AD">
        <w:t>invited them to comment on the accuracy of the claims presented here</w:t>
      </w:r>
      <w:r w:rsidR="00186B2A">
        <w:t xml:space="preserve">. They </w:t>
      </w:r>
      <w:r w:rsidRPr="00832F7C" w:rsidR="00AE59AD">
        <w:t>declined</w:t>
      </w:r>
      <w:r w:rsidR="00186B2A">
        <w:t xml:space="preserve"> to do so</w:t>
      </w:r>
      <w:r w:rsidRPr="00832F7C" w:rsidR="00AE59AD">
        <w:t xml:space="preserve">. </w:t>
      </w:r>
      <w:r w:rsidRPr="00832F7C" w:rsidR="00AA412B">
        <w:t>No corrections of Vahey et al. (2015) have been issued at the time of writing (July 2024), and to the best of my knowledge, the authors of Vahey et al. (2015) have made no public statements about these concerns about the credibility of the article’s claims. Multiple years after I initially raised these concerns, the senior author of Vahey et al. (2015)</w:t>
      </w:r>
      <w:r w:rsidR="00C90655">
        <w:t>, Prof. Barnes-Holmes,</w:t>
      </w:r>
      <w:r w:rsidRPr="00832F7C" w:rsidR="00AA412B">
        <w:t xml:space="preserve"> has continued to cite the article </w:t>
      </w:r>
      <w:r w:rsidRPr="00832F7C" w:rsidR="00AA412B">
        <w:t>favorably</w:t>
      </w:r>
      <w:r w:rsidRPr="00832F7C" w:rsidR="00AA412B">
        <w:t xml:space="preserve"> as evidence for the IRAP</w:t>
      </w:r>
      <w:r w:rsidR="001A718B">
        <w:t>’</w:t>
      </w:r>
      <w:r w:rsidRPr="00832F7C" w:rsidR="00AA412B">
        <w:t xml:space="preserve">s validity </w:t>
      </w:r>
      <w:r w:rsidRPr="00832F7C" w:rsidR="00AA412B">
        <w:fldChar w:fldCharType="begin"/>
      </w:r>
      <w:r w:rsidRPr="00832F7C" w:rsidR="00AA412B">
        <w:instrText xml:space="preserve"> ADDIN ZOTERO_ITEM CSL_CITATION {"citationID":"5YxUkmqM","properties":{"formattedCitation":"(e.g., in Barnes-Holmes &amp; Harte, 2022a, 2022b)","plainCitation":"(e.g., in Barnes-Holmes &amp; Harte, 2022a, 2022b)","noteIndex":0},"citationItems":[{"id":4707,"uris":["http://zotero.org/users/1687755/items/DJC2GMQM"],"itemData":{"id":4707,"type":"article-journal","abstract":"The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Cognition","URL":"https://doi.org/10.1007/s40614-022-00352-z","author":[{"family":"Barnes-Holmes","given":"Dermot"},{"family":"Harte","given":"Colin"}],"accessed":{"date-parts":[["2022",8,2]]},"issued":{"date-parts":[["2022",7,29]]}},"label":"page","prefix":"e.g., in"},{"id":289,"uris":["http://zotero.org/users/1687755/items/QHEXTZI9"],"itemData":{"id":289,"type":"article-journal","abstract":"The seminal text on relational frame theory (RFT) was published 20 years ago and purported to offer a single overarching behavior-analytic account of human language and cognition. In the years thereafter, an increasing number of empirical and conceptual articles, book chapters in edited volumes, and whole volumes devoted to the account emerged. In recent years, RFT has experienced a period of intense empirical and conceptual development, facilitated in part by a research grant awarded by the Flanders Science Foundation, under its Odysseus program. This research program aimed to advance and extend the RFT account beyond the rendition presented in the seminal Hayes et al. (2001) volume. The current article aims to provide an overview of this research program, the empirical work and concepts it gave rise to, and their implications for an RFT account of human symbolic language and cognition. Overall, therefore, the article provides an account of relatively recent developments in RFT that extend beyond the 2001 volume and thus will, we hope, inform future research and critiques of the theory going forward.","container-title":"Journal of the Experimental Analysis of Behavior","DOI":"10.1002/jeab.733","ISSN":"0022-5002","issue":"2","language":"English","note":"publisher-place: 111 RIVER ST, HOBOKEN 07030-5774, NJ USA\npublisher: WILEY\ntype: Article","page":"240-266","title":"Relational frame theory 20 years on: The Odysseus voyage and beyond","volume":"117","author":[{"family":"Barnes-Holmes","given":"Dermot"},{"family":"Harte","given":"Colin"}],"issued":{"date-parts":[["2022",3]]}}}],"schema":"https://github.com/citation-style-language/schema/raw/master/csl-citation.json"} </w:instrText>
      </w:r>
      <w:r w:rsidRPr="00832F7C" w:rsidR="00AA412B">
        <w:fldChar w:fldCharType="separate"/>
      </w:r>
      <w:r w:rsidRPr="00832F7C" w:rsidR="00AA412B">
        <w:rPr>
          <w:noProof/>
        </w:rPr>
        <w:t>(e.g., in Barnes-Holmes &amp; Harte, 2022a, 2022b)</w:t>
      </w:r>
      <w:r w:rsidRPr="00832F7C" w:rsidR="00AA412B">
        <w:fldChar w:fldCharType="end"/>
      </w:r>
      <w:r>
        <w:t>.</w:t>
      </w:r>
    </w:p>
    <w:p w:rsidR="00790A58" w:rsidP="00501D81" w14:paraId="4959BC27" w14:textId="2BB9BEE5">
      <w:r>
        <w:t xml:space="preserve">In the absence of </w:t>
      </w:r>
      <w:r>
        <w:t>Dr.</w:t>
      </w:r>
      <w:r>
        <w:t xml:space="preserve"> Vahey sharing the code used for Vahey et al. (2015), the below verification attempts followed Dr. </w:t>
      </w:r>
      <w:r>
        <w:t>Vahey’s</w:t>
      </w:r>
      <w:r>
        <w:t xml:space="preserve"> instructions to employ the code associated with </w:t>
      </w:r>
      <w:r w:rsidRPr="005738D9">
        <w:t>Field and Gillett (2010)</w:t>
      </w:r>
      <w:r>
        <w:t xml:space="preserve"> that were available on Prof. Field’s website </w:t>
      </w:r>
      <w:r w:rsidRPr="005738D9">
        <w:t xml:space="preserve">(i.e., </w:t>
      </w:r>
      <w:hyperlink r:id="rId10" w:history="1">
        <w:r w:rsidRPr="005738D9">
          <w:rPr>
            <w:rStyle w:val="Hyperlink"/>
          </w:rPr>
          <w:t>https://www.discoveringstatistics.com/repository/fieldgillett/how_to_do_a_meta_analysis.html</w:t>
        </w:r>
      </w:hyperlink>
      <w:r w:rsidRPr="005738D9">
        <w:t>)</w:t>
      </w:r>
      <w:r>
        <w:t xml:space="preserve">. </w:t>
      </w:r>
      <w:r w:rsidR="00BB2693">
        <w:t xml:space="preserve">Later, I discuss the issues I encountered with this </w:t>
      </w:r>
      <w:r w:rsidR="00BB2693">
        <w:t>code</w:t>
      </w:r>
      <w:r w:rsidR="00BB2693">
        <w:t xml:space="preserve"> and it relates to the methods described in both Vahey et al. (2015) and Field &amp; Gillett (2010</w:t>
      </w:r>
      <w:r w:rsidR="00A97F55">
        <w:t>; see the “Implementation of the meta-analysis” section</w:t>
      </w:r>
      <w:r w:rsidR="00BB2693">
        <w:t>).</w:t>
      </w:r>
    </w:p>
    <w:p w:rsidR="00790A58" w:rsidRPr="00832F7C" w:rsidP="006C79DF" w14:paraId="5AEE4C0F" w14:textId="73B6E511">
      <w:pPr>
        <w:ind w:firstLine="0"/>
        <w:sectPr w:rsidSect="00AA412B">
          <w:type w:val="continuous"/>
          <w:pgSz w:w="11900" w:h="16840"/>
          <w:pgMar w:top="1440" w:right="1440" w:bottom="1440" w:left="1440" w:header="709" w:footer="709" w:gutter="0"/>
          <w:cols w:space="340"/>
          <w:docGrid w:linePitch="360"/>
        </w:sectPr>
      </w:pPr>
    </w:p>
    <w:p w:rsidR="00630DB3" w14:paraId="70A701AB" w14:textId="77777777">
      <w:pPr>
        <w:spacing w:line="240" w:lineRule="auto"/>
        <w:ind w:firstLine="0"/>
        <w:rPr>
          <w:b/>
          <w:bCs/>
        </w:rPr>
      </w:pPr>
      <w:r>
        <w:rPr>
          <w:b/>
          <w:bCs/>
        </w:rPr>
        <w:br w:type="page"/>
      </w:r>
    </w:p>
    <w:p w:rsidR="000967B0" w:rsidRPr="00832F7C" w:rsidP="00E0687A" w14:paraId="5FC7122C" w14:textId="32C2A7AA">
      <w:pPr>
        <w:ind w:firstLine="0"/>
        <w:rPr>
          <w:b/>
          <w:bCs/>
        </w:rPr>
      </w:pPr>
      <w:r w:rsidRPr="00832F7C">
        <w:rPr>
          <w:b/>
          <w:bCs/>
        </w:rPr>
        <w:t xml:space="preserve">Table 1. </w:t>
      </w:r>
      <w:r w:rsidRPr="00832F7C">
        <w:t>Verifications of power analyses for 80% power.</w:t>
      </w:r>
    </w:p>
    <w:tbl>
      <w:tblPr>
        <w:tblW w:w="8995" w:type="dxa"/>
        <w:jc w:val="center"/>
        <w:tblBorders>
          <w:top w:val="single" w:sz="4" w:space="0" w:color="auto"/>
        </w:tblBorders>
        <w:tblCellMar>
          <w:top w:w="15" w:type="dxa"/>
          <w:left w:w="15" w:type="dxa"/>
          <w:bottom w:w="15" w:type="dxa"/>
          <w:right w:w="15" w:type="dxa"/>
        </w:tblCellMar>
        <w:tblLook w:val="04A0"/>
      </w:tblPr>
      <w:tblGrid>
        <w:gridCol w:w="1980"/>
        <w:gridCol w:w="990"/>
        <w:gridCol w:w="2063"/>
        <w:gridCol w:w="626"/>
        <w:gridCol w:w="930"/>
        <w:gridCol w:w="898"/>
        <w:gridCol w:w="622"/>
        <w:gridCol w:w="886"/>
      </w:tblGrid>
      <w:tr w14:paraId="3170701E" w14:textId="77777777" w:rsidTr="00AE3B51">
        <w:tblPrEx>
          <w:tblW w:w="8995" w:type="dxa"/>
          <w:jc w:val="center"/>
          <w:tblBorders>
            <w:top w:val="single" w:sz="4" w:space="0" w:color="auto"/>
          </w:tblBorders>
          <w:tblCellMar>
            <w:top w:w="15" w:type="dxa"/>
            <w:left w:w="15" w:type="dxa"/>
            <w:bottom w:w="15" w:type="dxa"/>
            <w:right w:w="15" w:type="dxa"/>
          </w:tblCellMar>
          <w:tblLook w:val="04A0"/>
        </w:tblPrEx>
        <w:trPr>
          <w:tblHeader/>
          <w:jc w:val="center"/>
        </w:trPr>
        <w:tc>
          <w:tcPr>
            <w:tcW w:w="1980" w:type="dxa"/>
            <w:tcBorders>
              <w:bottom w:val="nil"/>
            </w:tcBorders>
            <w:shd w:val="clear" w:color="auto" w:fill="auto"/>
            <w:tcMar>
              <w:top w:w="0" w:type="dxa"/>
              <w:left w:w="75" w:type="dxa"/>
              <w:bottom w:w="0" w:type="dxa"/>
              <w:right w:w="75" w:type="dxa"/>
            </w:tcMar>
            <w:vAlign w:val="center"/>
          </w:tcPr>
          <w:p w:rsidR="00A30DBD" w:rsidRPr="00832F7C" w:rsidP="007742A5" w14:paraId="7311039D" w14:textId="77777777">
            <w:pPr>
              <w:pStyle w:val="table"/>
              <w:spacing w:line="240" w:lineRule="auto"/>
              <w:rPr>
                <w:sz w:val="24"/>
                <w:szCs w:val="24"/>
              </w:rPr>
            </w:pPr>
          </w:p>
        </w:tc>
        <w:tc>
          <w:tcPr>
            <w:tcW w:w="990" w:type="dxa"/>
            <w:tcBorders>
              <w:bottom w:val="nil"/>
            </w:tcBorders>
            <w:shd w:val="clear" w:color="auto" w:fill="auto"/>
            <w:tcMar>
              <w:top w:w="0" w:type="dxa"/>
              <w:left w:w="75" w:type="dxa"/>
              <w:bottom w:w="0" w:type="dxa"/>
              <w:right w:w="75" w:type="dxa"/>
            </w:tcMar>
            <w:vAlign w:val="center"/>
          </w:tcPr>
          <w:p w:rsidR="00A30DBD" w:rsidRPr="00832F7C" w:rsidP="007742A5" w14:paraId="6EC491DF" w14:textId="77777777">
            <w:pPr>
              <w:pStyle w:val="table"/>
              <w:spacing w:line="240" w:lineRule="auto"/>
              <w:rPr>
                <w:sz w:val="24"/>
                <w:szCs w:val="24"/>
              </w:rPr>
            </w:pPr>
          </w:p>
        </w:tc>
        <w:tc>
          <w:tcPr>
            <w:tcW w:w="2063" w:type="dxa"/>
            <w:tcBorders>
              <w:bottom w:val="nil"/>
            </w:tcBorders>
            <w:shd w:val="clear" w:color="auto" w:fill="auto"/>
            <w:tcMar>
              <w:top w:w="0" w:type="dxa"/>
              <w:left w:w="75" w:type="dxa"/>
              <w:bottom w:w="0" w:type="dxa"/>
              <w:right w:w="75" w:type="dxa"/>
            </w:tcMar>
            <w:vAlign w:val="center"/>
          </w:tcPr>
          <w:p w:rsidR="00A30DBD" w:rsidRPr="00832F7C" w:rsidP="007742A5" w14:paraId="061D112D" w14:textId="77777777">
            <w:pPr>
              <w:pStyle w:val="table"/>
              <w:spacing w:line="240" w:lineRule="auto"/>
              <w:rPr>
                <w:sz w:val="24"/>
                <w:szCs w:val="24"/>
              </w:rPr>
            </w:pPr>
          </w:p>
        </w:tc>
        <w:tc>
          <w:tcPr>
            <w:tcW w:w="1556" w:type="dxa"/>
            <w:gridSpan w:val="2"/>
            <w:tcBorders>
              <w:bottom w:val="single" w:sz="4" w:space="0" w:color="auto"/>
            </w:tcBorders>
            <w:shd w:val="clear" w:color="auto" w:fill="auto"/>
            <w:tcMar>
              <w:top w:w="0" w:type="dxa"/>
              <w:left w:w="75" w:type="dxa"/>
              <w:bottom w:w="0" w:type="dxa"/>
              <w:right w:w="75" w:type="dxa"/>
            </w:tcMar>
            <w:vAlign w:val="center"/>
          </w:tcPr>
          <w:p w:rsidR="00A30DBD" w:rsidRPr="00832F7C" w:rsidP="00AE3B51" w14:paraId="242893E3" w14:textId="0FAB2B71">
            <w:pPr>
              <w:pStyle w:val="table"/>
              <w:spacing w:line="240" w:lineRule="auto"/>
              <w:jc w:val="center"/>
              <w:rPr>
                <w:sz w:val="24"/>
                <w:szCs w:val="24"/>
              </w:rPr>
            </w:pPr>
            <w:r w:rsidRPr="00832F7C">
              <w:rPr>
                <w:sz w:val="24"/>
                <w:szCs w:val="24"/>
              </w:rPr>
              <w:t>Vahey et al. (2015)</w:t>
            </w:r>
          </w:p>
        </w:tc>
        <w:tc>
          <w:tcPr>
            <w:tcW w:w="898" w:type="dxa"/>
            <w:tcBorders>
              <w:bottom w:val="single" w:sz="4" w:space="0" w:color="auto"/>
            </w:tcBorders>
            <w:vAlign w:val="center"/>
          </w:tcPr>
          <w:p w:rsidR="00A30DBD" w:rsidRPr="00832F7C" w:rsidP="00AE3B51" w14:paraId="43BE2935" w14:textId="77777777">
            <w:pPr>
              <w:pStyle w:val="table"/>
              <w:spacing w:line="240" w:lineRule="auto"/>
              <w:jc w:val="center"/>
              <w:rPr>
                <w:sz w:val="24"/>
                <w:szCs w:val="24"/>
              </w:rPr>
            </w:pPr>
            <w:r w:rsidRPr="00832F7C">
              <w:rPr>
                <w:sz w:val="24"/>
                <w:szCs w:val="24"/>
              </w:rPr>
              <w:t>Verified</w:t>
            </w:r>
          </w:p>
        </w:tc>
        <w:tc>
          <w:tcPr>
            <w:tcW w:w="1508" w:type="dxa"/>
            <w:gridSpan w:val="2"/>
            <w:tcBorders>
              <w:bottom w:val="single" w:sz="4" w:space="0" w:color="auto"/>
            </w:tcBorders>
            <w:vAlign w:val="center"/>
          </w:tcPr>
          <w:p w:rsidR="00A30DBD" w:rsidRPr="00832F7C" w:rsidP="00AE3B51" w14:paraId="713FA381" w14:textId="77777777">
            <w:pPr>
              <w:pStyle w:val="table"/>
              <w:spacing w:line="240" w:lineRule="auto"/>
              <w:jc w:val="center"/>
              <w:rPr>
                <w:sz w:val="24"/>
                <w:szCs w:val="24"/>
              </w:rPr>
            </w:pPr>
            <w:r w:rsidRPr="00832F7C">
              <w:rPr>
                <w:sz w:val="24"/>
                <w:szCs w:val="24"/>
              </w:rPr>
              <w:t>New meta-analysis</w:t>
            </w:r>
          </w:p>
        </w:tc>
      </w:tr>
      <w:tr w14:paraId="4079C385" w14:textId="77777777" w:rsidTr="00AE3B51">
        <w:tblPrEx>
          <w:tblW w:w="8995" w:type="dxa"/>
          <w:jc w:val="center"/>
          <w:tblCellMar>
            <w:top w:w="15" w:type="dxa"/>
            <w:left w:w="15" w:type="dxa"/>
            <w:bottom w:w="15" w:type="dxa"/>
            <w:right w:w="15" w:type="dxa"/>
          </w:tblCellMar>
          <w:tblLook w:val="04A0"/>
        </w:tblPrEx>
        <w:trPr>
          <w:tblHeader/>
          <w:jc w:val="center"/>
        </w:trPr>
        <w:tc>
          <w:tcPr>
            <w:tcW w:w="1980" w:type="dxa"/>
            <w:tcBorders>
              <w:top w:val="nil"/>
              <w:bottom w:val="single" w:sz="4" w:space="0" w:color="auto"/>
            </w:tcBorders>
            <w:shd w:val="clear" w:color="auto" w:fill="auto"/>
            <w:tcMar>
              <w:top w:w="0" w:type="dxa"/>
              <w:left w:w="75" w:type="dxa"/>
              <w:bottom w:w="0" w:type="dxa"/>
              <w:right w:w="75" w:type="dxa"/>
            </w:tcMar>
            <w:vAlign w:val="center"/>
            <w:hideMark/>
          </w:tcPr>
          <w:p w:rsidR="00A30DBD" w:rsidRPr="00832F7C" w:rsidP="007742A5" w14:paraId="418A0A16" w14:textId="77777777">
            <w:pPr>
              <w:pStyle w:val="table"/>
              <w:spacing w:line="240" w:lineRule="auto"/>
              <w:rPr>
                <w:sz w:val="24"/>
                <w:szCs w:val="24"/>
              </w:rPr>
            </w:pPr>
            <w:r w:rsidRPr="00832F7C">
              <w:rPr>
                <w:sz w:val="24"/>
                <w:szCs w:val="24"/>
              </w:rPr>
              <w:t>Test</w:t>
            </w:r>
          </w:p>
        </w:tc>
        <w:tc>
          <w:tcPr>
            <w:tcW w:w="990" w:type="dxa"/>
            <w:tcBorders>
              <w:top w:val="nil"/>
              <w:bottom w:val="single" w:sz="4" w:space="0" w:color="auto"/>
            </w:tcBorders>
            <w:shd w:val="clear" w:color="auto" w:fill="auto"/>
            <w:tcMar>
              <w:top w:w="0" w:type="dxa"/>
              <w:left w:w="75" w:type="dxa"/>
              <w:bottom w:w="0" w:type="dxa"/>
              <w:right w:w="75" w:type="dxa"/>
            </w:tcMar>
            <w:vAlign w:val="center"/>
            <w:hideMark/>
          </w:tcPr>
          <w:p w:rsidR="00A30DBD" w:rsidRPr="00832F7C" w:rsidP="007742A5" w14:paraId="67B1CA01" w14:textId="77777777">
            <w:pPr>
              <w:pStyle w:val="table"/>
              <w:spacing w:line="240" w:lineRule="auto"/>
              <w:rPr>
                <w:sz w:val="24"/>
                <w:szCs w:val="24"/>
              </w:rPr>
            </w:pPr>
            <w:r w:rsidRPr="00832F7C">
              <w:rPr>
                <w:sz w:val="24"/>
                <w:szCs w:val="24"/>
              </w:rPr>
              <w:t>Tails</w:t>
            </w:r>
          </w:p>
        </w:tc>
        <w:tc>
          <w:tcPr>
            <w:tcW w:w="2063" w:type="dxa"/>
            <w:tcBorders>
              <w:top w:val="nil"/>
              <w:bottom w:val="single" w:sz="4" w:space="0" w:color="auto"/>
            </w:tcBorders>
            <w:shd w:val="clear" w:color="auto" w:fill="auto"/>
            <w:tcMar>
              <w:top w:w="0" w:type="dxa"/>
              <w:left w:w="75" w:type="dxa"/>
              <w:bottom w:w="0" w:type="dxa"/>
              <w:right w:w="75" w:type="dxa"/>
            </w:tcMar>
            <w:vAlign w:val="center"/>
            <w:hideMark/>
          </w:tcPr>
          <w:p w:rsidR="00A30DBD" w:rsidRPr="00832F7C" w:rsidP="007742A5" w14:paraId="2A9F644D" w14:textId="77777777">
            <w:pPr>
              <w:pStyle w:val="table"/>
              <w:spacing w:line="240" w:lineRule="auto"/>
              <w:rPr>
                <w:sz w:val="24"/>
                <w:szCs w:val="24"/>
              </w:rPr>
            </w:pPr>
            <w:r w:rsidRPr="00832F7C">
              <w:rPr>
                <w:sz w:val="24"/>
                <w:szCs w:val="24"/>
              </w:rPr>
              <w:t>Estimated using*</w:t>
            </w:r>
          </w:p>
        </w:tc>
        <w:tc>
          <w:tcPr>
            <w:tcW w:w="626"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rsidR="00A30DBD" w:rsidRPr="00832F7C" w:rsidP="00AE3B51" w14:paraId="3FD7B2F1" w14:textId="77777777">
            <w:pPr>
              <w:pStyle w:val="table"/>
              <w:spacing w:line="240" w:lineRule="auto"/>
              <w:jc w:val="center"/>
              <w:rPr>
                <w:sz w:val="24"/>
                <w:szCs w:val="24"/>
              </w:rPr>
            </w:pPr>
            <m:oMathPara>
              <m:oMath>
                <m:acc>
                  <m:accPr>
                    <m:chr m:val="̅"/>
                    <m:ctrlPr>
                      <w:rPr>
                        <w:rFonts w:ascii="Cambria Math" w:hAnsi="Cambria Math"/>
                        <w:sz w:val="24"/>
                        <w:szCs w:val="24"/>
                      </w:rPr>
                    </m:ctrlPr>
                  </m:accPr>
                  <m:e>
                    <m:r>
                      <w:rPr>
                        <w:rFonts w:ascii="Cambria Math" w:hAnsi="Cambria Math"/>
                        <w:sz w:val="24"/>
                        <w:szCs w:val="24"/>
                      </w:rPr>
                      <m:t>r</m:t>
                    </m:r>
                  </m:e>
                </m:acc>
              </m:oMath>
            </m:oMathPara>
          </w:p>
        </w:tc>
        <w:tc>
          <w:tcPr>
            <w:tcW w:w="930" w:type="dxa"/>
            <w:tcBorders>
              <w:top w:val="single" w:sz="4" w:space="0" w:color="auto"/>
              <w:bottom w:val="single" w:sz="4" w:space="0" w:color="auto"/>
            </w:tcBorders>
            <w:vAlign w:val="center"/>
          </w:tcPr>
          <w:p w:rsidR="00A30DBD" w:rsidRPr="00832F7C" w:rsidP="00AE3B51" w14:paraId="50F8A0A4" w14:textId="77777777">
            <w:pPr>
              <w:pStyle w:val="table"/>
              <w:spacing w:line="240" w:lineRule="auto"/>
              <w:jc w:val="center"/>
              <w:rPr>
                <w:sz w:val="24"/>
                <w:szCs w:val="24"/>
              </w:rPr>
            </w:pPr>
            <w:r w:rsidRPr="00832F7C">
              <w:rPr>
                <w:sz w:val="24"/>
                <w:szCs w:val="24"/>
              </w:rPr>
              <w:t>N</w:t>
            </w:r>
          </w:p>
        </w:tc>
        <w:tc>
          <w:tcPr>
            <w:tcW w:w="898" w:type="dxa"/>
            <w:tcBorders>
              <w:top w:val="single" w:sz="4" w:space="0" w:color="auto"/>
              <w:bottom w:val="single" w:sz="4" w:space="0" w:color="auto"/>
            </w:tcBorders>
            <w:vAlign w:val="center"/>
          </w:tcPr>
          <w:p w:rsidR="00A30DBD" w:rsidRPr="00832F7C" w:rsidP="00AE3B51" w14:paraId="6D378C4A" w14:textId="77777777">
            <w:pPr>
              <w:pStyle w:val="table"/>
              <w:spacing w:line="240" w:lineRule="auto"/>
              <w:jc w:val="center"/>
              <w:rPr>
                <w:sz w:val="24"/>
                <w:szCs w:val="24"/>
              </w:rPr>
            </w:pPr>
            <w:r w:rsidRPr="00832F7C">
              <w:rPr>
                <w:sz w:val="24"/>
                <w:szCs w:val="24"/>
              </w:rPr>
              <w:t>N</w:t>
            </w:r>
          </w:p>
        </w:tc>
        <w:tc>
          <w:tcPr>
            <w:tcW w:w="622" w:type="dxa"/>
            <w:tcBorders>
              <w:top w:val="single" w:sz="4" w:space="0" w:color="auto"/>
              <w:bottom w:val="single" w:sz="4" w:space="0" w:color="auto"/>
            </w:tcBorders>
            <w:vAlign w:val="center"/>
          </w:tcPr>
          <w:p w:rsidR="00A30DBD" w:rsidRPr="00832F7C" w:rsidP="00AE3B51" w14:paraId="070DF57D" w14:textId="77777777">
            <w:pPr>
              <w:pStyle w:val="table"/>
              <w:spacing w:line="240" w:lineRule="auto"/>
              <w:jc w:val="center"/>
              <w:rPr>
                <w:sz w:val="24"/>
                <w:szCs w:val="24"/>
              </w:rPr>
            </w:pPr>
            <m:oMathPara>
              <m:oMath>
                <m:acc>
                  <m:accPr>
                    <m:chr m:val="̅"/>
                    <m:ctrlPr>
                      <w:rPr>
                        <w:rFonts w:ascii="Cambria Math" w:hAnsi="Cambria Math"/>
                        <w:sz w:val="24"/>
                        <w:szCs w:val="24"/>
                      </w:rPr>
                    </m:ctrlPr>
                  </m:accPr>
                  <m:e>
                    <m:r>
                      <w:rPr>
                        <w:rFonts w:ascii="Cambria Math" w:hAnsi="Cambria Math"/>
                        <w:sz w:val="24"/>
                        <w:szCs w:val="24"/>
                      </w:rPr>
                      <m:t>r</m:t>
                    </m:r>
                  </m:e>
                </m:acc>
              </m:oMath>
            </m:oMathPara>
          </w:p>
        </w:tc>
        <w:tc>
          <w:tcPr>
            <w:tcW w:w="886" w:type="dxa"/>
            <w:tcBorders>
              <w:top w:val="single" w:sz="4" w:space="0" w:color="auto"/>
              <w:bottom w:val="single" w:sz="4" w:space="0" w:color="auto"/>
            </w:tcBorders>
            <w:vAlign w:val="center"/>
          </w:tcPr>
          <w:p w:rsidR="00A30DBD" w:rsidRPr="00832F7C" w:rsidP="00AE3B51" w14:paraId="3D8F609A" w14:textId="77777777">
            <w:pPr>
              <w:pStyle w:val="table"/>
              <w:spacing w:line="240" w:lineRule="auto"/>
              <w:jc w:val="center"/>
              <w:rPr>
                <w:sz w:val="24"/>
                <w:szCs w:val="24"/>
              </w:rPr>
            </w:pPr>
            <w:r w:rsidRPr="00832F7C">
              <w:rPr>
                <w:sz w:val="24"/>
                <w:szCs w:val="24"/>
              </w:rPr>
              <w:t>N</w:t>
            </w:r>
          </w:p>
        </w:tc>
      </w:tr>
      <w:tr w14:paraId="3A89BAB1" w14:textId="77777777" w:rsidTr="00AE3B51">
        <w:tblPrEx>
          <w:tblW w:w="8995" w:type="dxa"/>
          <w:jc w:val="center"/>
          <w:tblCellMar>
            <w:top w:w="15" w:type="dxa"/>
            <w:left w:w="15" w:type="dxa"/>
            <w:bottom w:w="15" w:type="dxa"/>
            <w:right w:w="15" w:type="dxa"/>
          </w:tblCellMar>
          <w:tblLook w:val="04A0"/>
        </w:tblPrEx>
        <w:trPr>
          <w:jc w:val="center"/>
        </w:trPr>
        <w:tc>
          <w:tcPr>
            <w:tcW w:w="1980" w:type="dxa"/>
            <w:tcBorders>
              <w:top w:val="single" w:sz="4" w:space="0" w:color="auto"/>
            </w:tcBorders>
            <w:shd w:val="clear" w:color="auto" w:fill="auto"/>
            <w:tcMar>
              <w:top w:w="0" w:type="dxa"/>
              <w:left w:w="75" w:type="dxa"/>
              <w:bottom w:w="0" w:type="dxa"/>
              <w:right w:w="75" w:type="dxa"/>
            </w:tcMar>
            <w:vAlign w:val="center"/>
            <w:hideMark/>
          </w:tcPr>
          <w:p w:rsidR="00A30DBD" w:rsidRPr="00832F7C" w:rsidP="007742A5" w14:paraId="1A4E9B69" w14:textId="77777777">
            <w:pPr>
              <w:pStyle w:val="table"/>
              <w:spacing w:line="240" w:lineRule="auto"/>
              <w:rPr>
                <w:sz w:val="24"/>
                <w:szCs w:val="24"/>
              </w:rPr>
            </w:pPr>
            <w:r w:rsidRPr="00832F7C">
              <w:rPr>
                <w:sz w:val="24"/>
                <w:szCs w:val="24"/>
              </w:rPr>
              <w:t xml:space="preserve">Pearson’s </w:t>
            </w:r>
            <w:r w:rsidRPr="00832F7C">
              <w:rPr>
                <w:i/>
                <w:iCs/>
                <w:sz w:val="24"/>
                <w:szCs w:val="24"/>
              </w:rPr>
              <w:t>r</w:t>
            </w:r>
          </w:p>
        </w:tc>
        <w:tc>
          <w:tcPr>
            <w:tcW w:w="990" w:type="dxa"/>
            <w:tcBorders>
              <w:top w:val="single" w:sz="4" w:space="0" w:color="auto"/>
            </w:tcBorders>
            <w:shd w:val="clear" w:color="auto" w:fill="auto"/>
            <w:tcMar>
              <w:top w:w="0" w:type="dxa"/>
              <w:left w:w="75" w:type="dxa"/>
              <w:bottom w:w="0" w:type="dxa"/>
              <w:right w:w="75" w:type="dxa"/>
            </w:tcMar>
            <w:vAlign w:val="center"/>
            <w:hideMark/>
          </w:tcPr>
          <w:p w:rsidR="00A30DBD" w:rsidRPr="00832F7C" w:rsidP="007742A5" w14:paraId="54ACD9AB" w14:textId="77777777">
            <w:pPr>
              <w:pStyle w:val="table"/>
              <w:spacing w:line="240" w:lineRule="auto"/>
              <w:rPr>
                <w:sz w:val="24"/>
                <w:szCs w:val="24"/>
              </w:rPr>
            </w:pPr>
            <w:r w:rsidRPr="00832F7C">
              <w:rPr>
                <w:sz w:val="24"/>
                <w:szCs w:val="24"/>
              </w:rPr>
              <w:t>One</w:t>
            </w:r>
          </w:p>
        </w:tc>
        <w:tc>
          <w:tcPr>
            <w:tcW w:w="2063" w:type="dxa"/>
            <w:tcBorders>
              <w:top w:val="single" w:sz="4" w:space="0" w:color="auto"/>
            </w:tcBorders>
            <w:shd w:val="clear" w:color="auto" w:fill="auto"/>
            <w:tcMar>
              <w:top w:w="0" w:type="dxa"/>
              <w:left w:w="75" w:type="dxa"/>
              <w:bottom w:w="0" w:type="dxa"/>
              <w:right w:w="75" w:type="dxa"/>
            </w:tcMar>
            <w:vAlign w:val="center"/>
            <w:hideMark/>
          </w:tcPr>
          <w:p w:rsidR="00A30DBD" w:rsidRPr="00832F7C" w:rsidP="007742A5" w14:paraId="06275CC0" w14:textId="77777777">
            <w:pPr>
              <w:pStyle w:val="table"/>
              <w:spacing w:line="240" w:lineRule="auto"/>
              <w:rPr>
                <w:sz w:val="24"/>
                <w:szCs w:val="24"/>
              </w:rPr>
            </w:pPr>
            <w:r w:rsidRPr="00832F7C">
              <w:rPr>
                <w:sz w:val="24"/>
                <w:szCs w:val="24"/>
              </w:rPr>
              <w:t>Point estimate</w:t>
            </w:r>
          </w:p>
        </w:tc>
        <w:tc>
          <w:tcPr>
            <w:tcW w:w="626" w:type="dxa"/>
            <w:tcBorders>
              <w:top w:val="single" w:sz="4" w:space="0" w:color="auto"/>
            </w:tcBorders>
            <w:shd w:val="clear" w:color="auto" w:fill="auto"/>
            <w:tcMar>
              <w:top w:w="0" w:type="dxa"/>
              <w:left w:w="75" w:type="dxa"/>
              <w:bottom w:w="0" w:type="dxa"/>
              <w:right w:w="75" w:type="dxa"/>
            </w:tcMar>
            <w:vAlign w:val="center"/>
            <w:hideMark/>
          </w:tcPr>
          <w:p w:rsidR="00A30DBD" w:rsidRPr="00832F7C" w:rsidP="00AE3B51" w14:paraId="2F1DED3F" w14:textId="77777777">
            <w:pPr>
              <w:pStyle w:val="table"/>
              <w:spacing w:line="240" w:lineRule="auto"/>
              <w:jc w:val="center"/>
              <w:rPr>
                <w:sz w:val="24"/>
                <w:szCs w:val="24"/>
              </w:rPr>
            </w:pPr>
            <w:r w:rsidRPr="00832F7C">
              <w:rPr>
                <w:sz w:val="24"/>
                <w:szCs w:val="24"/>
              </w:rPr>
              <w:t>0.45</w:t>
            </w:r>
          </w:p>
        </w:tc>
        <w:tc>
          <w:tcPr>
            <w:tcW w:w="930" w:type="dxa"/>
            <w:tcBorders>
              <w:top w:val="single" w:sz="4" w:space="0" w:color="auto"/>
            </w:tcBorders>
            <w:vAlign w:val="center"/>
          </w:tcPr>
          <w:p w:rsidR="00A30DBD" w:rsidRPr="00832F7C" w:rsidP="00AE3B51" w14:paraId="2A2345E8" w14:textId="77777777">
            <w:pPr>
              <w:pStyle w:val="table"/>
              <w:spacing w:line="240" w:lineRule="auto"/>
              <w:jc w:val="center"/>
              <w:rPr>
                <w:sz w:val="24"/>
                <w:szCs w:val="24"/>
              </w:rPr>
            </w:pPr>
            <w:r w:rsidRPr="00832F7C">
              <w:rPr>
                <w:sz w:val="24"/>
                <w:szCs w:val="24"/>
              </w:rPr>
              <w:t>29</w:t>
            </w:r>
          </w:p>
        </w:tc>
        <w:tc>
          <w:tcPr>
            <w:tcW w:w="898" w:type="dxa"/>
            <w:tcBorders>
              <w:top w:val="single" w:sz="4" w:space="0" w:color="auto"/>
            </w:tcBorders>
            <w:vAlign w:val="center"/>
          </w:tcPr>
          <w:p w:rsidR="00A30DBD" w:rsidRPr="00832F7C" w:rsidP="00AE3B51" w14:paraId="263D9BB7" w14:textId="77777777">
            <w:pPr>
              <w:pStyle w:val="table"/>
              <w:spacing w:line="240" w:lineRule="auto"/>
              <w:jc w:val="center"/>
              <w:rPr>
                <w:sz w:val="24"/>
                <w:szCs w:val="24"/>
              </w:rPr>
            </w:pPr>
            <w:r w:rsidRPr="00832F7C">
              <w:rPr>
                <w:sz w:val="24"/>
                <w:szCs w:val="24"/>
              </w:rPr>
              <w:t>29</w:t>
            </w:r>
          </w:p>
        </w:tc>
        <w:tc>
          <w:tcPr>
            <w:tcW w:w="622" w:type="dxa"/>
            <w:tcBorders>
              <w:top w:val="single" w:sz="4" w:space="0" w:color="auto"/>
            </w:tcBorders>
            <w:vAlign w:val="center"/>
          </w:tcPr>
          <w:p w:rsidR="00A30DBD" w:rsidRPr="00832F7C" w:rsidP="00AE3B51" w14:paraId="248B8B6E" w14:textId="77777777">
            <w:pPr>
              <w:pStyle w:val="table"/>
              <w:spacing w:line="240" w:lineRule="auto"/>
              <w:jc w:val="center"/>
              <w:rPr>
                <w:sz w:val="24"/>
                <w:szCs w:val="24"/>
              </w:rPr>
            </w:pPr>
            <w:r w:rsidRPr="00832F7C">
              <w:rPr>
                <w:sz w:val="24"/>
                <w:szCs w:val="24"/>
              </w:rPr>
              <w:t>.22</w:t>
            </w:r>
          </w:p>
        </w:tc>
        <w:tc>
          <w:tcPr>
            <w:tcW w:w="886" w:type="dxa"/>
            <w:tcBorders>
              <w:top w:val="single" w:sz="4" w:space="0" w:color="auto"/>
            </w:tcBorders>
            <w:vAlign w:val="center"/>
          </w:tcPr>
          <w:p w:rsidR="00A30DBD" w:rsidRPr="00832F7C" w:rsidP="00AE3B51" w14:paraId="1870CD89" w14:textId="77777777">
            <w:pPr>
              <w:pStyle w:val="table"/>
              <w:spacing w:line="240" w:lineRule="auto"/>
              <w:jc w:val="center"/>
              <w:rPr>
                <w:sz w:val="24"/>
                <w:szCs w:val="24"/>
              </w:rPr>
            </w:pPr>
            <w:r w:rsidRPr="00832F7C">
              <w:rPr>
                <w:sz w:val="24"/>
                <w:szCs w:val="24"/>
              </w:rPr>
              <w:t>126</w:t>
            </w:r>
          </w:p>
        </w:tc>
      </w:tr>
      <w:tr w14:paraId="072C7054" w14:textId="77777777" w:rsidTr="00AE3B51">
        <w:tblPrEx>
          <w:tblW w:w="8995" w:type="dxa"/>
          <w:jc w:val="center"/>
          <w:tblCellMar>
            <w:top w:w="15" w:type="dxa"/>
            <w:left w:w="15" w:type="dxa"/>
            <w:bottom w:w="15" w:type="dxa"/>
            <w:right w:w="15" w:type="dxa"/>
          </w:tblCellMar>
          <w:tblLook w:val="04A0"/>
        </w:tblPrEx>
        <w:trPr>
          <w:jc w:val="center"/>
        </w:trPr>
        <w:tc>
          <w:tcPr>
            <w:tcW w:w="1980" w:type="dxa"/>
            <w:shd w:val="clear" w:color="auto" w:fill="auto"/>
            <w:tcMar>
              <w:top w:w="0" w:type="dxa"/>
              <w:left w:w="75" w:type="dxa"/>
              <w:bottom w:w="0" w:type="dxa"/>
              <w:right w:w="75" w:type="dxa"/>
            </w:tcMar>
            <w:vAlign w:val="center"/>
            <w:hideMark/>
          </w:tcPr>
          <w:p w:rsidR="00A30DBD" w:rsidRPr="00832F7C" w:rsidP="007742A5" w14:paraId="50CBDB70" w14:textId="77777777">
            <w:pPr>
              <w:pStyle w:val="table"/>
              <w:spacing w:line="240" w:lineRule="auto"/>
              <w:rPr>
                <w:sz w:val="24"/>
                <w:szCs w:val="24"/>
              </w:rPr>
            </w:pPr>
            <w:r w:rsidRPr="00832F7C">
              <w:rPr>
                <w:sz w:val="24"/>
                <w:szCs w:val="24"/>
              </w:rPr>
              <w:t xml:space="preserve">Pearson’s </w:t>
            </w:r>
            <w:r w:rsidRPr="00832F7C">
              <w:rPr>
                <w:i/>
                <w:iCs/>
                <w:sz w:val="24"/>
                <w:szCs w:val="24"/>
              </w:rPr>
              <w:t>r</w:t>
            </w:r>
          </w:p>
        </w:tc>
        <w:tc>
          <w:tcPr>
            <w:tcW w:w="990" w:type="dxa"/>
            <w:shd w:val="clear" w:color="auto" w:fill="auto"/>
            <w:tcMar>
              <w:top w:w="0" w:type="dxa"/>
              <w:left w:w="75" w:type="dxa"/>
              <w:bottom w:w="0" w:type="dxa"/>
              <w:right w:w="75" w:type="dxa"/>
            </w:tcMar>
            <w:vAlign w:val="center"/>
            <w:hideMark/>
          </w:tcPr>
          <w:p w:rsidR="00A30DBD" w:rsidRPr="00832F7C" w:rsidP="007742A5" w14:paraId="37AE27F0" w14:textId="77777777">
            <w:pPr>
              <w:pStyle w:val="table"/>
              <w:spacing w:line="240" w:lineRule="auto"/>
              <w:rPr>
                <w:sz w:val="24"/>
                <w:szCs w:val="24"/>
              </w:rPr>
            </w:pPr>
            <w:r w:rsidRPr="00832F7C">
              <w:rPr>
                <w:sz w:val="24"/>
                <w:szCs w:val="24"/>
              </w:rPr>
              <w:t>One</w:t>
            </w:r>
          </w:p>
        </w:tc>
        <w:tc>
          <w:tcPr>
            <w:tcW w:w="2063" w:type="dxa"/>
            <w:shd w:val="clear" w:color="auto" w:fill="auto"/>
            <w:tcMar>
              <w:top w:w="0" w:type="dxa"/>
              <w:left w:w="75" w:type="dxa"/>
              <w:bottom w:w="0" w:type="dxa"/>
              <w:right w:w="75" w:type="dxa"/>
            </w:tcMar>
            <w:vAlign w:val="center"/>
            <w:hideMark/>
          </w:tcPr>
          <w:p w:rsidR="00A30DBD" w:rsidRPr="00832F7C" w:rsidP="007742A5" w14:paraId="2F3EEA45" w14:textId="77777777">
            <w:pPr>
              <w:pStyle w:val="table"/>
              <w:spacing w:line="240" w:lineRule="auto"/>
              <w:rPr>
                <w:sz w:val="24"/>
                <w:szCs w:val="24"/>
              </w:rPr>
            </w:pPr>
            <w:r w:rsidRPr="00832F7C">
              <w:rPr>
                <w:sz w:val="24"/>
                <w:szCs w:val="24"/>
              </w:rPr>
              <w:t>Lower bound of 95% CI</w:t>
            </w:r>
          </w:p>
        </w:tc>
        <w:tc>
          <w:tcPr>
            <w:tcW w:w="626" w:type="dxa"/>
            <w:shd w:val="clear" w:color="auto" w:fill="auto"/>
            <w:tcMar>
              <w:top w:w="0" w:type="dxa"/>
              <w:left w:w="75" w:type="dxa"/>
              <w:bottom w:w="0" w:type="dxa"/>
              <w:right w:w="75" w:type="dxa"/>
            </w:tcMar>
            <w:vAlign w:val="center"/>
            <w:hideMark/>
          </w:tcPr>
          <w:p w:rsidR="00A30DBD" w:rsidRPr="00832F7C" w:rsidP="00AE3B51" w14:paraId="1BAE28DE" w14:textId="77777777">
            <w:pPr>
              <w:pStyle w:val="table"/>
              <w:spacing w:line="240" w:lineRule="auto"/>
              <w:jc w:val="center"/>
              <w:rPr>
                <w:sz w:val="24"/>
                <w:szCs w:val="24"/>
              </w:rPr>
            </w:pPr>
            <w:r w:rsidRPr="00832F7C">
              <w:rPr>
                <w:sz w:val="24"/>
                <w:szCs w:val="24"/>
              </w:rPr>
              <w:t>0.40</w:t>
            </w:r>
          </w:p>
        </w:tc>
        <w:tc>
          <w:tcPr>
            <w:tcW w:w="930" w:type="dxa"/>
            <w:vAlign w:val="center"/>
          </w:tcPr>
          <w:p w:rsidR="00A30DBD" w:rsidRPr="00832F7C" w:rsidP="00AE3B51" w14:paraId="03629149" w14:textId="77777777">
            <w:pPr>
              <w:pStyle w:val="table"/>
              <w:spacing w:line="240" w:lineRule="auto"/>
              <w:jc w:val="center"/>
              <w:rPr>
                <w:sz w:val="24"/>
                <w:szCs w:val="24"/>
              </w:rPr>
            </w:pPr>
            <w:r w:rsidRPr="00832F7C">
              <w:rPr>
                <w:sz w:val="24"/>
                <w:szCs w:val="24"/>
              </w:rPr>
              <w:t>37</w:t>
            </w:r>
          </w:p>
        </w:tc>
        <w:tc>
          <w:tcPr>
            <w:tcW w:w="898" w:type="dxa"/>
            <w:vAlign w:val="center"/>
          </w:tcPr>
          <w:p w:rsidR="00A30DBD" w:rsidRPr="00832F7C" w:rsidP="00AE3B51" w14:paraId="776C5FAE" w14:textId="77777777">
            <w:pPr>
              <w:pStyle w:val="table"/>
              <w:spacing w:line="240" w:lineRule="auto"/>
              <w:jc w:val="center"/>
              <w:rPr>
                <w:sz w:val="24"/>
                <w:szCs w:val="24"/>
              </w:rPr>
            </w:pPr>
            <w:r w:rsidRPr="00832F7C">
              <w:rPr>
                <w:sz w:val="24"/>
                <w:szCs w:val="24"/>
              </w:rPr>
              <w:t>37</w:t>
            </w:r>
          </w:p>
        </w:tc>
        <w:tc>
          <w:tcPr>
            <w:tcW w:w="622" w:type="dxa"/>
            <w:vAlign w:val="center"/>
          </w:tcPr>
          <w:p w:rsidR="00A30DBD" w:rsidRPr="00832F7C" w:rsidP="00AE3B51" w14:paraId="139F7EF7" w14:textId="77777777">
            <w:pPr>
              <w:pStyle w:val="table"/>
              <w:spacing w:line="240" w:lineRule="auto"/>
              <w:jc w:val="center"/>
              <w:rPr>
                <w:sz w:val="24"/>
                <w:szCs w:val="24"/>
              </w:rPr>
            </w:pPr>
            <w:r w:rsidRPr="00832F7C">
              <w:rPr>
                <w:sz w:val="24"/>
                <w:szCs w:val="24"/>
              </w:rPr>
              <w:t>.15</w:t>
            </w:r>
          </w:p>
        </w:tc>
        <w:tc>
          <w:tcPr>
            <w:tcW w:w="886" w:type="dxa"/>
            <w:vAlign w:val="center"/>
          </w:tcPr>
          <w:p w:rsidR="00A30DBD" w:rsidRPr="00832F7C" w:rsidP="00AE3B51" w14:paraId="68D67AA8" w14:textId="77777777">
            <w:pPr>
              <w:pStyle w:val="table"/>
              <w:spacing w:line="240" w:lineRule="auto"/>
              <w:jc w:val="center"/>
              <w:rPr>
                <w:sz w:val="24"/>
                <w:szCs w:val="24"/>
              </w:rPr>
            </w:pPr>
            <w:r w:rsidRPr="00832F7C">
              <w:rPr>
                <w:sz w:val="24"/>
                <w:szCs w:val="24"/>
              </w:rPr>
              <w:t>273</w:t>
            </w:r>
          </w:p>
        </w:tc>
      </w:tr>
      <w:tr w14:paraId="7B1C225D" w14:textId="77777777" w:rsidTr="00AE3B51">
        <w:tblPrEx>
          <w:tblW w:w="8995" w:type="dxa"/>
          <w:jc w:val="center"/>
          <w:tblCellMar>
            <w:top w:w="15" w:type="dxa"/>
            <w:left w:w="15" w:type="dxa"/>
            <w:bottom w:w="15" w:type="dxa"/>
            <w:right w:w="15" w:type="dxa"/>
          </w:tblCellMar>
          <w:tblLook w:val="04A0"/>
        </w:tblPrEx>
        <w:trPr>
          <w:jc w:val="center"/>
        </w:trPr>
        <w:tc>
          <w:tcPr>
            <w:tcW w:w="1980" w:type="dxa"/>
            <w:shd w:val="clear" w:color="auto" w:fill="auto"/>
            <w:tcMar>
              <w:top w:w="0" w:type="dxa"/>
              <w:left w:w="75" w:type="dxa"/>
              <w:bottom w:w="0" w:type="dxa"/>
              <w:right w:w="75" w:type="dxa"/>
            </w:tcMar>
            <w:vAlign w:val="center"/>
            <w:hideMark/>
          </w:tcPr>
          <w:p w:rsidR="00A30DBD" w:rsidRPr="00832F7C" w:rsidP="007742A5" w14:paraId="4EDDEC34" w14:textId="77777777">
            <w:pPr>
              <w:pStyle w:val="table"/>
              <w:spacing w:line="240" w:lineRule="auto"/>
              <w:rPr>
                <w:sz w:val="24"/>
                <w:szCs w:val="24"/>
              </w:rPr>
            </w:pPr>
            <w:r w:rsidRPr="00832F7C">
              <w:rPr>
                <w:sz w:val="24"/>
                <w:szCs w:val="24"/>
              </w:rPr>
              <w:t xml:space="preserve">Pearson’s </w:t>
            </w:r>
            <w:r w:rsidRPr="00832F7C">
              <w:rPr>
                <w:i/>
                <w:iCs/>
                <w:sz w:val="24"/>
                <w:szCs w:val="24"/>
              </w:rPr>
              <w:t>r</w:t>
            </w:r>
          </w:p>
        </w:tc>
        <w:tc>
          <w:tcPr>
            <w:tcW w:w="990" w:type="dxa"/>
            <w:shd w:val="clear" w:color="auto" w:fill="auto"/>
            <w:tcMar>
              <w:top w:w="0" w:type="dxa"/>
              <w:left w:w="75" w:type="dxa"/>
              <w:bottom w:w="0" w:type="dxa"/>
              <w:right w:w="75" w:type="dxa"/>
            </w:tcMar>
            <w:vAlign w:val="center"/>
            <w:hideMark/>
          </w:tcPr>
          <w:p w:rsidR="00A30DBD" w:rsidRPr="00832F7C" w:rsidP="007742A5" w14:paraId="32BB6EBE" w14:textId="77777777">
            <w:pPr>
              <w:pStyle w:val="table"/>
              <w:spacing w:line="240" w:lineRule="auto"/>
              <w:rPr>
                <w:sz w:val="24"/>
                <w:szCs w:val="24"/>
              </w:rPr>
            </w:pPr>
            <w:r w:rsidRPr="00832F7C">
              <w:rPr>
                <w:sz w:val="24"/>
                <w:szCs w:val="24"/>
              </w:rPr>
              <w:t>Two</w:t>
            </w:r>
          </w:p>
        </w:tc>
        <w:tc>
          <w:tcPr>
            <w:tcW w:w="2063" w:type="dxa"/>
            <w:shd w:val="clear" w:color="auto" w:fill="auto"/>
            <w:tcMar>
              <w:top w:w="0" w:type="dxa"/>
              <w:left w:w="75" w:type="dxa"/>
              <w:bottom w:w="0" w:type="dxa"/>
              <w:right w:w="75" w:type="dxa"/>
            </w:tcMar>
            <w:vAlign w:val="center"/>
            <w:hideMark/>
          </w:tcPr>
          <w:p w:rsidR="00A30DBD" w:rsidRPr="00832F7C" w:rsidP="007742A5" w14:paraId="5B943F6C" w14:textId="77777777">
            <w:pPr>
              <w:pStyle w:val="table"/>
              <w:spacing w:line="240" w:lineRule="auto"/>
              <w:rPr>
                <w:sz w:val="24"/>
                <w:szCs w:val="24"/>
              </w:rPr>
            </w:pPr>
            <w:r w:rsidRPr="00832F7C">
              <w:rPr>
                <w:sz w:val="24"/>
                <w:szCs w:val="24"/>
              </w:rPr>
              <w:t>Point estimate</w:t>
            </w:r>
          </w:p>
        </w:tc>
        <w:tc>
          <w:tcPr>
            <w:tcW w:w="626" w:type="dxa"/>
            <w:shd w:val="clear" w:color="auto" w:fill="auto"/>
            <w:tcMar>
              <w:top w:w="0" w:type="dxa"/>
              <w:left w:w="75" w:type="dxa"/>
              <w:bottom w:w="0" w:type="dxa"/>
              <w:right w:w="75" w:type="dxa"/>
            </w:tcMar>
            <w:vAlign w:val="center"/>
            <w:hideMark/>
          </w:tcPr>
          <w:p w:rsidR="00A30DBD" w:rsidRPr="00832F7C" w:rsidP="00AE3B51" w14:paraId="6151E840" w14:textId="77777777">
            <w:pPr>
              <w:pStyle w:val="table"/>
              <w:spacing w:line="240" w:lineRule="auto"/>
              <w:jc w:val="center"/>
              <w:rPr>
                <w:sz w:val="24"/>
                <w:szCs w:val="24"/>
              </w:rPr>
            </w:pPr>
            <w:r w:rsidRPr="00832F7C">
              <w:rPr>
                <w:sz w:val="24"/>
                <w:szCs w:val="24"/>
              </w:rPr>
              <w:t>0.45</w:t>
            </w:r>
          </w:p>
        </w:tc>
        <w:tc>
          <w:tcPr>
            <w:tcW w:w="930" w:type="dxa"/>
            <w:vAlign w:val="center"/>
          </w:tcPr>
          <w:p w:rsidR="00A30DBD" w:rsidRPr="00832F7C" w:rsidP="00AE3B51" w14:paraId="1E47CD2C" w14:textId="77777777">
            <w:pPr>
              <w:pStyle w:val="table"/>
              <w:spacing w:line="240" w:lineRule="auto"/>
              <w:jc w:val="center"/>
              <w:rPr>
                <w:sz w:val="24"/>
                <w:szCs w:val="24"/>
              </w:rPr>
            </w:pPr>
            <w:r w:rsidRPr="00832F7C">
              <w:rPr>
                <w:sz w:val="24"/>
                <w:szCs w:val="24"/>
              </w:rPr>
              <w:t>36</w:t>
            </w:r>
          </w:p>
        </w:tc>
        <w:tc>
          <w:tcPr>
            <w:tcW w:w="898" w:type="dxa"/>
            <w:vAlign w:val="center"/>
          </w:tcPr>
          <w:p w:rsidR="00A30DBD" w:rsidRPr="00832F7C" w:rsidP="00AE3B51" w14:paraId="4396D65E" w14:textId="77777777">
            <w:pPr>
              <w:pStyle w:val="table"/>
              <w:spacing w:line="240" w:lineRule="auto"/>
              <w:jc w:val="center"/>
              <w:rPr>
                <w:sz w:val="24"/>
                <w:szCs w:val="24"/>
              </w:rPr>
            </w:pPr>
            <w:r w:rsidRPr="00832F7C">
              <w:rPr>
                <w:sz w:val="24"/>
                <w:szCs w:val="24"/>
              </w:rPr>
              <w:t>36</w:t>
            </w:r>
          </w:p>
        </w:tc>
        <w:tc>
          <w:tcPr>
            <w:tcW w:w="622" w:type="dxa"/>
            <w:vAlign w:val="center"/>
          </w:tcPr>
          <w:p w:rsidR="00A30DBD" w:rsidRPr="00832F7C" w:rsidP="00AE3B51" w14:paraId="0CAAB5A2" w14:textId="77777777">
            <w:pPr>
              <w:pStyle w:val="table"/>
              <w:spacing w:line="240" w:lineRule="auto"/>
              <w:jc w:val="center"/>
              <w:rPr>
                <w:sz w:val="24"/>
                <w:szCs w:val="24"/>
              </w:rPr>
            </w:pPr>
            <w:r w:rsidRPr="00832F7C">
              <w:rPr>
                <w:sz w:val="24"/>
                <w:szCs w:val="24"/>
              </w:rPr>
              <w:t>.22</w:t>
            </w:r>
          </w:p>
        </w:tc>
        <w:tc>
          <w:tcPr>
            <w:tcW w:w="886" w:type="dxa"/>
            <w:vAlign w:val="center"/>
          </w:tcPr>
          <w:p w:rsidR="00A30DBD" w:rsidRPr="00832F7C" w:rsidP="00AE3B51" w14:paraId="0C06C765" w14:textId="77777777">
            <w:pPr>
              <w:pStyle w:val="table"/>
              <w:spacing w:line="240" w:lineRule="auto"/>
              <w:jc w:val="center"/>
              <w:rPr>
                <w:sz w:val="24"/>
                <w:szCs w:val="24"/>
              </w:rPr>
            </w:pPr>
            <w:r w:rsidRPr="00832F7C">
              <w:rPr>
                <w:sz w:val="24"/>
                <w:szCs w:val="24"/>
              </w:rPr>
              <w:t>160</w:t>
            </w:r>
          </w:p>
        </w:tc>
      </w:tr>
      <w:tr w14:paraId="617FD2F6" w14:textId="77777777" w:rsidTr="00AE3B51">
        <w:tblPrEx>
          <w:tblW w:w="8995" w:type="dxa"/>
          <w:jc w:val="center"/>
          <w:tblCellMar>
            <w:top w:w="15" w:type="dxa"/>
            <w:left w:w="15" w:type="dxa"/>
            <w:bottom w:w="15" w:type="dxa"/>
            <w:right w:w="15" w:type="dxa"/>
          </w:tblCellMar>
          <w:tblLook w:val="04A0"/>
        </w:tblPrEx>
        <w:trPr>
          <w:jc w:val="center"/>
        </w:trPr>
        <w:tc>
          <w:tcPr>
            <w:tcW w:w="1980" w:type="dxa"/>
            <w:shd w:val="clear" w:color="auto" w:fill="auto"/>
            <w:tcMar>
              <w:top w:w="0" w:type="dxa"/>
              <w:left w:w="75" w:type="dxa"/>
              <w:bottom w:w="0" w:type="dxa"/>
              <w:right w:w="75" w:type="dxa"/>
            </w:tcMar>
            <w:vAlign w:val="center"/>
            <w:hideMark/>
          </w:tcPr>
          <w:p w:rsidR="00A30DBD" w:rsidRPr="00832F7C" w:rsidP="007742A5" w14:paraId="015F3E3A" w14:textId="77777777">
            <w:pPr>
              <w:pStyle w:val="table"/>
              <w:spacing w:line="240" w:lineRule="auto"/>
              <w:rPr>
                <w:sz w:val="24"/>
                <w:szCs w:val="24"/>
              </w:rPr>
            </w:pPr>
            <w:r w:rsidRPr="00832F7C">
              <w:rPr>
                <w:sz w:val="24"/>
                <w:szCs w:val="24"/>
              </w:rPr>
              <w:t xml:space="preserve">Pearson’s </w:t>
            </w:r>
            <w:r w:rsidRPr="00832F7C">
              <w:rPr>
                <w:i/>
                <w:iCs/>
                <w:sz w:val="24"/>
                <w:szCs w:val="24"/>
              </w:rPr>
              <w:t>r</w:t>
            </w:r>
          </w:p>
        </w:tc>
        <w:tc>
          <w:tcPr>
            <w:tcW w:w="990" w:type="dxa"/>
            <w:shd w:val="clear" w:color="auto" w:fill="auto"/>
            <w:tcMar>
              <w:top w:w="0" w:type="dxa"/>
              <w:left w:w="75" w:type="dxa"/>
              <w:bottom w:w="0" w:type="dxa"/>
              <w:right w:w="75" w:type="dxa"/>
            </w:tcMar>
            <w:vAlign w:val="center"/>
            <w:hideMark/>
          </w:tcPr>
          <w:p w:rsidR="00A30DBD" w:rsidRPr="00832F7C" w:rsidP="007742A5" w14:paraId="3DE2F4E3" w14:textId="77777777">
            <w:pPr>
              <w:pStyle w:val="table"/>
              <w:spacing w:line="240" w:lineRule="auto"/>
              <w:rPr>
                <w:sz w:val="24"/>
                <w:szCs w:val="24"/>
              </w:rPr>
            </w:pPr>
            <w:r w:rsidRPr="00832F7C">
              <w:rPr>
                <w:sz w:val="24"/>
                <w:szCs w:val="24"/>
              </w:rPr>
              <w:t>Two</w:t>
            </w:r>
          </w:p>
        </w:tc>
        <w:tc>
          <w:tcPr>
            <w:tcW w:w="2063" w:type="dxa"/>
            <w:shd w:val="clear" w:color="auto" w:fill="auto"/>
            <w:tcMar>
              <w:top w:w="0" w:type="dxa"/>
              <w:left w:w="75" w:type="dxa"/>
              <w:bottom w:w="0" w:type="dxa"/>
              <w:right w:w="75" w:type="dxa"/>
            </w:tcMar>
            <w:vAlign w:val="center"/>
            <w:hideMark/>
          </w:tcPr>
          <w:p w:rsidR="00A30DBD" w:rsidRPr="00832F7C" w:rsidP="007742A5" w14:paraId="46D97CAF" w14:textId="77777777">
            <w:pPr>
              <w:pStyle w:val="table"/>
              <w:spacing w:line="240" w:lineRule="auto"/>
              <w:rPr>
                <w:sz w:val="24"/>
                <w:szCs w:val="24"/>
              </w:rPr>
            </w:pPr>
            <w:r w:rsidRPr="00832F7C">
              <w:rPr>
                <w:sz w:val="24"/>
                <w:szCs w:val="24"/>
              </w:rPr>
              <w:t>Lower bound of 95% CI</w:t>
            </w:r>
          </w:p>
        </w:tc>
        <w:tc>
          <w:tcPr>
            <w:tcW w:w="626" w:type="dxa"/>
            <w:shd w:val="clear" w:color="auto" w:fill="auto"/>
            <w:tcMar>
              <w:top w:w="0" w:type="dxa"/>
              <w:left w:w="75" w:type="dxa"/>
              <w:bottom w:w="0" w:type="dxa"/>
              <w:right w:w="75" w:type="dxa"/>
            </w:tcMar>
            <w:vAlign w:val="center"/>
            <w:hideMark/>
          </w:tcPr>
          <w:p w:rsidR="00A30DBD" w:rsidRPr="00832F7C" w:rsidP="00AE3B51" w14:paraId="2091312C" w14:textId="77777777">
            <w:pPr>
              <w:pStyle w:val="table"/>
              <w:spacing w:line="240" w:lineRule="auto"/>
              <w:jc w:val="center"/>
              <w:rPr>
                <w:sz w:val="24"/>
                <w:szCs w:val="24"/>
              </w:rPr>
            </w:pPr>
            <w:r w:rsidRPr="00832F7C">
              <w:rPr>
                <w:sz w:val="24"/>
                <w:szCs w:val="24"/>
              </w:rPr>
              <w:t>0.40</w:t>
            </w:r>
          </w:p>
        </w:tc>
        <w:tc>
          <w:tcPr>
            <w:tcW w:w="930" w:type="dxa"/>
            <w:vAlign w:val="center"/>
          </w:tcPr>
          <w:p w:rsidR="00A30DBD" w:rsidRPr="00832F7C" w:rsidP="00AE3B51" w14:paraId="7D183887" w14:textId="77777777">
            <w:pPr>
              <w:pStyle w:val="table"/>
              <w:spacing w:line="240" w:lineRule="auto"/>
              <w:jc w:val="center"/>
              <w:rPr>
                <w:sz w:val="24"/>
                <w:szCs w:val="24"/>
              </w:rPr>
            </w:pPr>
            <w:r w:rsidRPr="00832F7C">
              <w:rPr>
                <w:sz w:val="24"/>
                <w:szCs w:val="24"/>
              </w:rPr>
              <w:t>-</w:t>
            </w:r>
          </w:p>
        </w:tc>
        <w:tc>
          <w:tcPr>
            <w:tcW w:w="898" w:type="dxa"/>
            <w:vAlign w:val="center"/>
          </w:tcPr>
          <w:p w:rsidR="00A30DBD" w:rsidRPr="00832F7C" w:rsidP="00AE3B51" w14:paraId="253D8131" w14:textId="77777777">
            <w:pPr>
              <w:pStyle w:val="table"/>
              <w:spacing w:line="240" w:lineRule="auto"/>
              <w:jc w:val="center"/>
              <w:rPr>
                <w:sz w:val="24"/>
                <w:szCs w:val="24"/>
              </w:rPr>
            </w:pPr>
            <w:r w:rsidRPr="00832F7C">
              <w:rPr>
                <w:sz w:val="24"/>
                <w:szCs w:val="24"/>
              </w:rPr>
              <w:t>46</w:t>
            </w:r>
          </w:p>
        </w:tc>
        <w:tc>
          <w:tcPr>
            <w:tcW w:w="622" w:type="dxa"/>
            <w:vAlign w:val="center"/>
          </w:tcPr>
          <w:p w:rsidR="00A30DBD" w:rsidRPr="00832F7C" w:rsidP="00AE3B51" w14:paraId="4391E8BA" w14:textId="77777777">
            <w:pPr>
              <w:pStyle w:val="table"/>
              <w:spacing w:line="240" w:lineRule="auto"/>
              <w:jc w:val="center"/>
              <w:rPr>
                <w:sz w:val="24"/>
                <w:szCs w:val="24"/>
              </w:rPr>
            </w:pPr>
            <w:r w:rsidRPr="00832F7C">
              <w:rPr>
                <w:sz w:val="24"/>
                <w:szCs w:val="24"/>
              </w:rPr>
              <w:t>.15</w:t>
            </w:r>
          </w:p>
        </w:tc>
        <w:tc>
          <w:tcPr>
            <w:tcW w:w="886" w:type="dxa"/>
            <w:vAlign w:val="center"/>
          </w:tcPr>
          <w:p w:rsidR="00A30DBD" w:rsidRPr="00832F7C" w:rsidP="00AE3B51" w14:paraId="4F99FCB0" w14:textId="77777777">
            <w:pPr>
              <w:pStyle w:val="table"/>
              <w:spacing w:line="240" w:lineRule="auto"/>
              <w:jc w:val="center"/>
              <w:rPr>
                <w:sz w:val="24"/>
                <w:szCs w:val="24"/>
              </w:rPr>
            </w:pPr>
            <w:r w:rsidRPr="00832F7C">
              <w:rPr>
                <w:sz w:val="24"/>
                <w:szCs w:val="24"/>
              </w:rPr>
              <w:t>346</w:t>
            </w:r>
          </w:p>
        </w:tc>
      </w:tr>
      <w:tr w14:paraId="3554A594" w14:textId="77777777" w:rsidTr="00AE3B51">
        <w:tblPrEx>
          <w:tblW w:w="8995" w:type="dxa"/>
          <w:jc w:val="center"/>
          <w:tblCellMar>
            <w:top w:w="15" w:type="dxa"/>
            <w:left w:w="15" w:type="dxa"/>
            <w:bottom w:w="15" w:type="dxa"/>
            <w:right w:w="15" w:type="dxa"/>
          </w:tblCellMar>
          <w:tblLook w:val="04A0"/>
        </w:tblPrEx>
        <w:trPr>
          <w:jc w:val="center"/>
        </w:trPr>
        <w:tc>
          <w:tcPr>
            <w:tcW w:w="1980" w:type="dxa"/>
            <w:shd w:val="clear" w:color="auto" w:fill="auto"/>
            <w:tcMar>
              <w:top w:w="0" w:type="dxa"/>
              <w:left w:w="75" w:type="dxa"/>
              <w:bottom w:w="0" w:type="dxa"/>
              <w:right w:w="75" w:type="dxa"/>
            </w:tcMar>
            <w:vAlign w:val="center"/>
            <w:hideMark/>
          </w:tcPr>
          <w:p w:rsidR="00A30DBD" w:rsidRPr="00832F7C" w:rsidP="007742A5" w14:paraId="7FCD1E33" w14:textId="77777777">
            <w:pPr>
              <w:pStyle w:val="table"/>
              <w:spacing w:line="240" w:lineRule="auto"/>
              <w:rPr>
                <w:sz w:val="24"/>
                <w:szCs w:val="24"/>
              </w:rPr>
            </w:pPr>
            <w:r w:rsidRPr="00832F7C">
              <w:rPr>
                <w:sz w:val="24"/>
                <w:szCs w:val="24"/>
              </w:rPr>
              <w:t xml:space="preserve">Independent </w:t>
            </w:r>
            <w:r w:rsidRPr="00832F7C">
              <w:rPr>
                <w:i/>
                <w:iCs/>
                <w:sz w:val="24"/>
                <w:szCs w:val="24"/>
              </w:rPr>
              <w:t>t</w:t>
            </w:r>
            <w:r w:rsidRPr="00832F7C">
              <w:rPr>
                <w:sz w:val="24"/>
                <w:szCs w:val="24"/>
              </w:rPr>
              <w:t xml:space="preserve">-test (Cohen’s </w:t>
            </w:r>
            <w:r w:rsidRPr="00832F7C">
              <w:rPr>
                <w:i/>
                <w:iCs/>
                <w:sz w:val="24"/>
                <w:szCs w:val="24"/>
              </w:rPr>
              <w:t>d</w:t>
            </w:r>
            <w:r w:rsidRPr="00832F7C">
              <w:rPr>
                <w:sz w:val="24"/>
                <w:szCs w:val="24"/>
              </w:rPr>
              <w:t>)*</w:t>
            </w:r>
            <w:r w:rsidRPr="00832F7C">
              <w:rPr>
                <w:sz w:val="24"/>
                <w:szCs w:val="24"/>
              </w:rPr>
              <w:t>*</w:t>
            </w:r>
          </w:p>
        </w:tc>
        <w:tc>
          <w:tcPr>
            <w:tcW w:w="990" w:type="dxa"/>
            <w:shd w:val="clear" w:color="auto" w:fill="auto"/>
            <w:tcMar>
              <w:top w:w="0" w:type="dxa"/>
              <w:left w:w="75" w:type="dxa"/>
              <w:bottom w:w="0" w:type="dxa"/>
              <w:right w:w="75" w:type="dxa"/>
            </w:tcMar>
            <w:vAlign w:val="center"/>
            <w:hideMark/>
          </w:tcPr>
          <w:p w:rsidR="00A30DBD" w:rsidRPr="00832F7C" w:rsidP="007742A5" w14:paraId="7B0C8DE0" w14:textId="77777777">
            <w:pPr>
              <w:pStyle w:val="table"/>
              <w:spacing w:line="240" w:lineRule="auto"/>
              <w:rPr>
                <w:sz w:val="24"/>
                <w:szCs w:val="24"/>
              </w:rPr>
            </w:pPr>
            <w:r w:rsidRPr="00832F7C">
              <w:rPr>
                <w:sz w:val="24"/>
                <w:szCs w:val="24"/>
              </w:rPr>
              <w:t>One</w:t>
            </w:r>
          </w:p>
        </w:tc>
        <w:tc>
          <w:tcPr>
            <w:tcW w:w="2063" w:type="dxa"/>
            <w:shd w:val="clear" w:color="auto" w:fill="auto"/>
            <w:tcMar>
              <w:top w:w="0" w:type="dxa"/>
              <w:left w:w="75" w:type="dxa"/>
              <w:bottom w:w="0" w:type="dxa"/>
              <w:right w:w="75" w:type="dxa"/>
            </w:tcMar>
            <w:vAlign w:val="center"/>
            <w:hideMark/>
          </w:tcPr>
          <w:p w:rsidR="00A30DBD" w:rsidRPr="00832F7C" w:rsidP="007742A5" w14:paraId="2BABB440" w14:textId="77777777">
            <w:pPr>
              <w:pStyle w:val="table"/>
              <w:spacing w:line="240" w:lineRule="auto"/>
              <w:rPr>
                <w:sz w:val="24"/>
                <w:szCs w:val="24"/>
              </w:rPr>
            </w:pPr>
            <w:r w:rsidRPr="00832F7C">
              <w:rPr>
                <w:sz w:val="24"/>
                <w:szCs w:val="24"/>
              </w:rPr>
              <w:t>Point estimate</w:t>
            </w:r>
          </w:p>
        </w:tc>
        <w:tc>
          <w:tcPr>
            <w:tcW w:w="626" w:type="dxa"/>
            <w:shd w:val="clear" w:color="auto" w:fill="auto"/>
            <w:tcMar>
              <w:top w:w="0" w:type="dxa"/>
              <w:left w:w="75" w:type="dxa"/>
              <w:bottom w:w="0" w:type="dxa"/>
              <w:right w:w="75" w:type="dxa"/>
            </w:tcMar>
            <w:vAlign w:val="center"/>
            <w:hideMark/>
          </w:tcPr>
          <w:p w:rsidR="00A30DBD" w:rsidRPr="00832F7C" w:rsidP="00AE3B51" w14:paraId="752EC80C" w14:textId="77777777">
            <w:pPr>
              <w:pStyle w:val="table"/>
              <w:spacing w:line="240" w:lineRule="auto"/>
              <w:jc w:val="center"/>
              <w:rPr>
                <w:sz w:val="24"/>
                <w:szCs w:val="24"/>
              </w:rPr>
            </w:pPr>
            <w:r w:rsidRPr="00832F7C">
              <w:rPr>
                <w:sz w:val="24"/>
                <w:szCs w:val="24"/>
              </w:rPr>
              <w:t>1.01</w:t>
            </w:r>
          </w:p>
        </w:tc>
        <w:tc>
          <w:tcPr>
            <w:tcW w:w="930" w:type="dxa"/>
            <w:vAlign w:val="center"/>
          </w:tcPr>
          <w:p w:rsidR="00A30DBD" w:rsidRPr="00832F7C" w:rsidP="00AE3B51" w14:paraId="1EBD7B88" w14:textId="77777777">
            <w:pPr>
              <w:pStyle w:val="table"/>
              <w:spacing w:line="240" w:lineRule="auto"/>
              <w:jc w:val="center"/>
              <w:rPr>
                <w:sz w:val="24"/>
                <w:szCs w:val="24"/>
              </w:rPr>
            </w:pPr>
            <w:r w:rsidRPr="00832F7C">
              <w:rPr>
                <w:sz w:val="24"/>
                <w:szCs w:val="24"/>
              </w:rPr>
              <w:t>26</w:t>
            </w:r>
          </w:p>
        </w:tc>
        <w:tc>
          <w:tcPr>
            <w:tcW w:w="898" w:type="dxa"/>
            <w:vAlign w:val="center"/>
          </w:tcPr>
          <w:p w:rsidR="00A30DBD" w:rsidRPr="00832F7C" w:rsidP="00AE3B51" w14:paraId="6638DDF4" w14:textId="77777777">
            <w:pPr>
              <w:pStyle w:val="table"/>
              <w:spacing w:line="240" w:lineRule="auto"/>
              <w:jc w:val="center"/>
              <w:rPr>
                <w:sz w:val="24"/>
                <w:szCs w:val="24"/>
              </w:rPr>
            </w:pPr>
            <w:r w:rsidRPr="00832F7C">
              <w:rPr>
                <w:sz w:val="24"/>
                <w:szCs w:val="24"/>
              </w:rPr>
              <w:t>26</w:t>
            </w:r>
          </w:p>
        </w:tc>
        <w:tc>
          <w:tcPr>
            <w:tcW w:w="622" w:type="dxa"/>
            <w:vAlign w:val="center"/>
          </w:tcPr>
          <w:p w:rsidR="00A30DBD" w:rsidRPr="00832F7C" w:rsidP="00AE3B51" w14:paraId="2EA7D9C5" w14:textId="77777777">
            <w:pPr>
              <w:pStyle w:val="table"/>
              <w:spacing w:line="240" w:lineRule="auto"/>
              <w:jc w:val="center"/>
              <w:rPr>
                <w:sz w:val="24"/>
                <w:szCs w:val="24"/>
              </w:rPr>
            </w:pPr>
            <w:r w:rsidRPr="00832F7C">
              <w:rPr>
                <w:sz w:val="24"/>
                <w:szCs w:val="24"/>
              </w:rPr>
              <w:t>.45</w:t>
            </w:r>
          </w:p>
        </w:tc>
        <w:tc>
          <w:tcPr>
            <w:tcW w:w="886" w:type="dxa"/>
            <w:vAlign w:val="center"/>
          </w:tcPr>
          <w:p w:rsidR="00A30DBD" w:rsidRPr="00832F7C" w:rsidP="00AE3B51" w14:paraId="785A2544" w14:textId="77777777">
            <w:pPr>
              <w:pStyle w:val="table"/>
              <w:spacing w:line="240" w:lineRule="auto"/>
              <w:jc w:val="center"/>
              <w:rPr>
                <w:sz w:val="24"/>
                <w:szCs w:val="24"/>
              </w:rPr>
            </w:pPr>
            <w:r w:rsidRPr="00832F7C">
              <w:rPr>
                <w:sz w:val="24"/>
                <w:szCs w:val="24"/>
              </w:rPr>
              <w:t>124</w:t>
            </w:r>
          </w:p>
        </w:tc>
      </w:tr>
      <w:tr w14:paraId="63E99674" w14:textId="77777777" w:rsidTr="00AE3B51">
        <w:tblPrEx>
          <w:tblW w:w="8995" w:type="dxa"/>
          <w:jc w:val="center"/>
          <w:tblCellMar>
            <w:top w:w="15" w:type="dxa"/>
            <w:left w:w="15" w:type="dxa"/>
            <w:bottom w:w="15" w:type="dxa"/>
            <w:right w:w="15" w:type="dxa"/>
          </w:tblCellMar>
          <w:tblLook w:val="04A0"/>
        </w:tblPrEx>
        <w:trPr>
          <w:jc w:val="center"/>
        </w:trPr>
        <w:tc>
          <w:tcPr>
            <w:tcW w:w="1980" w:type="dxa"/>
            <w:shd w:val="clear" w:color="auto" w:fill="auto"/>
            <w:tcMar>
              <w:top w:w="0" w:type="dxa"/>
              <w:left w:w="75" w:type="dxa"/>
              <w:bottom w:w="0" w:type="dxa"/>
              <w:right w:w="75" w:type="dxa"/>
            </w:tcMar>
            <w:vAlign w:val="center"/>
            <w:hideMark/>
          </w:tcPr>
          <w:p w:rsidR="00A30DBD" w:rsidRPr="00832F7C" w:rsidP="007742A5" w14:paraId="0B60EC9F" w14:textId="77777777">
            <w:pPr>
              <w:pStyle w:val="table"/>
              <w:spacing w:line="240" w:lineRule="auto"/>
              <w:rPr>
                <w:sz w:val="24"/>
                <w:szCs w:val="24"/>
              </w:rPr>
            </w:pPr>
            <w:r w:rsidRPr="00832F7C">
              <w:rPr>
                <w:sz w:val="24"/>
                <w:szCs w:val="24"/>
              </w:rPr>
              <w:t xml:space="preserve">Independent </w:t>
            </w:r>
            <w:r w:rsidRPr="00832F7C">
              <w:rPr>
                <w:i/>
                <w:iCs/>
                <w:sz w:val="24"/>
                <w:szCs w:val="24"/>
              </w:rPr>
              <w:t>t</w:t>
            </w:r>
            <w:r w:rsidRPr="00832F7C">
              <w:rPr>
                <w:sz w:val="24"/>
                <w:szCs w:val="24"/>
              </w:rPr>
              <w:t xml:space="preserve">-test (Cohen’s </w:t>
            </w:r>
            <w:r w:rsidRPr="00832F7C">
              <w:rPr>
                <w:i/>
                <w:iCs/>
                <w:sz w:val="24"/>
                <w:szCs w:val="24"/>
              </w:rPr>
              <w:t>d</w:t>
            </w:r>
            <w:r w:rsidRPr="00832F7C">
              <w:rPr>
                <w:sz w:val="24"/>
                <w:szCs w:val="24"/>
              </w:rPr>
              <w:t>)*</w:t>
            </w:r>
            <w:r w:rsidRPr="00832F7C">
              <w:rPr>
                <w:sz w:val="24"/>
                <w:szCs w:val="24"/>
              </w:rPr>
              <w:t>*</w:t>
            </w:r>
          </w:p>
        </w:tc>
        <w:tc>
          <w:tcPr>
            <w:tcW w:w="990" w:type="dxa"/>
            <w:shd w:val="clear" w:color="auto" w:fill="auto"/>
            <w:tcMar>
              <w:top w:w="0" w:type="dxa"/>
              <w:left w:w="75" w:type="dxa"/>
              <w:bottom w:w="0" w:type="dxa"/>
              <w:right w:w="75" w:type="dxa"/>
            </w:tcMar>
            <w:vAlign w:val="center"/>
            <w:hideMark/>
          </w:tcPr>
          <w:p w:rsidR="00A30DBD" w:rsidRPr="00832F7C" w:rsidP="007742A5" w14:paraId="206238AD" w14:textId="77777777">
            <w:pPr>
              <w:pStyle w:val="table"/>
              <w:spacing w:line="240" w:lineRule="auto"/>
              <w:rPr>
                <w:sz w:val="24"/>
                <w:szCs w:val="24"/>
              </w:rPr>
            </w:pPr>
            <w:r w:rsidRPr="00832F7C">
              <w:rPr>
                <w:sz w:val="24"/>
                <w:szCs w:val="24"/>
              </w:rPr>
              <w:t>One</w:t>
            </w:r>
          </w:p>
        </w:tc>
        <w:tc>
          <w:tcPr>
            <w:tcW w:w="2063" w:type="dxa"/>
            <w:shd w:val="clear" w:color="auto" w:fill="auto"/>
            <w:tcMar>
              <w:top w:w="0" w:type="dxa"/>
              <w:left w:w="75" w:type="dxa"/>
              <w:bottom w:w="0" w:type="dxa"/>
              <w:right w:w="75" w:type="dxa"/>
            </w:tcMar>
            <w:vAlign w:val="center"/>
            <w:hideMark/>
          </w:tcPr>
          <w:p w:rsidR="00A30DBD" w:rsidRPr="00832F7C" w:rsidP="007742A5" w14:paraId="7324FF10" w14:textId="77777777">
            <w:pPr>
              <w:pStyle w:val="table"/>
              <w:spacing w:line="240" w:lineRule="auto"/>
              <w:rPr>
                <w:sz w:val="24"/>
                <w:szCs w:val="24"/>
              </w:rPr>
            </w:pPr>
            <w:r w:rsidRPr="00832F7C">
              <w:rPr>
                <w:sz w:val="24"/>
                <w:szCs w:val="24"/>
              </w:rPr>
              <w:t>Lower bound of 95% CI</w:t>
            </w:r>
          </w:p>
        </w:tc>
        <w:tc>
          <w:tcPr>
            <w:tcW w:w="626" w:type="dxa"/>
            <w:shd w:val="clear" w:color="auto" w:fill="auto"/>
            <w:tcMar>
              <w:top w:w="0" w:type="dxa"/>
              <w:left w:w="75" w:type="dxa"/>
              <w:bottom w:w="0" w:type="dxa"/>
              <w:right w:w="75" w:type="dxa"/>
            </w:tcMar>
            <w:vAlign w:val="center"/>
            <w:hideMark/>
          </w:tcPr>
          <w:p w:rsidR="00A30DBD" w:rsidRPr="00832F7C" w:rsidP="00AE3B51" w14:paraId="6D5A0E2F" w14:textId="77777777">
            <w:pPr>
              <w:pStyle w:val="table"/>
              <w:spacing w:line="240" w:lineRule="auto"/>
              <w:jc w:val="center"/>
              <w:rPr>
                <w:sz w:val="24"/>
                <w:szCs w:val="24"/>
              </w:rPr>
            </w:pPr>
            <w:r w:rsidRPr="00832F7C">
              <w:rPr>
                <w:sz w:val="24"/>
                <w:szCs w:val="24"/>
              </w:rPr>
              <w:t>0.87</w:t>
            </w:r>
          </w:p>
        </w:tc>
        <w:tc>
          <w:tcPr>
            <w:tcW w:w="930" w:type="dxa"/>
            <w:vAlign w:val="center"/>
          </w:tcPr>
          <w:p w:rsidR="00A30DBD" w:rsidRPr="00832F7C" w:rsidP="00AE3B51" w14:paraId="32DF0734" w14:textId="77777777">
            <w:pPr>
              <w:pStyle w:val="table"/>
              <w:spacing w:line="240" w:lineRule="auto"/>
              <w:jc w:val="center"/>
              <w:rPr>
                <w:sz w:val="24"/>
                <w:szCs w:val="24"/>
              </w:rPr>
            </w:pPr>
            <w:r w:rsidRPr="00832F7C">
              <w:rPr>
                <w:sz w:val="24"/>
                <w:szCs w:val="24"/>
              </w:rPr>
              <w:t>36</w:t>
            </w:r>
          </w:p>
        </w:tc>
        <w:tc>
          <w:tcPr>
            <w:tcW w:w="898" w:type="dxa"/>
            <w:vAlign w:val="center"/>
          </w:tcPr>
          <w:p w:rsidR="00A30DBD" w:rsidRPr="00832F7C" w:rsidP="00AE3B51" w14:paraId="31241F8C" w14:textId="77777777">
            <w:pPr>
              <w:pStyle w:val="table"/>
              <w:spacing w:line="240" w:lineRule="auto"/>
              <w:jc w:val="center"/>
              <w:rPr>
                <w:sz w:val="24"/>
                <w:szCs w:val="24"/>
              </w:rPr>
            </w:pPr>
            <w:r w:rsidRPr="00832F7C">
              <w:rPr>
                <w:sz w:val="24"/>
                <w:szCs w:val="24"/>
              </w:rPr>
              <w:t>34***</w:t>
            </w:r>
          </w:p>
        </w:tc>
        <w:tc>
          <w:tcPr>
            <w:tcW w:w="622" w:type="dxa"/>
            <w:vAlign w:val="center"/>
          </w:tcPr>
          <w:p w:rsidR="00A30DBD" w:rsidRPr="00832F7C" w:rsidP="00AE3B51" w14:paraId="51DB068A" w14:textId="77777777">
            <w:pPr>
              <w:pStyle w:val="table"/>
              <w:spacing w:line="240" w:lineRule="auto"/>
              <w:jc w:val="center"/>
              <w:rPr>
                <w:sz w:val="24"/>
                <w:szCs w:val="24"/>
              </w:rPr>
            </w:pPr>
            <w:r w:rsidRPr="00832F7C">
              <w:rPr>
                <w:sz w:val="24"/>
                <w:szCs w:val="24"/>
              </w:rPr>
              <w:t>.30</w:t>
            </w:r>
          </w:p>
        </w:tc>
        <w:tc>
          <w:tcPr>
            <w:tcW w:w="886" w:type="dxa"/>
            <w:vAlign w:val="center"/>
          </w:tcPr>
          <w:p w:rsidR="00A30DBD" w:rsidRPr="00832F7C" w:rsidP="00AE3B51" w14:paraId="5A96BD50" w14:textId="77777777">
            <w:pPr>
              <w:pStyle w:val="table"/>
              <w:spacing w:line="240" w:lineRule="auto"/>
              <w:jc w:val="center"/>
              <w:rPr>
                <w:sz w:val="24"/>
                <w:szCs w:val="24"/>
              </w:rPr>
            </w:pPr>
            <w:r w:rsidRPr="00832F7C">
              <w:rPr>
                <w:sz w:val="24"/>
                <w:szCs w:val="24"/>
              </w:rPr>
              <w:t>270</w:t>
            </w:r>
          </w:p>
        </w:tc>
      </w:tr>
      <w:tr w14:paraId="1FAF5B92" w14:textId="77777777" w:rsidTr="00AE3B51">
        <w:tblPrEx>
          <w:tblW w:w="8995" w:type="dxa"/>
          <w:jc w:val="center"/>
          <w:tblCellMar>
            <w:top w:w="15" w:type="dxa"/>
            <w:left w:w="15" w:type="dxa"/>
            <w:bottom w:w="15" w:type="dxa"/>
            <w:right w:w="15" w:type="dxa"/>
          </w:tblCellMar>
          <w:tblLook w:val="04A0"/>
        </w:tblPrEx>
        <w:trPr>
          <w:trHeight w:val="47"/>
          <w:jc w:val="center"/>
        </w:trPr>
        <w:tc>
          <w:tcPr>
            <w:tcW w:w="1980" w:type="dxa"/>
            <w:tcBorders>
              <w:bottom w:val="nil"/>
            </w:tcBorders>
            <w:shd w:val="clear" w:color="auto" w:fill="auto"/>
            <w:tcMar>
              <w:top w:w="0" w:type="dxa"/>
              <w:left w:w="75" w:type="dxa"/>
              <w:bottom w:w="0" w:type="dxa"/>
              <w:right w:w="75" w:type="dxa"/>
            </w:tcMar>
            <w:vAlign w:val="center"/>
            <w:hideMark/>
          </w:tcPr>
          <w:p w:rsidR="00A30DBD" w:rsidRPr="00832F7C" w:rsidP="007742A5" w14:paraId="133DCBAA" w14:textId="77777777">
            <w:pPr>
              <w:pStyle w:val="table"/>
              <w:spacing w:line="240" w:lineRule="auto"/>
              <w:rPr>
                <w:sz w:val="24"/>
                <w:szCs w:val="24"/>
              </w:rPr>
            </w:pPr>
            <w:r w:rsidRPr="00832F7C">
              <w:rPr>
                <w:sz w:val="24"/>
                <w:szCs w:val="24"/>
              </w:rPr>
              <w:t xml:space="preserve">Dependent </w:t>
            </w:r>
            <w:r w:rsidRPr="00832F7C">
              <w:rPr>
                <w:i/>
                <w:iCs/>
                <w:sz w:val="24"/>
                <w:szCs w:val="24"/>
              </w:rPr>
              <w:t>t</w:t>
            </w:r>
            <w:r w:rsidRPr="00832F7C">
              <w:rPr>
                <w:sz w:val="24"/>
                <w:szCs w:val="24"/>
              </w:rPr>
              <w:t xml:space="preserve">-test (Cohen’s </w:t>
            </w:r>
            <w:r w:rsidRPr="00832F7C">
              <w:rPr>
                <w:i/>
                <w:iCs/>
                <w:sz w:val="24"/>
                <w:szCs w:val="24"/>
              </w:rPr>
              <w:t>d</w:t>
            </w:r>
            <w:r w:rsidRPr="00832F7C">
              <w:rPr>
                <w:sz w:val="24"/>
                <w:szCs w:val="24"/>
              </w:rPr>
              <w:t>) **</w:t>
            </w:r>
          </w:p>
        </w:tc>
        <w:tc>
          <w:tcPr>
            <w:tcW w:w="990" w:type="dxa"/>
            <w:tcBorders>
              <w:bottom w:val="nil"/>
            </w:tcBorders>
            <w:shd w:val="clear" w:color="auto" w:fill="auto"/>
            <w:tcMar>
              <w:top w:w="0" w:type="dxa"/>
              <w:left w:w="75" w:type="dxa"/>
              <w:bottom w:w="0" w:type="dxa"/>
              <w:right w:w="75" w:type="dxa"/>
            </w:tcMar>
            <w:vAlign w:val="center"/>
            <w:hideMark/>
          </w:tcPr>
          <w:p w:rsidR="00A30DBD" w:rsidRPr="00832F7C" w:rsidP="007742A5" w14:paraId="44BB0556" w14:textId="77777777">
            <w:pPr>
              <w:pStyle w:val="table"/>
              <w:spacing w:line="240" w:lineRule="auto"/>
              <w:rPr>
                <w:sz w:val="24"/>
                <w:szCs w:val="24"/>
              </w:rPr>
            </w:pPr>
            <w:r w:rsidRPr="00832F7C">
              <w:rPr>
                <w:sz w:val="24"/>
                <w:szCs w:val="24"/>
              </w:rPr>
              <w:t>One</w:t>
            </w:r>
          </w:p>
        </w:tc>
        <w:tc>
          <w:tcPr>
            <w:tcW w:w="2063" w:type="dxa"/>
            <w:tcBorders>
              <w:bottom w:val="nil"/>
            </w:tcBorders>
            <w:shd w:val="clear" w:color="auto" w:fill="auto"/>
            <w:tcMar>
              <w:top w:w="0" w:type="dxa"/>
              <w:left w:w="75" w:type="dxa"/>
              <w:bottom w:w="0" w:type="dxa"/>
              <w:right w:w="75" w:type="dxa"/>
            </w:tcMar>
            <w:vAlign w:val="center"/>
            <w:hideMark/>
          </w:tcPr>
          <w:p w:rsidR="00A30DBD" w:rsidRPr="00832F7C" w:rsidP="007742A5" w14:paraId="55C88025" w14:textId="77777777">
            <w:pPr>
              <w:pStyle w:val="table"/>
              <w:spacing w:line="240" w:lineRule="auto"/>
              <w:rPr>
                <w:sz w:val="24"/>
                <w:szCs w:val="24"/>
              </w:rPr>
            </w:pPr>
            <w:r w:rsidRPr="00832F7C">
              <w:rPr>
                <w:sz w:val="24"/>
                <w:szCs w:val="24"/>
              </w:rPr>
              <w:t>Point estimate</w:t>
            </w:r>
          </w:p>
        </w:tc>
        <w:tc>
          <w:tcPr>
            <w:tcW w:w="626" w:type="dxa"/>
            <w:tcBorders>
              <w:bottom w:val="nil"/>
            </w:tcBorders>
            <w:shd w:val="clear" w:color="auto" w:fill="auto"/>
            <w:tcMar>
              <w:top w:w="0" w:type="dxa"/>
              <w:left w:w="75" w:type="dxa"/>
              <w:bottom w:w="0" w:type="dxa"/>
              <w:right w:w="75" w:type="dxa"/>
            </w:tcMar>
            <w:vAlign w:val="center"/>
            <w:hideMark/>
          </w:tcPr>
          <w:p w:rsidR="00A30DBD" w:rsidRPr="00832F7C" w:rsidP="00AE3B51" w14:paraId="07E8E55C" w14:textId="77777777">
            <w:pPr>
              <w:pStyle w:val="table"/>
              <w:spacing w:line="240" w:lineRule="auto"/>
              <w:jc w:val="center"/>
              <w:rPr>
                <w:sz w:val="24"/>
                <w:szCs w:val="24"/>
              </w:rPr>
            </w:pPr>
            <w:r w:rsidRPr="00832F7C">
              <w:rPr>
                <w:sz w:val="24"/>
                <w:szCs w:val="24"/>
              </w:rPr>
              <w:t>1.01</w:t>
            </w:r>
          </w:p>
        </w:tc>
        <w:tc>
          <w:tcPr>
            <w:tcW w:w="930" w:type="dxa"/>
            <w:tcBorders>
              <w:bottom w:val="nil"/>
            </w:tcBorders>
            <w:vAlign w:val="center"/>
          </w:tcPr>
          <w:p w:rsidR="00A30DBD" w:rsidRPr="00832F7C" w:rsidP="00AE3B51" w14:paraId="0CB3ACB4" w14:textId="77777777">
            <w:pPr>
              <w:pStyle w:val="table"/>
              <w:spacing w:line="240" w:lineRule="auto"/>
              <w:jc w:val="center"/>
              <w:rPr>
                <w:sz w:val="24"/>
                <w:szCs w:val="24"/>
              </w:rPr>
            </w:pPr>
            <w:r w:rsidRPr="00832F7C">
              <w:rPr>
                <w:sz w:val="24"/>
                <w:szCs w:val="24"/>
              </w:rPr>
              <w:t>8</w:t>
            </w:r>
          </w:p>
        </w:tc>
        <w:tc>
          <w:tcPr>
            <w:tcW w:w="898" w:type="dxa"/>
            <w:tcBorders>
              <w:bottom w:val="nil"/>
            </w:tcBorders>
            <w:vAlign w:val="center"/>
          </w:tcPr>
          <w:p w:rsidR="00A30DBD" w:rsidRPr="00832F7C" w:rsidP="00AE3B51" w14:paraId="63F5244B" w14:textId="77777777">
            <w:pPr>
              <w:pStyle w:val="table"/>
              <w:spacing w:line="240" w:lineRule="auto"/>
              <w:jc w:val="center"/>
              <w:rPr>
                <w:sz w:val="24"/>
                <w:szCs w:val="24"/>
              </w:rPr>
            </w:pPr>
            <w:r w:rsidRPr="00832F7C">
              <w:rPr>
                <w:sz w:val="24"/>
                <w:szCs w:val="24"/>
              </w:rPr>
              <w:t>8</w:t>
            </w:r>
          </w:p>
        </w:tc>
        <w:tc>
          <w:tcPr>
            <w:tcW w:w="622" w:type="dxa"/>
            <w:tcBorders>
              <w:bottom w:val="nil"/>
            </w:tcBorders>
            <w:vAlign w:val="center"/>
          </w:tcPr>
          <w:p w:rsidR="00A30DBD" w:rsidRPr="00832F7C" w:rsidP="00AE3B51" w14:paraId="4E7E4635" w14:textId="77777777">
            <w:pPr>
              <w:pStyle w:val="table"/>
              <w:spacing w:line="240" w:lineRule="auto"/>
              <w:jc w:val="center"/>
              <w:rPr>
                <w:sz w:val="24"/>
                <w:szCs w:val="24"/>
              </w:rPr>
            </w:pPr>
            <w:r w:rsidRPr="00832F7C">
              <w:rPr>
                <w:sz w:val="24"/>
                <w:szCs w:val="24"/>
              </w:rPr>
              <w:t>.45</w:t>
            </w:r>
          </w:p>
        </w:tc>
        <w:tc>
          <w:tcPr>
            <w:tcW w:w="886" w:type="dxa"/>
            <w:tcBorders>
              <w:bottom w:val="nil"/>
            </w:tcBorders>
            <w:vAlign w:val="center"/>
          </w:tcPr>
          <w:p w:rsidR="00A30DBD" w:rsidRPr="00832F7C" w:rsidP="00AE3B51" w14:paraId="5D584DD9" w14:textId="77777777">
            <w:pPr>
              <w:pStyle w:val="table"/>
              <w:spacing w:line="240" w:lineRule="auto"/>
              <w:jc w:val="center"/>
              <w:rPr>
                <w:sz w:val="24"/>
                <w:szCs w:val="24"/>
              </w:rPr>
            </w:pPr>
            <w:r w:rsidRPr="00832F7C">
              <w:rPr>
                <w:sz w:val="24"/>
                <w:szCs w:val="24"/>
              </w:rPr>
              <w:t>32</w:t>
            </w:r>
          </w:p>
        </w:tc>
      </w:tr>
      <w:tr w14:paraId="6374A3C0" w14:textId="77777777" w:rsidTr="00AE3B51">
        <w:tblPrEx>
          <w:tblW w:w="8995" w:type="dxa"/>
          <w:jc w:val="center"/>
          <w:tblCellMar>
            <w:top w:w="15" w:type="dxa"/>
            <w:left w:w="15" w:type="dxa"/>
            <w:bottom w:w="15" w:type="dxa"/>
            <w:right w:w="15" w:type="dxa"/>
          </w:tblCellMar>
          <w:tblLook w:val="04A0"/>
        </w:tblPrEx>
        <w:trPr>
          <w:jc w:val="center"/>
        </w:trPr>
        <w:tc>
          <w:tcPr>
            <w:tcW w:w="1980" w:type="dxa"/>
            <w:tcBorders>
              <w:top w:val="nil"/>
              <w:bottom w:val="single" w:sz="4" w:space="0" w:color="auto"/>
            </w:tcBorders>
            <w:shd w:val="clear" w:color="auto" w:fill="auto"/>
            <w:tcMar>
              <w:top w:w="0" w:type="dxa"/>
              <w:left w:w="75" w:type="dxa"/>
              <w:bottom w:w="0" w:type="dxa"/>
              <w:right w:w="75" w:type="dxa"/>
            </w:tcMar>
            <w:vAlign w:val="center"/>
            <w:hideMark/>
          </w:tcPr>
          <w:p w:rsidR="00A30DBD" w:rsidRPr="00832F7C" w:rsidP="007742A5" w14:paraId="2558AC6F" w14:textId="77777777">
            <w:pPr>
              <w:pStyle w:val="table"/>
              <w:spacing w:line="240" w:lineRule="auto"/>
              <w:rPr>
                <w:sz w:val="24"/>
                <w:szCs w:val="24"/>
              </w:rPr>
            </w:pPr>
            <w:r w:rsidRPr="00832F7C">
              <w:rPr>
                <w:sz w:val="24"/>
                <w:szCs w:val="24"/>
              </w:rPr>
              <w:t xml:space="preserve">Dependent </w:t>
            </w:r>
            <w:r w:rsidRPr="00832F7C">
              <w:rPr>
                <w:i/>
                <w:iCs/>
                <w:sz w:val="24"/>
                <w:szCs w:val="24"/>
              </w:rPr>
              <w:t>t</w:t>
            </w:r>
            <w:r w:rsidRPr="00832F7C">
              <w:rPr>
                <w:sz w:val="24"/>
                <w:szCs w:val="24"/>
              </w:rPr>
              <w:t xml:space="preserve">-test (Cohen’s </w:t>
            </w:r>
            <w:r w:rsidRPr="00832F7C">
              <w:rPr>
                <w:i/>
                <w:iCs/>
                <w:sz w:val="24"/>
                <w:szCs w:val="24"/>
              </w:rPr>
              <w:t>d</w:t>
            </w:r>
            <w:r w:rsidRPr="00832F7C">
              <w:rPr>
                <w:sz w:val="24"/>
                <w:szCs w:val="24"/>
              </w:rPr>
              <w:t>) **</w:t>
            </w:r>
          </w:p>
        </w:tc>
        <w:tc>
          <w:tcPr>
            <w:tcW w:w="990" w:type="dxa"/>
            <w:tcBorders>
              <w:top w:val="nil"/>
              <w:bottom w:val="single" w:sz="4" w:space="0" w:color="auto"/>
            </w:tcBorders>
            <w:shd w:val="clear" w:color="auto" w:fill="auto"/>
            <w:tcMar>
              <w:top w:w="0" w:type="dxa"/>
              <w:left w:w="75" w:type="dxa"/>
              <w:bottom w:w="0" w:type="dxa"/>
              <w:right w:w="75" w:type="dxa"/>
            </w:tcMar>
            <w:vAlign w:val="center"/>
            <w:hideMark/>
          </w:tcPr>
          <w:p w:rsidR="00A30DBD" w:rsidRPr="00832F7C" w:rsidP="007742A5" w14:paraId="55DBE13C" w14:textId="77777777">
            <w:pPr>
              <w:pStyle w:val="table"/>
              <w:spacing w:line="240" w:lineRule="auto"/>
              <w:rPr>
                <w:sz w:val="24"/>
                <w:szCs w:val="24"/>
              </w:rPr>
            </w:pPr>
            <w:r w:rsidRPr="00832F7C">
              <w:rPr>
                <w:sz w:val="24"/>
                <w:szCs w:val="24"/>
              </w:rPr>
              <w:t>One</w:t>
            </w:r>
          </w:p>
        </w:tc>
        <w:tc>
          <w:tcPr>
            <w:tcW w:w="2063" w:type="dxa"/>
            <w:tcBorders>
              <w:top w:val="nil"/>
              <w:bottom w:val="single" w:sz="4" w:space="0" w:color="auto"/>
            </w:tcBorders>
            <w:shd w:val="clear" w:color="auto" w:fill="auto"/>
            <w:tcMar>
              <w:top w:w="0" w:type="dxa"/>
              <w:left w:w="75" w:type="dxa"/>
              <w:bottom w:w="0" w:type="dxa"/>
              <w:right w:w="75" w:type="dxa"/>
            </w:tcMar>
            <w:vAlign w:val="center"/>
            <w:hideMark/>
          </w:tcPr>
          <w:p w:rsidR="00A30DBD" w:rsidRPr="00832F7C" w:rsidP="007742A5" w14:paraId="6F5C9C80" w14:textId="77777777">
            <w:pPr>
              <w:pStyle w:val="table"/>
              <w:spacing w:line="240" w:lineRule="auto"/>
              <w:rPr>
                <w:sz w:val="24"/>
                <w:szCs w:val="24"/>
              </w:rPr>
            </w:pPr>
            <w:r w:rsidRPr="00832F7C">
              <w:rPr>
                <w:sz w:val="24"/>
                <w:szCs w:val="24"/>
              </w:rPr>
              <w:t>Lower bound of 95% CI</w:t>
            </w:r>
          </w:p>
        </w:tc>
        <w:tc>
          <w:tcPr>
            <w:tcW w:w="626" w:type="dxa"/>
            <w:tcBorders>
              <w:top w:val="nil"/>
              <w:bottom w:val="single" w:sz="4" w:space="0" w:color="auto"/>
            </w:tcBorders>
            <w:shd w:val="clear" w:color="auto" w:fill="auto"/>
            <w:tcMar>
              <w:top w:w="0" w:type="dxa"/>
              <w:left w:w="75" w:type="dxa"/>
              <w:bottom w:w="0" w:type="dxa"/>
              <w:right w:w="75" w:type="dxa"/>
            </w:tcMar>
            <w:vAlign w:val="center"/>
            <w:hideMark/>
          </w:tcPr>
          <w:p w:rsidR="00A30DBD" w:rsidRPr="00832F7C" w:rsidP="00AE3B51" w14:paraId="4EECD54F" w14:textId="77777777">
            <w:pPr>
              <w:pStyle w:val="table"/>
              <w:spacing w:line="240" w:lineRule="auto"/>
              <w:jc w:val="center"/>
              <w:rPr>
                <w:sz w:val="24"/>
                <w:szCs w:val="24"/>
              </w:rPr>
            </w:pPr>
            <w:r w:rsidRPr="00832F7C">
              <w:rPr>
                <w:sz w:val="24"/>
                <w:szCs w:val="24"/>
              </w:rPr>
              <w:t>0.87</w:t>
            </w:r>
          </w:p>
        </w:tc>
        <w:tc>
          <w:tcPr>
            <w:tcW w:w="930" w:type="dxa"/>
            <w:tcBorders>
              <w:top w:val="nil"/>
              <w:bottom w:val="single" w:sz="4" w:space="0" w:color="auto"/>
            </w:tcBorders>
            <w:vAlign w:val="center"/>
          </w:tcPr>
          <w:p w:rsidR="00A30DBD" w:rsidRPr="00832F7C" w:rsidP="00AE3B51" w14:paraId="6EC00672" w14:textId="77777777">
            <w:pPr>
              <w:pStyle w:val="table"/>
              <w:spacing w:line="240" w:lineRule="auto"/>
              <w:jc w:val="center"/>
              <w:rPr>
                <w:sz w:val="24"/>
                <w:szCs w:val="24"/>
              </w:rPr>
            </w:pPr>
            <w:r w:rsidRPr="00832F7C">
              <w:rPr>
                <w:sz w:val="24"/>
                <w:szCs w:val="24"/>
              </w:rPr>
              <w:t>10</w:t>
            </w:r>
          </w:p>
        </w:tc>
        <w:tc>
          <w:tcPr>
            <w:tcW w:w="898" w:type="dxa"/>
            <w:tcBorders>
              <w:top w:val="nil"/>
              <w:bottom w:val="single" w:sz="4" w:space="0" w:color="auto"/>
            </w:tcBorders>
            <w:vAlign w:val="center"/>
          </w:tcPr>
          <w:p w:rsidR="00A30DBD" w:rsidRPr="00832F7C" w:rsidP="00AE3B51" w14:paraId="57C43FF2" w14:textId="77777777">
            <w:pPr>
              <w:pStyle w:val="table"/>
              <w:spacing w:line="240" w:lineRule="auto"/>
              <w:jc w:val="center"/>
              <w:rPr>
                <w:sz w:val="24"/>
                <w:szCs w:val="24"/>
              </w:rPr>
            </w:pPr>
            <w:r w:rsidRPr="00832F7C">
              <w:rPr>
                <w:sz w:val="24"/>
                <w:szCs w:val="24"/>
              </w:rPr>
              <w:t>10</w:t>
            </w:r>
          </w:p>
        </w:tc>
        <w:tc>
          <w:tcPr>
            <w:tcW w:w="622" w:type="dxa"/>
            <w:tcBorders>
              <w:top w:val="nil"/>
              <w:bottom w:val="single" w:sz="4" w:space="0" w:color="auto"/>
            </w:tcBorders>
            <w:vAlign w:val="center"/>
          </w:tcPr>
          <w:p w:rsidR="00A30DBD" w:rsidRPr="00832F7C" w:rsidP="00AE3B51" w14:paraId="1ED5FC69" w14:textId="77777777">
            <w:pPr>
              <w:pStyle w:val="table"/>
              <w:spacing w:line="240" w:lineRule="auto"/>
              <w:jc w:val="center"/>
              <w:rPr>
                <w:sz w:val="24"/>
                <w:szCs w:val="24"/>
              </w:rPr>
            </w:pPr>
            <w:r w:rsidRPr="00832F7C">
              <w:rPr>
                <w:sz w:val="24"/>
                <w:szCs w:val="24"/>
              </w:rPr>
              <w:t>.30</w:t>
            </w:r>
          </w:p>
        </w:tc>
        <w:tc>
          <w:tcPr>
            <w:tcW w:w="886" w:type="dxa"/>
            <w:tcBorders>
              <w:top w:val="nil"/>
              <w:bottom w:val="single" w:sz="4" w:space="0" w:color="auto"/>
            </w:tcBorders>
            <w:vAlign w:val="center"/>
          </w:tcPr>
          <w:p w:rsidR="00A30DBD" w:rsidRPr="00832F7C" w:rsidP="00AE3B51" w14:paraId="1241054A" w14:textId="77777777">
            <w:pPr>
              <w:pStyle w:val="table"/>
              <w:spacing w:line="240" w:lineRule="auto"/>
              <w:jc w:val="center"/>
              <w:rPr>
                <w:sz w:val="24"/>
                <w:szCs w:val="24"/>
              </w:rPr>
            </w:pPr>
            <w:r w:rsidRPr="00832F7C">
              <w:rPr>
                <w:sz w:val="24"/>
                <w:szCs w:val="24"/>
              </w:rPr>
              <w:t>69</w:t>
            </w:r>
          </w:p>
        </w:tc>
      </w:tr>
      <w:tr w14:paraId="33AC9EB3" w14:textId="77777777" w:rsidTr="008902B8">
        <w:tblPrEx>
          <w:tblW w:w="8995" w:type="dxa"/>
          <w:jc w:val="center"/>
          <w:tblCellMar>
            <w:top w:w="15" w:type="dxa"/>
            <w:left w:w="15" w:type="dxa"/>
            <w:bottom w:w="15" w:type="dxa"/>
            <w:right w:w="15" w:type="dxa"/>
          </w:tblCellMar>
          <w:tblLook w:val="04A0"/>
        </w:tblPrEx>
        <w:trPr>
          <w:jc w:val="center"/>
        </w:trPr>
        <w:tc>
          <w:tcPr>
            <w:tcW w:w="8995" w:type="dxa"/>
            <w:gridSpan w:val="8"/>
            <w:tcBorders>
              <w:top w:val="single" w:sz="4" w:space="0" w:color="auto"/>
            </w:tcBorders>
            <w:shd w:val="clear" w:color="auto" w:fill="auto"/>
            <w:tcMar>
              <w:top w:w="0" w:type="dxa"/>
              <w:left w:w="75" w:type="dxa"/>
              <w:bottom w:w="0" w:type="dxa"/>
              <w:right w:w="75" w:type="dxa"/>
            </w:tcMar>
            <w:vAlign w:val="center"/>
          </w:tcPr>
          <w:p w:rsidR="00A30DBD" w:rsidRPr="00832F7C" w:rsidP="007742A5" w14:paraId="0CBADB9D" w14:textId="77777777">
            <w:pPr>
              <w:pStyle w:val="table"/>
              <w:spacing w:line="240" w:lineRule="auto"/>
              <w:rPr>
                <w:sz w:val="24"/>
                <w:szCs w:val="24"/>
              </w:rPr>
            </w:pPr>
            <w:r w:rsidRPr="00832F7C">
              <w:rPr>
                <w:sz w:val="24"/>
                <w:szCs w:val="24"/>
              </w:rPr>
              <w:t xml:space="preserve">Notes: </w:t>
            </w:r>
          </w:p>
          <w:p w:rsidR="00A30DBD" w:rsidRPr="00832F7C" w:rsidP="007742A5" w14:paraId="7787C7DC" w14:textId="77777777">
            <w:pPr>
              <w:pStyle w:val="table"/>
              <w:spacing w:line="240" w:lineRule="auto"/>
              <w:rPr>
                <w:sz w:val="24"/>
                <w:szCs w:val="24"/>
              </w:rPr>
            </w:pPr>
            <w:r w:rsidRPr="00832F7C">
              <w:rPr>
                <w:sz w:val="24"/>
                <w:szCs w:val="24"/>
              </w:rPr>
              <w:t xml:space="preserve">* Researchers often use the point estimate of the meta-effect size. Perugini et al. </w:t>
            </w:r>
            <w:r w:rsidRPr="00832F7C">
              <w:rPr>
                <w:sz w:val="24"/>
                <w:szCs w:val="24"/>
              </w:rPr>
              <w:fldChar w:fldCharType="begin"/>
            </w:r>
            <w:r w:rsidRPr="00832F7C">
              <w:rPr>
                <w:sz w:val="24"/>
                <w:szCs w:val="24"/>
              </w:rPr>
              <w:instrText xml:space="preserve"> ADDIN ZOTERO_ITEM CSL_CITATION {"citationID":"Cce4A243","properties":{"formattedCitation":"(2014)","plainCitation":"(2014)","noteIndex":0},"citationItems":[{"id":29140,"uris":["http://zotero.org/users/1687755/items/2L8EHMKX"],"itemData":{"id":29140,"type":"article-journal","abstract":"An essential first step in planning a confirmatory or a replication study is to determine the sample size necessary to draw statistically reliable inferences using power analysis. A key problem, however, is that what is available is the sample-size estimate of the effect size, and its use can lead to severely underpowered studies when the effect size is overestimated. As a potential remedy, we introduce safeguard power analysis, which uses the uncertainty in the estimate of the effect size to achieve a better likelihood of correctly identifying the population effect size. Using a lower-bound estimate of the effect size, in turn, allows researchers to calculate a sample size for a replication study that helps protect it from being underpowered. We show that in most common instances, compared with nominal power, safeguard power is higher whereas standard power is lower. We additionally recommend the use of safeguard power analysis to evaluate the strength of the evidence provided by the original study.","container-title":"Perspectives on Psychological Science","DOI":"10.1177/1745691614528519","ISSN":"1745-6916","issue":"3","journalAbbreviation":"Perspect Psychol Sci","language":"en","note":"publisher: SAGE Publications Inc","page":"319-332","source":"SAGE Journals","title":"Safeguard Power as a Protection Against Imprecise Power Estimates","volume":"9","author":[{"family":"Perugini","given":"Marco"},{"family":"Gallucci","given":"Marcello"},{"family":"Costantini","given":"Giulio"}],"issued":{"date-parts":[["2014",5,1]]}},"label":"page","suppress-author":true}],"schema":"https://github.com/citation-style-language/schema/raw/master/csl-citation.json"} </w:instrText>
            </w:r>
            <w:r w:rsidRPr="00832F7C">
              <w:rPr>
                <w:sz w:val="24"/>
                <w:szCs w:val="24"/>
              </w:rPr>
              <w:fldChar w:fldCharType="separate"/>
            </w:r>
            <w:r w:rsidRPr="00832F7C">
              <w:rPr>
                <w:noProof/>
                <w:sz w:val="24"/>
                <w:szCs w:val="24"/>
              </w:rPr>
              <w:t>(2014)</w:t>
            </w:r>
            <w:r w:rsidRPr="00832F7C">
              <w:rPr>
                <w:sz w:val="24"/>
                <w:szCs w:val="24"/>
              </w:rPr>
              <w:fldChar w:fldCharType="end"/>
            </w:r>
            <w:r w:rsidRPr="00832F7C">
              <w:rPr>
                <w:sz w:val="24"/>
                <w:szCs w:val="24"/>
              </w:rPr>
              <w:t xml:space="preserve"> recommended the lower bound of the 95% CI instead. Vahey et al. (2015) used both for power analyses.</w:t>
            </w:r>
          </w:p>
          <w:p w:rsidR="00A30DBD" w:rsidRPr="00832F7C" w:rsidP="007742A5" w14:paraId="2F0B3B1C" w14:textId="77777777">
            <w:pPr>
              <w:pStyle w:val="table"/>
              <w:spacing w:line="240" w:lineRule="auto"/>
              <w:rPr>
                <w:sz w:val="24"/>
                <w:szCs w:val="24"/>
              </w:rPr>
            </w:pPr>
            <w:r w:rsidRPr="00832F7C">
              <w:rPr>
                <w:sz w:val="24"/>
                <w:szCs w:val="24"/>
              </w:rPr>
              <w:t xml:space="preserve">** Necessary conversions from </w:t>
            </w:r>
            <w:r w:rsidRPr="00832F7C">
              <w:rPr>
                <w:i/>
                <w:iCs/>
                <w:sz w:val="24"/>
                <w:szCs w:val="24"/>
              </w:rPr>
              <w:t>d</w:t>
            </w:r>
            <w:r w:rsidRPr="00832F7C">
              <w:rPr>
                <w:sz w:val="24"/>
                <w:szCs w:val="24"/>
              </w:rPr>
              <w:t xml:space="preserve"> to </w:t>
            </w:r>
            <w:r w:rsidRPr="00832F7C">
              <w:rPr>
                <w:i/>
                <w:iCs/>
                <w:sz w:val="24"/>
                <w:szCs w:val="24"/>
              </w:rPr>
              <w:t>r</w:t>
            </w:r>
            <w:r w:rsidRPr="00832F7C">
              <w:rPr>
                <w:sz w:val="24"/>
                <w:szCs w:val="24"/>
              </w:rPr>
              <w:t xml:space="preserve"> were not reported in Vahey et al. (2015</w:t>
            </w:r>
            <w:r w:rsidRPr="00832F7C">
              <w:rPr>
                <w:sz w:val="24"/>
                <w:szCs w:val="24"/>
              </w:rPr>
              <w:t>), but</w:t>
            </w:r>
            <w:r w:rsidRPr="00832F7C">
              <w:rPr>
                <w:sz w:val="24"/>
                <w:szCs w:val="24"/>
              </w:rPr>
              <w:t xml:space="preserve"> are recalculated here using the effectsize R package’s ‘r_to_d’ function.</w:t>
            </w:r>
          </w:p>
          <w:p w:rsidR="00A30DBD" w:rsidRPr="00832F7C" w:rsidP="007742A5" w14:paraId="5CE76222" w14:textId="77777777">
            <w:pPr>
              <w:pStyle w:val="table"/>
              <w:spacing w:line="240" w:lineRule="auto"/>
              <w:rPr>
                <w:sz w:val="24"/>
                <w:szCs w:val="24"/>
              </w:rPr>
            </w:pPr>
            <w:r w:rsidRPr="00832F7C">
              <w:rPr>
                <w:sz w:val="24"/>
                <w:szCs w:val="24"/>
              </w:rPr>
              <w:t>*** Discrepancy between the result reported by Vahey et al. (2015) and the recalculated result</w:t>
            </w:r>
          </w:p>
        </w:tc>
      </w:tr>
    </w:tbl>
    <w:p w:rsidR="00664B6B" w:rsidRPr="00832F7C" w:rsidP="00D77465" w14:paraId="00510589" w14:textId="77777777"/>
    <w:p w:rsidR="000967B0" w:rsidRPr="00832F7C" w:rsidP="00D77465" w14:paraId="3F4DF757" w14:textId="77777777"/>
    <w:p w:rsidR="000967B0" w:rsidRPr="00832F7C" w:rsidP="00D77465" w14:paraId="2D16A2A5" w14:textId="77777777">
      <w:pPr>
        <w:sectPr w:rsidSect="00D77465">
          <w:type w:val="continuous"/>
          <w:pgSz w:w="11900" w:h="16840"/>
          <w:pgMar w:top="1440" w:right="1440" w:bottom="1440" w:left="1440" w:header="709" w:footer="709" w:gutter="0"/>
          <w:cols w:space="340"/>
          <w:titlePg/>
          <w:docGrid w:linePitch="360"/>
          <w15:footnoteColumns w:val="1"/>
        </w:sectPr>
      </w:pPr>
    </w:p>
    <w:p w:rsidR="00663892" w:rsidRPr="00832F7C" w:rsidP="00D77465" w14:paraId="0858B079" w14:textId="77777777">
      <w:pPr>
        <w:pStyle w:val="Heading2"/>
      </w:pPr>
      <w:r w:rsidRPr="00832F7C">
        <w:t>Power analyses</w:t>
      </w:r>
    </w:p>
    <w:p w:rsidR="00167193" w:rsidRPr="00832F7C" w:rsidP="00167193" w14:paraId="73D7B8A2" w14:textId="69977C29">
      <w:r w:rsidRPr="00832F7C">
        <w:t xml:space="preserve">Details of the power analyses </w:t>
      </w:r>
      <w:r w:rsidR="00AE3B51">
        <w:t>reported</w:t>
      </w:r>
      <w:r w:rsidRPr="00832F7C">
        <w:t xml:space="preserve"> </w:t>
      </w:r>
      <w:r w:rsidR="00AE3B51">
        <w:t>in</w:t>
      </w:r>
      <w:r w:rsidRPr="00832F7C">
        <w:t xml:space="preserve"> Vahey et al. (2015) were extracted</w:t>
      </w:r>
      <w:r w:rsidR="00DF4754">
        <w:t xml:space="preserve"> from the article</w:t>
      </w:r>
      <w:r w:rsidRPr="00832F7C">
        <w:t xml:space="preserve">. This included the meta-effect size used (i.e., using point estimate or lower bound Confidence Interval, following </w:t>
      </w:r>
      <w:r w:rsidRPr="00832F7C">
        <w:t>Perugini</w:t>
      </w:r>
      <w:r w:rsidRPr="00832F7C">
        <w:t xml:space="preserve"> et al.’s recommendation, as adopted in Vahey et al. 2015), </w:t>
      </w:r>
      <w:r w:rsidR="00350B4F">
        <w:t xml:space="preserve">the statistical </w:t>
      </w:r>
      <w:r w:rsidRPr="00832F7C">
        <w:t xml:space="preserve">test (Pearson’s </w:t>
      </w:r>
      <w:r w:rsidRPr="00832F7C">
        <w:rPr>
          <w:i/>
          <w:iCs/>
        </w:rPr>
        <w:t>r</w:t>
      </w:r>
      <w:r w:rsidRPr="00832F7C">
        <w:t xml:space="preserve"> correlation, independent </w:t>
      </w:r>
      <w:r w:rsidRPr="00832F7C">
        <w:rPr>
          <w:i/>
          <w:iCs/>
        </w:rPr>
        <w:t>t</w:t>
      </w:r>
      <w:r w:rsidRPr="00832F7C">
        <w:t xml:space="preserve">-test, dependent </w:t>
      </w:r>
      <w:r w:rsidRPr="00832F7C">
        <w:rPr>
          <w:i/>
          <w:iCs/>
        </w:rPr>
        <w:t>t</w:t>
      </w:r>
      <w:r w:rsidRPr="00832F7C">
        <w:t xml:space="preserve">-test), the direction of hypothesis (one-sided vs. two-sided), and the recommended sample size (i.e., the result of the test). Verification tests were performed using the </w:t>
      </w:r>
      <w:r w:rsidRPr="00832F7C">
        <w:t>pwr</w:t>
      </w:r>
      <w:r w:rsidRPr="00832F7C">
        <w:t xml:space="preserve"> R library </w:t>
      </w:r>
      <w:r w:rsidRPr="00832F7C">
        <w:fldChar w:fldCharType="begin"/>
      </w:r>
      <w:r w:rsidRPr="00832F7C">
        <w:instrText xml:space="preserve"> ADDIN ZOTERO_ITEM CSL_CITATION {"citationID":"BYUIVsog","properties":{"formattedCitation":"(Champely, 2016)","plainCitation":"(Champely, 2016)","noteIndex":0},"citationItems":[{"id":2895,"uris":["http://zotero.org/users/1687755/items/H637UNSB"],"itemData":{"id":2895,"type":"software","note":"R package version 1.1-4","title":"pwr: Basic Functions for Power Analysis","URL":"https://CRAN.R-project.org/package=pwr","author":[{"family":"Champely","given":"Stephane"}],"issued":{"date-parts":[["2016"]]}}}],"schema":"https://github.com/citation-style-language/schema/raw/master/csl-citation.json"} </w:instrText>
      </w:r>
      <w:r w:rsidRPr="00832F7C">
        <w:fldChar w:fldCharType="separate"/>
      </w:r>
      <w:r w:rsidRPr="00832F7C">
        <w:rPr>
          <w:noProof/>
        </w:rPr>
        <w:t>(Champely, 2016)</w:t>
      </w:r>
      <w:r w:rsidRPr="00832F7C">
        <w:fldChar w:fldCharType="end"/>
      </w:r>
      <w:r w:rsidRPr="00832F7C">
        <w:t xml:space="preserve">. Table 1 contains the results of both the power analyses reported </w:t>
      </w:r>
      <w:r w:rsidR="00247DA7">
        <w:t>in</w:t>
      </w:r>
      <w:r w:rsidRPr="00832F7C">
        <w:t xml:space="preserve"> Vahey et al. (2015) </w:t>
      </w:r>
      <w:r w:rsidRPr="00832F7C">
        <w:t xml:space="preserve">and those of the verification analyses. As can be seen in the table, Vahey et al.’s (2015) sample size recommendations were found to be computationally reproducible when their meta-analytic effect size was used, with one exception (difference </w:t>
      </w:r>
      <w:r w:rsidRPr="00832F7C">
        <w:rPr>
          <w:i/>
          <w:iCs/>
        </w:rPr>
        <w:t>N</w:t>
      </w:r>
      <w:r w:rsidRPr="00832F7C">
        <w:t xml:space="preserve"> = 36 vs. 34).</w:t>
      </w:r>
      <w:r w:rsidRPr="00832F7C">
        <w:t xml:space="preserve"> </w:t>
      </w:r>
    </w:p>
    <w:p w:rsidR="00E40521" w:rsidRPr="00832F7C" w:rsidP="00167193" w14:paraId="4B34E510" w14:textId="4324BF9D">
      <w:pPr>
        <w:pStyle w:val="Heading2"/>
      </w:pPr>
      <w:r w:rsidRPr="00832F7C">
        <w:t>Meta-analysis</w:t>
      </w:r>
    </w:p>
    <w:p w:rsidR="0017243A" w:rsidRPr="00832F7C" w:rsidP="00974D7B" w14:paraId="47447825" w14:textId="77777777">
      <w:pPr>
        <w:pStyle w:val="Heading3"/>
      </w:pPr>
      <w:r w:rsidRPr="00832F7C">
        <w:t>Issues with the meta-analysis</w:t>
      </w:r>
      <w:r w:rsidRPr="00832F7C" w:rsidR="00AA71D9">
        <w:t xml:space="preserve"> </w:t>
      </w:r>
      <w:r w:rsidRPr="00832F7C" w:rsidR="000521C2">
        <w:t>results</w:t>
      </w:r>
    </w:p>
    <w:p w:rsidR="00E64BE8" w:rsidRPr="00832F7C" w:rsidP="00D77465" w14:paraId="28C1FB69" w14:textId="1E7737BA">
      <w:r w:rsidRPr="00832F7C">
        <w:t>Vahey et al. (2015)</w:t>
      </w:r>
      <w:r w:rsidRPr="00832F7C" w:rsidR="00637EF6">
        <w:t xml:space="preserve"> reported a meta-analytic effect size, 95% </w:t>
      </w:r>
      <w:r w:rsidRPr="00832F7C" w:rsidR="00BE42D5">
        <w:t>Confidence Interval</w:t>
      </w:r>
      <w:r w:rsidRPr="00832F7C" w:rsidR="00637EF6">
        <w:t xml:space="preserve">s, and 95% </w:t>
      </w:r>
      <w:r w:rsidRPr="00832F7C" w:rsidR="00BE42D5">
        <w:t>Credibility Interval</w:t>
      </w:r>
      <w:r w:rsidRPr="00832F7C" w:rsidR="00637EF6">
        <w:t xml:space="preserve">s. These were extracted from Vahey et al.’s (2015) forest plot </w:t>
      </w:r>
      <w:r w:rsidRPr="00832F7C" w:rsidR="00984B3D">
        <w:t xml:space="preserve">in </w:t>
      </w:r>
      <w:r w:rsidR="00E22DAA">
        <w:t>that article’s</w:t>
      </w:r>
      <w:r w:rsidRPr="00832F7C" w:rsidR="00984B3D">
        <w:t xml:space="preserve"> Figure 1 </w:t>
      </w:r>
      <w:r w:rsidRPr="00832F7C" w:rsidR="00637EF6">
        <w:t>(</w:t>
      </w:r>
      <w:r w:rsidRPr="00832F7C" w:rsidR="00984B3D">
        <w:t xml:space="preserve">for </w:t>
      </w:r>
      <m:oMath>
        <m:acc>
          <m:accPr>
            <m:chr m:val="̅"/>
            <m:ctrlPr>
              <w:rPr>
                <w:rFonts w:ascii="Cambria Math" w:hAnsi="Cambria Math"/>
                <w:i/>
              </w:rPr>
            </m:ctrlPr>
          </m:accPr>
          <m:e>
            <m:r>
              <w:rPr>
                <w:rFonts w:ascii="Cambria Math" w:hAnsi="Cambria Math"/>
              </w:rPr>
              <m:t>r</m:t>
            </m:r>
          </m:e>
        </m:acc>
      </m:oMath>
      <w:r w:rsidRPr="00832F7C" w:rsidR="007953D8">
        <w:t xml:space="preserve"> </w:t>
      </w:r>
      <w:r w:rsidRPr="00832F7C" w:rsidR="00637EF6">
        <w:t>and CR) and the text on page</w:t>
      </w:r>
      <w:r w:rsidRPr="00832F7C" w:rsidR="00182CB6">
        <w:t>s 62-63</w:t>
      </w:r>
      <w:r w:rsidRPr="00832F7C" w:rsidR="00637EF6">
        <w:t xml:space="preserve"> (</w:t>
      </w:r>
      <w:r w:rsidRPr="00832F7C" w:rsidR="00984B3D">
        <w:t xml:space="preserve">for the </w:t>
      </w:r>
      <w:r w:rsidRPr="00832F7C" w:rsidR="00637EF6">
        <w:t>CI)</w:t>
      </w:r>
      <w:r w:rsidRPr="00832F7C" w:rsidR="002001D3">
        <w:t xml:space="preserve">: </w:t>
      </w:r>
      <m:oMath>
        <m:acc>
          <m:accPr>
            <m:chr m:val="̅"/>
            <m:ctrlPr>
              <w:rPr>
                <w:rFonts w:ascii="Cambria Math" w:hAnsi="Cambria Math"/>
                <w:i/>
              </w:rPr>
            </m:ctrlPr>
          </m:accPr>
          <m:e>
            <m:r>
              <w:rPr>
                <w:rFonts w:ascii="Cambria Math" w:hAnsi="Cambria Math"/>
              </w:rPr>
              <m:t>r</m:t>
            </m:r>
          </m:e>
        </m:acc>
      </m:oMath>
      <w:r w:rsidRPr="00832F7C" w:rsidR="002001D3">
        <w:t xml:space="preserve"> = .45, 95% CI [.40, .54], 95% CR [.23, .67]</w:t>
      </w:r>
      <w:r w:rsidRPr="00832F7C" w:rsidR="00637EF6">
        <w:t xml:space="preserve">. </w:t>
      </w:r>
    </w:p>
    <w:p w:rsidR="00486207" w:rsidRPr="00832F7C" w:rsidP="00D77465" w14:paraId="34D6A810" w14:textId="119FABAA">
      <w:r w:rsidRPr="00832F7C">
        <w:t xml:space="preserve">Prior to any attempt to reproduce these results, it is </w:t>
      </w:r>
      <w:r w:rsidRPr="00832F7C" w:rsidR="00E64BE8">
        <w:t xml:space="preserve">important to note that the point estimate and confidence intervals are not possible: </w:t>
      </w:r>
      <w:r w:rsidRPr="00832F7C">
        <w:t xml:space="preserve">the upper bound </w:t>
      </w:r>
      <w:r w:rsidRPr="00832F7C" w:rsidR="00631636">
        <w:t xml:space="preserve">Confidence Interval </w:t>
      </w:r>
      <w:r w:rsidRPr="00832F7C">
        <w:t>is +</w:t>
      </w:r>
      <w:r w:rsidRPr="00832F7C" w:rsidR="00631636">
        <w:t>.0</w:t>
      </w:r>
      <w:r w:rsidRPr="00832F7C">
        <w:t xml:space="preserve">9 </w:t>
      </w:r>
      <w:r w:rsidRPr="00832F7C" w:rsidR="00631636">
        <w:t xml:space="preserve">larger than the point estimate </w:t>
      </w:r>
      <m:oMath>
        <m:acc>
          <m:accPr>
            <m:chr m:val="̅"/>
            <m:ctrlPr>
              <w:rPr>
                <w:rFonts w:ascii="Cambria Math" w:hAnsi="Cambria Math"/>
                <w:i/>
              </w:rPr>
            </m:ctrlPr>
          </m:accPr>
          <m:e>
            <m:r>
              <w:rPr>
                <w:rFonts w:ascii="Cambria Math" w:hAnsi="Cambria Math"/>
              </w:rPr>
              <m:t>r</m:t>
            </m:r>
          </m:e>
        </m:acc>
      </m:oMath>
      <w:r w:rsidRPr="00832F7C">
        <w:t xml:space="preserve">, whereas the lower bound </w:t>
      </w:r>
      <w:r w:rsidRPr="00832F7C" w:rsidR="00631636">
        <w:t xml:space="preserve">Confidence Interval is </w:t>
      </w:r>
      <w:r w:rsidRPr="00832F7C">
        <w:t>-</w:t>
      </w:r>
      <w:r w:rsidRPr="00832F7C" w:rsidR="00631636">
        <w:t>.0</w:t>
      </w:r>
      <w:r w:rsidRPr="00832F7C">
        <w:t xml:space="preserve">5 </w:t>
      </w:r>
      <w:r w:rsidRPr="00832F7C" w:rsidR="00631636">
        <w:t>smaller</w:t>
      </w:r>
      <w:r w:rsidRPr="00832F7C">
        <w:t xml:space="preserve">. </w:t>
      </w:r>
      <w:r w:rsidRPr="00832F7C" w:rsidR="000D1059">
        <w:t xml:space="preserve">While asymmetric intervals are indeed possible (e.g., when using a transformation such as Fisher’s </w:t>
      </w:r>
      <w:r w:rsidRPr="00832F7C" w:rsidR="000D1059">
        <w:rPr>
          <w:i/>
          <w:iCs/>
        </w:rPr>
        <w:t>r</w:t>
      </w:r>
      <w:r w:rsidRPr="00832F7C" w:rsidR="000D1059">
        <w:t>-to-</w:t>
      </w:r>
      <w:r w:rsidRPr="00832F7C" w:rsidR="000D1059">
        <w:rPr>
          <w:i/>
          <w:iCs/>
        </w:rPr>
        <w:t>z</w:t>
      </w:r>
      <w:r w:rsidRPr="00832F7C" w:rsidR="000D1059">
        <w:t xml:space="preserve">), </w:t>
      </w:r>
      <w:r w:rsidRPr="00832F7C" w:rsidR="00FE5D69">
        <w:t>such transformations would create an asymmetry in the opposite direction (i.e., a smaller upper interval and larger lower interval)</w:t>
      </w:r>
      <w:r w:rsidRPr="00832F7C" w:rsidR="000D1059">
        <w:t xml:space="preserve">. </w:t>
      </w:r>
      <w:r w:rsidRPr="00832F7C" w:rsidR="00F23764">
        <w:t xml:space="preserve">I know of no legitimate way to produce a meta-analytic effect size with asymmetric Confidence Intervals of the type </w:t>
      </w:r>
      <w:r w:rsidR="00E22DAA">
        <w:t>reported in</w:t>
      </w:r>
      <w:r w:rsidRPr="00832F7C" w:rsidR="00F23764">
        <w:t xml:space="preserve"> Vahey et al. (2015)</w:t>
      </w:r>
      <w:r w:rsidR="00E22DAA">
        <w:t xml:space="preserve">. They </w:t>
      </w:r>
      <w:r w:rsidRPr="00832F7C" w:rsidR="00F463F9">
        <w:t xml:space="preserve">are, to the best of my knowledge, mathematically impossible. </w:t>
      </w:r>
      <w:r w:rsidRPr="00832F7C" w:rsidR="00CD380D">
        <w:t xml:space="preserve">One plausible explanation is that one or more values are the result of typos. Another plausible explanation is that the Confidence Intervals (reported in text) and the </w:t>
      </w:r>
      <m:oMath>
        <m:acc>
          <m:accPr>
            <m:chr m:val="̅"/>
            <m:ctrlPr>
              <w:rPr>
                <w:rFonts w:ascii="Cambria Math" w:hAnsi="Cambria Math"/>
                <w:i/>
              </w:rPr>
            </m:ctrlPr>
          </m:accPr>
          <m:e>
            <m:r>
              <w:rPr>
                <w:rFonts w:ascii="Cambria Math" w:hAnsi="Cambria Math"/>
              </w:rPr>
              <m:t>r</m:t>
            </m:r>
          </m:e>
        </m:acc>
      </m:oMath>
      <w:r w:rsidRPr="00832F7C" w:rsidR="00CD380D">
        <w:t xml:space="preserve"> and Credibility Intervals (reported in Figure 1) were obtained from different meta-analyses, employing different data and/or different </w:t>
      </w:r>
      <w:r w:rsidRPr="00832F7C" w:rsidR="00CD380D">
        <w:t>modeling</w:t>
      </w:r>
      <w:r w:rsidRPr="00832F7C" w:rsidR="00CD380D">
        <w:t xml:space="preserve"> approaches.</w:t>
      </w:r>
    </w:p>
    <w:p w:rsidR="008D2DF7" w:rsidRPr="00832F7C" w:rsidP="00D77465" w14:paraId="0C346E0C" w14:textId="5D11CE79"/>
    <w:p w:rsidR="00364BAE" w14:paraId="5193F793" w14:textId="77777777">
      <w:pPr>
        <w:spacing w:line="240" w:lineRule="auto"/>
        <w:ind w:firstLine="0"/>
        <w:rPr>
          <w:b/>
          <w:bCs/>
        </w:rPr>
      </w:pPr>
      <w:r>
        <w:rPr>
          <w:b/>
          <w:bCs/>
        </w:rPr>
        <w:br w:type="page"/>
      </w:r>
    </w:p>
    <w:p w:rsidR="007272CD" w:rsidRPr="00832F7C" w:rsidP="00974D7B" w14:paraId="40EE2C7D" w14:textId="063C479D">
      <w:pPr>
        <w:ind w:firstLine="0"/>
        <w:rPr>
          <w:b/>
          <w:bCs/>
        </w:rPr>
      </w:pPr>
      <w:r w:rsidRPr="00832F7C">
        <w:rPr>
          <w:b/>
          <w:bCs/>
        </w:rPr>
        <w:t xml:space="preserve">Figure 1. </w:t>
      </w:r>
      <w:r w:rsidRPr="00832F7C">
        <w:t>Weighted-mean effect sizes and their 95% Confidence Intervals extracted from Vahey et al.’s (2015, Figure 1) forest plot.</w:t>
      </w:r>
    </w:p>
    <w:p w:rsidR="007272CD" w:rsidRPr="00832F7C" w:rsidP="00D77465" w14:paraId="0C2D8052" w14:textId="77777777">
      <w:r w:rsidRPr="00832F7C">
        <w:rPr>
          <w:noProof/>
        </w:rPr>
        <w:drawing>
          <wp:inline distT="0" distB="0" distL="0" distR="0">
            <wp:extent cx="4765184" cy="2620851"/>
            <wp:effectExtent l="0" t="0" r="0" b="0"/>
            <wp:docPr id="17083853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8534" name="Picture 1" descr="A graph with numbers and lines&#10;&#10;Description automatically generated"/>
                    <pic:cNvPicPr/>
                  </pic:nvPicPr>
                  <pic:blipFill>
                    <a:blip xmlns:r="http://schemas.openxmlformats.org/officeDocument/2006/relationships" r:embed="rId11"/>
                    <a:stretch>
                      <a:fillRect/>
                    </a:stretch>
                  </pic:blipFill>
                  <pic:spPr>
                    <a:xfrm>
                      <a:off x="0" y="0"/>
                      <a:ext cx="4822081" cy="2652144"/>
                    </a:xfrm>
                    <a:prstGeom prst="rect">
                      <a:avLst/>
                    </a:prstGeom>
                  </pic:spPr>
                </pic:pic>
              </a:graphicData>
            </a:graphic>
          </wp:inline>
        </w:drawing>
      </w:r>
    </w:p>
    <w:p w:rsidR="007272CD" w:rsidRPr="00832F7C" w:rsidP="00D77465" w14:paraId="48A07326" w14:textId="77777777">
      <w:r w:rsidRPr="00832F7C">
        <w:t xml:space="preserve"> </w:t>
      </w:r>
    </w:p>
    <w:p w:rsidR="00C240F1" w:rsidRPr="00832F7C" w14:paraId="7ED3CCCF" w14:textId="77777777">
      <w:pPr>
        <w:spacing w:line="240" w:lineRule="auto"/>
        <w:ind w:firstLine="0"/>
        <w:rPr>
          <w:b/>
          <w:bCs/>
        </w:rPr>
      </w:pPr>
      <w:r w:rsidRPr="00832F7C">
        <w:rPr>
          <w:b/>
          <w:bCs/>
        </w:rPr>
        <w:br w:type="page"/>
      </w:r>
    </w:p>
    <w:p w:rsidR="00F862D8" w:rsidRPr="00832F7C" w:rsidP="00974D7B" w14:paraId="7FBB98EF" w14:textId="6FAA999B">
      <w:pPr>
        <w:ind w:firstLine="0"/>
        <w:rPr>
          <w:b/>
          <w:bCs/>
        </w:rPr>
      </w:pPr>
      <w:r w:rsidRPr="00832F7C">
        <w:rPr>
          <w:b/>
          <w:bCs/>
        </w:rPr>
        <w:t xml:space="preserve">Figure </w:t>
      </w:r>
      <w:r w:rsidRPr="00832F7C" w:rsidR="00157B0C">
        <w:rPr>
          <w:b/>
          <w:bCs/>
        </w:rPr>
        <w:t>2</w:t>
      </w:r>
      <w:r w:rsidRPr="00832F7C">
        <w:rPr>
          <w:b/>
          <w:bCs/>
        </w:rPr>
        <w:t xml:space="preserve">. </w:t>
      </w:r>
      <w:r w:rsidRPr="00832F7C" w:rsidR="00B21A2E">
        <w:t xml:space="preserve">Discrepancies between the data in </w:t>
      </w:r>
      <w:r w:rsidRPr="00832F7C" w:rsidR="00C55C2C">
        <w:t>Vahey et al.’s (2015)</w:t>
      </w:r>
      <w:r w:rsidRPr="00832F7C" w:rsidR="00B21A2E">
        <w:t xml:space="preserve"> forest plot</w:t>
      </w:r>
      <w:r w:rsidRPr="00832F7C" w:rsidR="00C55C2C">
        <w:t xml:space="preserve"> (their Figure 1) vs. funnel plot (their Figure 2)</w:t>
      </w:r>
      <w:r w:rsidRPr="00832F7C" w:rsidR="00B21A2E">
        <w:t>.</w:t>
      </w:r>
      <w:r w:rsidRPr="00832F7C" w:rsidR="00B21A2E">
        <w:rPr>
          <w:b/>
          <w:bCs/>
        </w:rPr>
        <w:t xml:space="preserve"> </w:t>
      </w:r>
    </w:p>
    <w:p w:rsidR="00F862D8" w:rsidRPr="00832F7C" w:rsidP="00D77465" w14:paraId="5AE70641" w14:textId="77777777">
      <w:r w:rsidRPr="00832F7C">
        <w:rPr>
          <w:noProof/>
        </w:rPr>
        <w:drawing>
          <wp:inline distT="0" distB="0" distL="0" distR="0">
            <wp:extent cx="4687910" cy="4047373"/>
            <wp:effectExtent l="0" t="0" r="0" b="4445"/>
            <wp:docPr id="2015480290" name="Picture 5" descr="A diagram of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80290" name="Picture 5" descr="A diagram of a point&#10;&#10;Description automatically generated"/>
                    <pic:cNvPicPr/>
                  </pic:nvPicPr>
                  <pic:blipFill>
                    <a:blip xmlns:r="http://schemas.openxmlformats.org/officeDocument/2006/relationships" r:embed="rId12"/>
                    <a:stretch>
                      <a:fillRect/>
                    </a:stretch>
                  </pic:blipFill>
                  <pic:spPr>
                    <a:xfrm>
                      <a:off x="0" y="0"/>
                      <a:ext cx="4710533" cy="4066904"/>
                    </a:xfrm>
                    <a:prstGeom prst="rect">
                      <a:avLst/>
                    </a:prstGeom>
                  </pic:spPr>
                </pic:pic>
              </a:graphicData>
            </a:graphic>
          </wp:inline>
        </w:drawing>
      </w:r>
    </w:p>
    <w:p w:rsidR="00B21A2E" w:rsidRPr="00832F7C" w:rsidP="007742A5" w14:paraId="6BE7C7FF" w14:textId="02C3FB69">
      <w:pPr>
        <w:spacing w:line="240" w:lineRule="auto"/>
        <w:ind w:firstLine="0"/>
      </w:pPr>
      <w:r w:rsidRPr="00832F7C">
        <w:t xml:space="preserve">Note: </w:t>
      </w:r>
      <w:r w:rsidRPr="00832F7C" w:rsidR="008D2DF7">
        <w:t>Figure 2</w:t>
      </w:r>
      <w:r w:rsidRPr="00832F7C" w:rsidR="008B57B9">
        <w:t xml:space="preserve"> was </w:t>
      </w:r>
      <w:r w:rsidRPr="00832F7C">
        <w:t>created from Vahey et al.’s (2015) results reported in their forest plot (their Figure 1) vs. their funnel plot</w:t>
      </w:r>
      <w:r w:rsidRPr="00832F7C" w:rsidR="008B57B9">
        <w:t xml:space="preserve"> (their Figure 2)</w:t>
      </w:r>
      <w:r w:rsidRPr="00832F7C">
        <w:t>. The black dot refers to the location of one weighted mean effect size according to their forest plot. The red dot asterisk refers to its approximate location in their funnel plot (their Figure 2).</w:t>
      </w:r>
      <w:r w:rsidRPr="00832F7C" w:rsidR="00B53296">
        <w:t xml:space="preserve"> Circles refer to data points that match between the two plots.</w:t>
      </w:r>
    </w:p>
    <w:p w:rsidR="00367018" w:rsidRPr="00832F7C" w:rsidP="003C6E44" w14:paraId="35F0806B" w14:textId="77777777"/>
    <w:p w:rsidR="00974D7B" w:rsidRPr="00832F7C" w:rsidP="003C6E44" w14:paraId="770D2B69" w14:textId="77777777"/>
    <w:p w:rsidR="00974D7B" w:rsidRPr="00832F7C" w:rsidP="003C6E44" w14:paraId="00680066" w14:textId="77777777"/>
    <w:p w:rsidR="00C240F1" w:rsidRPr="00832F7C" w14:paraId="2A2F2D9D" w14:textId="77777777">
      <w:pPr>
        <w:spacing w:line="240" w:lineRule="auto"/>
        <w:ind w:firstLine="0"/>
        <w:rPr>
          <w:b/>
          <w:bCs/>
        </w:rPr>
      </w:pPr>
      <w:r w:rsidRPr="00832F7C">
        <w:br w:type="page"/>
      </w:r>
    </w:p>
    <w:p w:rsidR="00C34F86" w:rsidRPr="00832F7C" w:rsidP="00974D7B" w14:paraId="667B493C" w14:textId="1E652AFF">
      <w:pPr>
        <w:pStyle w:val="Heading3"/>
      </w:pPr>
      <w:r w:rsidRPr="00832F7C">
        <w:t>Issues with the original effect sizes’ Confidence Intervals</w:t>
      </w:r>
    </w:p>
    <w:p w:rsidR="00C34F86" w:rsidRPr="00832F7C" w:rsidP="00D77465" w14:paraId="22B55DC3" w14:textId="2D8F4322">
      <w:r w:rsidRPr="00832F7C">
        <w:t xml:space="preserve">Separately, it is also worth inspecting the weighted average effect sizes for each of the component studies reported in Vahey et al.’s (2015) Figure 1. These numerical values were extracted and are reproduced in Figure 1 of this manuscript and serve as the data for the verification attempts below. The individual effect sizes are labeled as representing weighted </w:t>
      </w:r>
      <w:r w:rsidRPr="00832F7C">
        <w:rPr>
          <w:i/>
          <w:iCs/>
        </w:rPr>
        <w:t>r</w:t>
      </w:r>
      <w:r w:rsidRPr="00832F7C">
        <w:t xml:space="preserve"> values and its Confidence Intervals. As such, the </w:t>
      </w:r>
      <w:r w:rsidRPr="00832F7C" w:rsidR="002F45F0">
        <w:t>C</w:t>
      </w:r>
      <w:r w:rsidRPr="00832F7C">
        <w:t xml:space="preserve">onfidence </w:t>
      </w:r>
      <w:r w:rsidRPr="00832F7C" w:rsidR="002F45F0">
        <w:t>I</w:t>
      </w:r>
      <w:r w:rsidRPr="00832F7C">
        <w:t xml:space="preserve">ntervals should be symmetrical, but they are not. For example, the effect size reported for Vahey et al. (2010) is </w:t>
      </w:r>
      <w:r w:rsidRPr="00832F7C">
        <w:rPr>
          <w:i/>
          <w:iCs/>
        </w:rPr>
        <w:t>r</w:t>
      </w:r>
      <w:r w:rsidRPr="00832F7C">
        <w:t xml:space="preserve"> = .36, 95% CI [-.24, .76]. This makes the upper bound +.40 larger than the point estimate whereas the lower bound is -.60 from the point estimate. The asymmetry is therefore in the opposite direction to that in the reported meta-analytic effect size's Confidence Interval and is in principle compatible with a transformation having been applied (e.g., Fisher's r-to-z). As I discuss later in meta-analysis reproduction attempt 4, it is likely that the original figure mislabels what are weighted average Fisher’s </w:t>
      </w:r>
      <w:r w:rsidRPr="00832F7C">
        <w:rPr>
          <w:i/>
          <w:iCs/>
        </w:rPr>
        <w:t>r</w:t>
      </w:r>
      <w:r w:rsidRPr="00832F7C">
        <w:t>-to-</w:t>
      </w:r>
      <w:r w:rsidRPr="00832F7C">
        <w:rPr>
          <w:i/>
          <w:iCs/>
        </w:rPr>
        <w:t>z</w:t>
      </w:r>
      <w:r w:rsidRPr="00832F7C">
        <w:t xml:space="preserve"> transformed values as</w:t>
      </w:r>
      <w:r w:rsidRPr="00832F7C">
        <w:rPr>
          <w:i/>
          <w:iCs/>
        </w:rPr>
        <w:t xml:space="preserve"> </w:t>
      </w:r>
      <w:r w:rsidRPr="00832F7C">
        <w:t>weighted average</w:t>
      </w:r>
      <w:r w:rsidRPr="00832F7C">
        <w:rPr>
          <w:i/>
          <w:iCs/>
        </w:rPr>
        <w:t xml:space="preserve"> r</w:t>
      </w:r>
      <w:r w:rsidRPr="00832F7C">
        <w:t xml:space="preserve"> values. </w:t>
      </w:r>
    </w:p>
    <w:p w:rsidR="00F862D8" w:rsidRPr="00832F7C" w:rsidP="00974D7B" w14:paraId="22DAC8F3" w14:textId="77777777">
      <w:pPr>
        <w:pStyle w:val="Heading3"/>
      </w:pPr>
      <w:r w:rsidRPr="00832F7C">
        <w:t>Data in the funnel plot does not match the forest plot</w:t>
      </w:r>
    </w:p>
    <w:p w:rsidR="00F862D8" w:rsidRPr="00832F7C" w:rsidP="00D77465" w14:paraId="3E5BD437" w14:textId="52EE0311">
      <w:r w:rsidRPr="00832F7C">
        <w:t xml:space="preserve">Vahey et al. (2015) also reported weighted average effect size estimates in a funnel plot (see their Figure 2). </w:t>
      </w:r>
      <w:r w:rsidRPr="00832F7C" w:rsidR="007A2285">
        <w:t>This duplication of data between two plots provided a vector for error detection. W</w:t>
      </w:r>
      <w:r w:rsidRPr="00832F7C">
        <w:t xml:space="preserve">hen I created a funnel plot from the results reported in </w:t>
      </w:r>
      <w:r w:rsidR="00E22DAA">
        <w:t>the</w:t>
      </w:r>
      <w:r w:rsidRPr="00832F7C">
        <w:t xml:space="preserve"> forest plot</w:t>
      </w:r>
      <w:r w:rsidR="00E22DAA">
        <w:t xml:space="preserve"> reported in that article</w:t>
      </w:r>
      <w:r w:rsidRPr="00832F7C">
        <w:t xml:space="preserve">, one of the data points did not match their funnel plot. See Figure </w:t>
      </w:r>
      <w:r w:rsidRPr="00832F7C" w:rsidR="00B45F73">
        <w:t>2</w:t>
      </w:r>
      <w:r w:rsidRPr="00832F7C" w:rsidR="00FB485F">
        <w:t>,</w:t>
      </w:r>
      <w:r w:rsidRPr="00832F7C">
        <w:t xml:space="preserve"> which illustrates this discrepancy. This suggests that the </w:t>
      </w:r>
      <w:r w:rsidRPr="00832F7C" w:rsidR="00D219E4">
        <w:t xml:space="preserve">original </w:t>
      </w:r>
      <w:r w:rsidRPr="00832F7C">
        <w:t xml:space="preserve">funnel plot and forest plot were created from slightly different data sets. It is unclear which one represents the ‘correct’ data set (especially </w:t>
      </w:r>
      <w:r w:rsidRPr="00832F7C">
        <w:t>in light of</w:t>
      </w:r>
      <w:r w:rsidRPr="00832F7C">
        <w:t xml:space="preserve"> the </w:t>
      </w:r>
      <w:r w:rsidRPr="00832F7C" w:rsidR="00367018">
        <w:t>section on ‘average effect sizes’ that I discuss later</w:t>
      </w:r>
      <w:r w:rsidRPr="00832F7C">
        <w:t xml:space="preserve">), but this speaks to the broader pattern of non-reproducibility and internal inconsistencies in </w:t>
      </w:r>
      <w:r w:rsidR="0044103E">
        <w:t xml:space="preserve">the results reported in </w:t>
      </w:r>
      <w:r w:rsidRPr="00832F7C">
        <w:t xml:space="preserve">Vahey et al. (2015). </w:t>
      </w:r>
    </w:p>
    <w:p w:rsidR="000C7F5A" w:rsidRPr="00832F7C" w:rsidP="003C6E44" w14:paraId="396F68C2" w14:textId="77777777"/>
    <w:p w:rsidR="00C4623D" w:rsidRPr="00832F7C" w:rsidP="00974D7B" w14:paraId="63E915D3" w14:textId="67E0E2F3">
      <w:pPr>
        <w:pStyle w:val="Heading3"/>
      </w:pPr>
      <w:r w:rsidRPr="00832F7C">
        <w:t>Implementation of the meta-analysis</w:t>
      </w:r>
    </w:p>
    <w:p w:rsidR="00297052" w:rsidRPr="00832F7C" w:rsidP="00D77465" w14:paraId="7FF7234E" w14:textId="751A2390">
      <w:r w:rsidRPr="005738D9">
        <w:t xml:space="preserve">Vahey et al. (2015) stated in </w:t>
      </w:r>
      <w:r w:rsidR="00FA23C1">
        <w:t>the</w:t>
      </w:r>
      <w:r w:rsidRPr="005738D9">
        <w:t xml:space="preserve"> methods section that a Hunter and Schmidt style meta-analysis was employed and cited Field and Gillett (2010). </w:t>
      </w:r>
      <w:r w:rsidR="00EA3145">
        <w:t xml:space="preserve">Despite being able to obtain the SPSS and R scripts </w:t>
      </w:r>
      <w:r w:rsidR="00AB2922">
        <w:t xml:space="preserve">for the tutorial paper that </w:t>
      </w:r>
      <w:r w:rsidR="00AB2922">
        <w:t>Dr.</w:t>
      </w:r>
      <w:r w:rsidR="004825B9">
        <w:t>w</w:t>
      </w:r>
      <w:r w:rsidR="00AB2922">
        <w:t xml:space="preserve"> Vahey stated in an email to me that they employed in the analyses of </w:t>
      </w:r>
      <w:r w:rsidR="00EA3145">
        <w:t>Vahey et al. (2015</w:t>
      </w:r>
      <w:r w:rsidR="00563565">
        <w:t xml:space="preserve">; see </w:t>
      </w:r>
      <w:r w:rsidR="00B67E8B">
        <w:t>“</w:t>
      </w:r>
      <w:r w:rsidRPr="00B67E8B" w:rsidR="00B67E8B">
        <w:t>Correspondence and source of original code</w:t>
      </w:r>
      <w:r w:rsidR="00B67E8B">
        <w:t xml:space="preserve">” section </w:t>
      </w:r>
      <w:r w:rsidR="00563565">
        <w:t>above</w:t>
      </w:r>
      <w:r w:rsidR="00EA3145">
        <w:t>), it was i</w:t>
      </w:r>
      <w:r w:rsidRPr="00832F7C" w:rsidR="00000000">
        <w:t xml:space="preserve">n practice surprisingly difficult to reconstruct </w:t>
      </w:r>
      <w:r w:rsidR="00EA3145">
        <w:t xml:space="preserve">the analyses </w:t>
      </w:r>
      <w:r w:rsidRPr="00832F7C" w:rsidR="00000000">
        <w:t xml:space="preserve">because of multiple discrepancies both (a) between </w:t>
      </w:r>
      <w:r w:rsidR="00C42A74">
        <w:t>Field and Gillett</w:t>
      </w:r>
      <w:r w:rsidRPr="00832F7C" w:rsidR="00000000">
        <w:t xml:space="preserve"> (2010) and Vahey et al. (2015)</w:t>
      </w:r>
      <w:r w:rsidRPr="00832F7C" w:rsidR="000C0C37">
        <w:t xml:space="preserve">; </w:t>
      </w:r>
      <w:r w:rsidRPr="00832F7C" w:rsidR="00000000">
        <w:t>(b) within Vahey et al. (2015) itself</w:t>
      </w:r>
      <w:r w:rsidRPr="00832F7C" w:rsidR="000C0C37">
        <w:t xml:space="preserve">; (c) between Field and Gillett’s (2010) descriptions and Field’s actual code implementations, and (d) between the different implementations of the Hunter </w:t>
      </w:r>
      <w:r w:rsidR="00C42A74">
        <w:t>and</w:t>
      </w:r>
      <w:r w:rsidRPr="00832F7C" w:rsidR="000C0C37">
        <w:t xml:space="preserve"> Schmidt style meta-analysis between Field’s two different scripts that are associated with </w:t>
      </w:r>
      <w:r w:rsidR="00C42A74">
        <w:t>Field and Gillett</w:t>
      </w:r>
      <w:r w:rsidRPr="00832F7C" w:rsidR="000C0C37">
        <w:t xml:space="preserve"> (2010). </w:t>
      </w:r>
      <w:r w:rsidRPr="00832F7C" w:rsidR="00000000">
        <w:t>I will discuss</w:t>
      </w:r>
      <w:r w:rsidRPr="00832F7C" w:rsidR="000C0C37">
        <w:t xml:space="preserve"> each of these</w:t>
      </w:r>
      <w:r w:rsidR="004758AF">
        <w:t xml:space="preserve"> in turn</w:t>
      </w:r>
      <w:r w:rsidR="007C3766">
        <w:t xml:space="preserve">, </w:t>
      </w:r>
      <w:r w:rsidR="007C3766">
        <w:t>in order to</w:t>
      </w:r>
      <w:r w:rsidR="007C3766">
        <w:t xml:space="preserve"> highlight the difficulty in reproducing meta-analysis results even when data and code are nominally available</w:t>
      </w:r>
      <w:r w:rsidRPr="00832F7C" w:rsidR="00000000">
        <w:t>.</w:t>
      </w:r>
      <w:r w:rsidRPr="00832F7C" w:rsidR="000C0C37">
        <w:t xml:space="preserve"> </w:t>
      </w:r>
      <w:r w:rsidR="009D318C">
        <w:t xml:space="preserve">The point here is to highlight my best efforts to try to reproduce the results in Vahey et al. (2015) using the tutorial scripts </w:t>
      </w:r>
      <w:r w:rsidR="009D318C">
        <w:t>Dr.</w:t>
      </w:r>
      <w:r w:rsidR="009D318C">
        <w:t xml:space="preserve"> Vahey reported using, and the complications that not having direct access to the original authors’ code presented.</w:t>
      </w:r>
    </w:p>
    <w:p w:rsidR="000F14E7" w:rsidRPr="00832F7C" w:rsidP="00D77465" w14:paraId="7DDD7CB8" w14:textId="55FDC28F">
      <w:pPr>
        <w:rPr>
          <w:iCs/>
        </w:rPr>
      </w:pPr>
      <w:r>
        <w:t>Field and Gillett</w:t>
      </w:r>
      <w:r w:rsidRPr="00832F7C" w:rsidR="00000000">
        <w:t xml:space="preserve"> (2010) describe two different ways of conducting meta-analyses: a Hedges </w:t>
      </w:r>
      <w:r w:rsidRPr="00832F7C" w:rsidR="00013124">
        <w:t xml:space="preserve">and </w:t>
      </w:r>
      <w:r w:rsidRPr="00832F7C" w:rsidR="00013124">
        <w:t>colleagues</w:t>
      </w:r>
      <w:r w:rsidRPr="00832F7C" w:rsidR="00013124">
        <w:t xml:space="preserve"> </w:t>
      </w:r>
      <w:r w:rsidRPr="00832F7C" w:rsidR="00000000">
        <w:t>style “basic” meta-analysis and a Hunter and Schmidt style psychometric meta-analysis. Despite Vahey et al. (2015) stating that they applied the Hunter and Schmidt approach, multiple features of this approach are missing from their results</w:t>
      </w:r>
      <w:r w:rsidRPr="00832F7C" w:rsidR="004423C2">
        <w:t xml:space="preserve">. This becomes more apparent when examining the metrics returned by Field’s accompanying SPSS scripts for </w:t>
      </w:r>
      <w:r>
        <w:t>Field and Gillett</w:t>
      </w:r>
      <w:r w:rsidRPr="00832F7C" w:rsidR="004423C2">
        <w:t xml:space="preserve"> (2010): “</w:t>
      </w:r>
      <w:r w:rsidRPr="00832F7C" w:rsidR="004423C2">
        <w:t>Meta_Basic_r.sps</w:t>
      </w:r>
      <w:r w:rsidRPr="00832F7C" w:rsidR="004423C2">
        <w:t xml:space="preserve">” and “h_s syntax.sps”. To complicate things, both scripts contain code to produce a Hunter and Schmidt style meta-analysis, with the former also producing a Hedges and </w:t>
      </w:r>
      <w:r w:rsidRPr="00832F7C" w:rsidR="004423C2">
        <w:t>colleagues</w:t>
      </w:r>
      <w:r w:rsidRPr="00832F7C" w:rsidR="004423C2">
        <w:t xml:space="preserve"> style ‘basic’ meta-analysis. </w:t>
      </w:r>
    </w:p>
    <w:p w:rsidR="00442CE7" w:rsidRPr="00832F7C" w:rsidP="00974D7B" w14:paraId="1862F107" w14:textId="77777777">
      <w:pPr>
        <w:pStyle w:val="Heading3"/>
        <w:sectPr w:rsidSect="00D77465">
          <w:type w:val="continuous"/>
          <w:pgSz w:w="11900" w:h="16840"/>
          <w:pgMar w:top="1440" w:right="1440" w:bottom="1440" w:left="1440" w:header="709" w:footer="709" w:gutter="0"/>
          <w:cols w:space="340"/>
          <w:titlePg/>
          <w:docGrid w:linePitch="360"/>
          <w15:footnoteColumns w:val="1"/>
        </w:sectPr>
      </w:pPr>
    </w:p>
    <w:p w:rsidR="00442CE7" w:rsidRPr="00832F7C" w:rsidP="009E4A22" w14:paraId="7AACC489" w14:textId="4918F8E9">
      <w:pPr>
        <w:rPr>
          <w:rFonts w:eastAsia="MS Mincho"/>
          <w:lang w:val=""/>
        </w:rPr>
        <w:sectPr w:rsidSect="00D77465">
          <w:pgSz w:w="16840" w:h="11900" w:orient="landscape"/>
          <w:pgMar w:top="1440" w:right="1440" w:bottom="1440" w:left="1440" w:header="709" w:footer="709" w:gutter="0"/>
          <w:cols w:space="340"/>
          <w:titlePg/>
          <w:docGrid w:linePitch="360"/>
          <w15:footnoteColumns w:val="1"/>
        </w:sectPr>
      </w:pPr>
      <w:r w:rsidRPr="00832F7C">
        <w:rPr>
          <w:rFonts w:eastAsia="MS Mincho"/>
          <w:b/>
          <w:bCs/>
          <w:lang w:val=""/>
        </w:rPr>
        <w:t xml:space="preserve">Table 2. </w:t>
      </w:r>
      <w:r w:rsidRPr="00832F7C">
        <w:rPr>
          <w:rFonts w:eastAsia="MS Mincho"/>
          <w:lang w:val=""/>
        </w:rPr>
        <w:t>Alignment between the results reported in Vahey et al. (2015) and Field’s SPSS scripts accompanying Field &amp; Gillett (201</w:t>
      </w:r>
    </w:p>
    <w:p w:rsidR="00442CE7" w:rsidRPr="00832F7C" w:rsidP="009E4A22" w14:paraId="50FCBDC5" w14:textId="77777777">
      <w:pPr>
        <w:ind w:firstLine="0"/>
        <w:rPr>
          <w:rFonts w:eastAsia="MS Mincho"/>
          <w:lang w:val=""/>
        </w:rPr>
      </w:pPr>
    </w:p>
    <w:tbl>
      <w:tblPr>
        <w:tblStyle w:val="TableGrid1"/>
        <w:tblW w:w="12960" w:type="dxa"/>
        <w:jc w:val="center"/>
        <w:tblLayout w:type="fixed"/>
        <w:tblLook w:val="04A0"/>
      </w:tblPr>
      <w:tblGrid>
        <w:gridCol w:w="6390"/>
        <w:gridCol w:w="630"/>
        <w:gridCol w:w="615"/>
        <w:gridCol w:w="717"/>
        <w:gridCol w:w="2808"/>
        <w:gridCol w:w="1800"/>
      </w:tblGrid>
      <w:tr w14:paraId="6206B657" w14:textId="77777777" w:rsidTr="007742A5">
        <w:tblPrEx>
          <w:tblW w:w="12960" w:type="dxa"/>
          <w:jc w:val="center"/>
          <w:tblLayout w:type="fixed"/>
          <w:tblLook w:val="04A0"/>
        </w:tblPrEx>
        <w:trPr>
          <w:trHeight w:val="180"/>
          <w:jc w:val="center"/>
        </w:trPr>
        <w:tc>
          <w:tcPr>
            <w:tcW w:w="6390" w:type="dxa"/>
            <w:tcBorders>
              <w:top w:val="single" w:sz="4" w:space="0" w:color="auto"/>
              <w:left w:val="nil"/>
              <w:bottom w:val="single" w:sz="4" w:space="0" w:color="auto"/>
              <w:right w:val="nil"/>
            </w:tcBorders>
            <w:vAlign w:val="center"/>
            <w:hideMark/>
          </w:tcPr>
          <w:p w:rsidR="00442CE7" w:rsidRPr="00832F7C" w:rsidP="009E4A22" w14:paraId="0B090E1B" w14:textId="77777777">
            <w:pPr>
              <w:spacing w:line="240" w:lineRule="auto"/>
              <w:ind w:firstLine="0"/>
              <w:rPr>
                <w:rFonts w:eastAsia="MS Mincho"/>
              </w:rPr>
            </w:pPr>
            <w:r w:rsidRPr="00832F7C">
              <w:rPr>
                <w:rFonts w:eastAsia="MS Mincho"/>
              </w:rPr>
              <w:t>Source</w:t>
            </w:r>
          </w:p>
        </w:tc>
        <w:tc>
          <w:tcPr>
            <w:tcW w:w="630" w:type="dxa"/>
            <w:tcBorders>
              <w:top w:val="single" w:sz="4" w:space="0" w:color="auto"/>
              <w:left w:val="nil"/>
              <w:bottom w:val="single" w:sz="4" w:space="0" w:color="auto"/>
              <w:right w:val="nil"/>
            </w:tcBorders>
            <w:vAlign w:val="center"/>
            <w:hideMark/>
          </w:tcPr>
          <w:p w:rsidR="00442CE7" w:rsidRPr="00832F7C" w:rsidP="009E4A22" w14:paraId="756EC59F" w14:textId="77777777">
            <w:pPr>
              <w:spacing w:line="240" w:lineRule="auto"/>
              <w:ind w:firstLine="0"/>
              <w:jc w:val="center"/>
              <w:rPr>
                <w:rFonts w:eastAsia="MS Mincho"/>
              </w:rPr>
            </w:pPr>
            <m:oMathPara>
              <m:oMath>
                <m:acc>
                  <m:accPr>
                    <m:chr m:val="̅"/>
                    <m:ctrlPr>
                      <w:rPr>
                        <w:rFonts w:ascii="Cambria Math" w:eastAsia="MS Mincho" w:hAnsi="Cambria Math"/>
                      </w:rPr>
                    </m:ctrlPr>
                  </m:accPr>
                  <m:e>
                    <m:r>
                      <w:rPr>
                        <w:rFonts w:ascii="Cambria Math" w:eastAsia="MS Mincho" w:hAnsi="Cambria Math"/>
                      </w:rPr>
                      <m:t>r</m:t>
                    </m:r>
                  </m:e>
                </m:acc>
              </m:oMath>
            </m:oMathPara>
          </w:p>
        </w:tc>
        <w:tc>
          <w:tcPr>
            <w:tcW w:w="615" w:type="dxa"/>
            <w:tcBorders>
              <w:top w:val="single" w:sz="4" w:space="0" w:color="auto"/>
              <w:left w:val="nil"/>
              <w:bottom w:val="single" w:sz="4" w:space="0" w:color="auto"/>
              <w:right w:val="nil"/>
            </w:tcBorders>
            <w:vAlign w:val="center"/>
            <w:hideMark/>
          </w:tcPr>
          <w:p w:rsidR="00442CE7" w:rsidRPr="00832F7C" w:rsidP="009E4A22" w14:paraId="35A05E39" w14:textId="77777777">
            <w:pPr>
              <w:spacing w:line="240" w:lineRule="auto"/>
              <w:ind w:firstLine="0"/>
              <w:jc w:val="center"/>
              <w:rPr>
                <w:rFonts w:eastAsia="MS Mincho"/>
              </w:rPr>
            </w:pPr>
            <w:r w:rsidRPr="00832F7C">
              <w:rPr>
                <w:rFonts w:eastAsia="MS Mincho"/>
              </w:rPr>
              <w:t>CIs</w:t>
            </w:r>
          </w:p>
        </w:tc>
        <w:tc>
          <w:tcPr>
            <w:tcW w:w="717" w:type="dxa"/>
            <w:tcBorders>
              <w:top w:val="single" w:sz="4" w:space="0" w:color="auto"/>
              <w:left w:val="nil"/>
              <w:bottom w:val="single" w:sz="4" w:space="0" w:color="auto"/>
              <w:right w:val="nil"/>
            </w:tcBorders>
            <w:noWrap/>
            <w:vAlign w:val="center"/>
            <w:hideMark/>
          </w:tcPr>
          <w:p w:rsidR="00442CE7" w:rsidRPr="00832F7C" w:rsidP="009E4A22" w14:paraId="644B751D" w14:textId="77777777">
            <w:pPr>
              <w:spacing w:line="240" w:lineRule="auto"/>
              <w:ind w:firstLine="0"/>
              <w:jc w:val="center"/>
              <w:rPr>
                <w:rFonts w:eastAsia="MS Mincho"/>
              </w:rPr>
            </w:pPr>
            <w:r w:rsidRPr="00832F7C">
              <w:rPr>
                <w:rFonts w:eastAsia="MS Mincho"/>
              </w:rPr>
              <w:t>CRs</w:t>
            </w:r>
          </w:p>
        </w:tc>
        <w:tc>
          <w:tcPr>
            <w:tcW w:w="2808" w:type="dxa"/>
            <w:tcBorders>
              <w:top w:val="single" w:sz="4" w:space="0" w:color="auto"/>
              <w:left w:val="nil"/>
              <w:bottom w:val="single" w:sz="4" w:space="0" w:color="auto"/>
              <w:right w:val="nil"/>
            </w:tcBorders>
            <w:vAlign w:val="center"/>
          </w:tcPr>
          <w:p w:rsidR="00442CE7" w:rsidRPr="00832F7C" w:rsidP="009E4A22" w14:paraId="3DD8D385" w14:textId="77777777">
            <w:pPr>
              <w:spacing w:line="240" w:lineRule="auto"/>
              <w:ind w:firstLine="0"/>
              <w:jc w:val="center"/>
              <w:rPr>
                <w:rFonts w:eastAsia="MS Mincho"/>
              </w:rPr>
            </w:pPr>
            <w:r w:rsidRPr="00832F7C">
              <w:rPr>
                <w:rFonts w:eastAsia="MS Mincho"/>
              </w:rPr>
              <w:t>Adjustments &amp; Transformations</w:t>
            </w:r>
          </w:p>
        </w:tc>
        <w:tc>
          <w:tcPr>
            <w:tcW w:w="1800" w:type="dxa"/>
            <w:tcBorders>
              <w:top w:val="single" w:sz="4" w:space="0" w:color="auto"/>
              <w:left w:val="nil"/>
              <w:bottom w:val="single" w:sz="4" w:space="0" w:color="auto"/>
              <w:right w:val="nil"/>
            </w:tcBorders>
            <w:vAlign w:val="center"/>
          </w:tcPr>
          <w:p w:rsidR="00442CE7" w:rsidRPr="00832F7C" w:rsidP="009E4A22" w14:paraId="42376411" w14:textId="77777777">
            <w:pPr>
              <w:spacing w:line="240" w:lineRule="auto"/>
              <w:ind w:firstLine="0"/>
              <w:jc w:val="center"/>
              <w:rPr>
                <w:rFonts w:eastAsia="MS Mincho"/>
              </w:rPr>
            </w:pPr>
            <w:r w:rsidRPr="00832F7C">
              <w:rPr>
                <w:rFonts w:eastAsia="MS Mincho"/>
              </w:rPr>
              <w:t>Employs reliability estimates</w:t>
            </w:r>
          </w:p>
        </w:tc>
      </w:tr>
      <w:tr w14:paraId="3ED524EC" w14:textId="77777777" w:rsidTr="007742A5">
        <w:tblPrEx>
          <w:tblW w:w="12960" w:type="dxa"/>
          <w:jc w:val="center"/>
          <w:tblLayout w:type="fixed"/>
          <w:tblLook w:val="04A0"/>
        </w:tblPrEx>
        <w:trPr>
          <w:trHeight w:val="512"/>
          <w:jc w:val="center"/>
        </w:trPr>
        <w:tc>
          <w:tcPr>
            <w:tcW w:w="6390" w:type="dxa"/>
            <w:tcBorders>
              <w:top w:val="single" w:sz="4" w:space="0" w:color="auto"/>
              <w:left w:val="nil"/>
              <w:bottom w:val="nil"/>
              <w:right w:val="nil"/>
            </w:tcBorders>
            <w:vAlign w:val="center"/>
            <w:hideMark/>
          </w:tcPr>
          <w:p w:rsidR="00442CE7" w:rsidRPr="00832F7C" w:rsidP="009E4A22" w14:paraId="368E2376" w14:textId="77777777">
            <w:pPr>
              <w:spacing w:line="240" w:lineRule="auto"/>
              <w:ind w:firstLine="0"/>
              <w:rPr>
                <w:rFonts w:eastAsia="MS Mincho"/>
              </w:rPr>
            </w:pPr>
            <w:r w:rsidRPr="00832F7C">
              <w:rPr>
                <w:rFonts w:eastAsia="MS Mincho"/>
              </w:rPr>
              <w:t>Vahey et al. (2015)</w:t>
            </w:r>
          </w:p>
        </w:tc>
        <w:tc>
          <w:tcPr>
            <w:tcW w:w="630" w:type="dxa"/>
            <w:tcBorders>
              <w:top w:val="single" w:sz="4" w:space="0" w:color="auto"/>
              <w:left w:val="nil"/>
              <w:bottom w:val="nil"/>
              <w:right w:val="nil"/>
            </w:tcBorders>
            <w:shd w:val="clear" w:color="auto" w:fill="D9D9D9"/>
            <w:vAlign w:val="center"/>
            <w:hideMark/>
          </w:tcPr>
          <w:p w:rsidR="00442CE7" w:rsidRPr="00832F7C" w:rsidP="009E4A22" w14:paraId="05F34960" w14:textId="77777777">
            <w:pPr>
              <w:spacing w:line="240" w:lineRule="auto"/>
              <w:ind w:firstLine="0"/>
              <w:jc w:val="center"/>
              <w:rPr>
                <w:rFonts w:eastAsia="MS Mincho"/>
              </w:rPr>
            </w:pPr>
            <w:r w:rsidRPr="00832F7C">
              <w:rPr>
                <w:rFonts w:eastAsia="MS Mincho"/>
              </w:rPr>
              <w:t>Yes</w:t>
            </w:r>
          </w:p>
        </w:tc>
        <w:tc>
          <w:tcPr>
            <w:tcW w:w="615" w:type="dxa"/>
            <w:tcBorders>
              <w:top w:val="single" w:sz="4" w:space="0" w:color="auto"/>
              <w:left w:val="nil"/>
              <w:bottom w:val="nil"/>
              <w:right w:val="nil"/>
            </w:tcBorders>
            <w:shd w:val="clear" w:color="auto" w:fill="D9D9D9"/>
            <w:vAlign w:val="center"/>
            <w:hideMark/>
          </w:tcPr>
          <w:p w:rsidR="00442CE7" w:rsidRPr="00832F7C" w:rsidP="009E4A22" w14:paraId="6152A3BE" w14:textId="77777777">
            <w:pPr>
              <w:spacing w:line="240" w:lineRule="auto"/>
              <w:ind w:firstLine="0"/>
              <w:jc w:val="center"/>
              <w:rPr>
                <w:rFonts w:eastAsia="MS Mincho"/>
              </w:rPr>
            </w:pPr>
            <w:r w:rsidRPr="00832F7C">
              <w:rPr>
                <w:rFonts w:eastAsia="MS Mincho"/>
              </w:rPr>
              <w:t>Yes</w:t>
            </w:r>
          </w:p>
        </w:tc>
        <w:tc>
          <w:tcPr>
            <w:tcW w:w="717" w:type="dxa"/>
            <w:tcBorders>
              <w:top w:val="single" w:sz="4" w:space="0" w:color="auto"/>
              <w:left w:val="nil"/>
              <w:bottom w:val="nil"/>
              <w:right w:val="nil"/>
            </w:tcBorders>
            <w:shd w:val="clear" w:color="auto" w:fill="D9D9D9"/>
            <w:noWrap/>
            <w:vAlign w:val="center"/>
            <w:hideMark/>
          </w:tcPr>
          <w:p w:rsidR="00442CE7" w:rsidRPr="00832F7C" w:rsidP="009E4A22" w14:paraId="3A608EE2" w14:textId="77777777">
            <w:pPr>
              <w:spacing w:line="240" w:lineRule="auto"/>
              <w:ind w:firstLine="0"/>
              <w:jc w:val="center"/>
              <w:rPr>
                <w:rFonts w:eastAsia="MS Mincho"/>
              </w:rPr>
            </w:pPr>
            <w:r w:rsidRPr="00832F7C">
              <w:rPr>
                <w:rFonts w:eastAsia="MS Mincho"/>
              </w:rPr>
              <w:t>Yes</w:t>
            </w:r>
          </w:p>
        </w:tc>
        <w:tc>
          <w:tcPr>
            <w:tcW w:w="2808" w:type="dxa"/>
            <w:tcBorders>
              <w:top w:val="single" w:sz="4" w:space="0" w:color="auto"/>
              <w:left w:val="nil"/>
              <w:bottom w:val="nil"/>
              <w:right w:val="nil"/>
            </w:tcBorders>
            <w:shd w:val="clear" w:color="auto" w:fill="D9D9D9"/>
            <w:vAlign w:val="center"/>
          </w:tcPr>
          <w:p w:rsidR="00442CE7" w:rsidRPr="00832F7C" w:rsidP="009E4A22" w14:paraId="25564C4B" w14:textId="46C878B8">
            <w:pPr>
              <w:spacing w:line="240" w:lineRule="auto"/>
              <w:ind w:firstLine="0"/>
              <w:jc w:val="center"/>
              <w:rPr>
                <w:rFonts w:eastAsia="MS Mincho"/>
              </w:rPr>
            </w:pPr>
            <w:r w:rsidRPr="00832F7C">
              <w:rPr>
                <w:rFonts w:eastAsia="MS Mincho"/>
              </w:rPr>
              <w:t>Likely</w:t>
            </w:r>
          </w:p>
          <w:p w:rsidR="00442CE7" w:rsidRPr="00832F7C" w:rsidP="009E4A22" w14:paraId="7AB9AB11" w14:textId="77777777">
            <w:pPr>
              <w:spacing w:line="240" w:lineRule="auto"/>
              <w:ind w:firstLine="0"/>
              <w:jc w:val="center"/>
              <w:rPr>
                <w:rFonts w:eastAsia="MS Mincho"/>
              </w:rPr>
            </w:pPr>
            <w:r w:rsidRPr="00832F7C">
              <w:rPr>
                <w:rFonts w:eastAsia="MS Mincho"/>
              </w:rPr>
              <w:t xml:space="preserve">Fisher’s </w:t>
            </w:r>
            <w:r w:rsidRPr="00832F7C">
              <w:rPr>
                <w:rFonts w:eastAsia="MS Mincho"/>
                <w:i/>
                <w:iCs/>
              </w:rPr>
              <w:t>r</w:t>
            </w:r>
            <w:r w:rsidRPr="00832F7C">
              <w:rPr>
                <w:rFonts w:eastAsia="MS Mincho"/>
              </w:rPr>
              <w:t>-to-</w:t>
            </w:r>
            <w:r w:rsidRPr="00832F7C">
              <w:rPr>
                <w:rFonts w:eastAsia="MS Mincho"/>
                <w:i/>
                <w:iCs/>
              </w:rPr>
              <w:t>z</w:t>
            </w:r>
            <w:r w:rsidRPr="00832F7C">
              <w:rPr>
                <w:rFonts w:eastAsia="MS Mincho"/>
              </w:rPr>
              <w:t>*</w:t>
            </w:r>
          </w:p>
        </w:tc>
        <w:tc>
          <w:tcPr>
            <w:tcW w:w="1800" w:type="dxa"/>
            <w:tcBorders>
              <w:top w:val="single" w:sz="4" w:space="0" w:color="auto"/>
              <w:left w:val="nil"/>
              <w:bottom w:val="nil"/>
              <w:right w:val="nil"/>
            </w:tcBorders>
            <w:shd w:val="clear" w:color="auto" w:fill="D9D9D9"/>
            <w:vAlign w:val="center"/>
          </w:tcPr>
          <w:p w:rsidR="00442CE7" w:rsidRPr="00832F7C" w:rsidP="009E4A22" w14:paraId="3FE49281" w14:textId="77777777">
            <w:pPr>
              <w:spacing w:line="240" w:lineRule="auto"/>
              <w:ind w:firstLine="0"/>
              <w:jc w:val="center"/>
              <w:rPr>
                <w:rFonts w:eastAsia="MS Mincho"/>
              </w:rPr>
            </w:pPr>
            <w:r w:rsidRPr="00832F7C">
              <w:rPr>
                <w:rFonts w:eastAsia="MS Mincho"/>
              </w:rPr>
              <w:t>No</w:t>
            </w:r>
          </w:p>
        </w:tc>
      </w:tr>
      <w:tr w14:paraId="13C30C7A" w14:textId="77777777" w:rsidTr="007742A5">
        <w:tblPrEx>
          <w:tblW w:w="12960" w:type="dxa"/>
          <w:jc w:val="center"/>
          <w:tblLayout w:type="fixed"/>
          <w:tblLook w:val="04A0"/>
        </w:tblPrEx>
        <w:trPr>
          <w:trHeight w:val="550"/>
          <w:jc w:val="center"/>
        </w:trPr>
        <w:tc>
          <w:tcPr>
            <w:tcW w:w="6390" w:type="dxa"/>
            <w:tcBorders>
              <w:top w:val="nil"/>
              <w:left w:val="nil"/>
              <w:bottom w:val="nil"/>
              <w:right w:val="nil"/>
            </w:tcBorders>
            <w:vAlign w:val="center"/>
            <w:hideMark/>
          </w:tcPr>
          <w:p w:rsidR="00442CE7" w:rsidRPr="00832F7C" w:rsidP="009E4A22" w14:paraId="11F64535" w14:textId="77777777">
            <w:pPr>
              <w:spacing w:line="240" w:lineRule="auto"/>
              <w:ind w:firstLine="0"/>
              <w:rPr>
                <w:rFonts w:eastAsia="MS Mincho"/>
              </w:rPr>
            </w:pPr>
            <w:r w:rsidRPr="00832F7C">
              <w:rPr>
                <w:rFonts w:eastAsia="MS Mincho"/>
              </w:rPr>
              <w:t>Hunter &amp; Schmidt meta-analysis via Field’s “h_s_syntax.sps”</w:t>
            </w:r>
          </w:p>
        </w:tc>
        <w:tc>
          <w:tcPr>
            <w:tcW w:w="630" w:type="dxa"/>
            <w:tcBorders>
              <w:top w:val="nil"/>
              <w:left w:val="nil"/>
              <w:bottom w:val="nil"/>
              <w:right w:val="nil"/>
            </w:tcBorders>
            <w:shd w:val="clear" w:color="auto" w:fill="D9D9D9"/>
            <w:vAlign w:val="center"/>
            <w:hideMark/>
          </w:tcPr>
          <w:p w:rsidR="00442CE7" w:rsidRPr="00832F7C" w:rsidP="009E4A22" w14:paraId="2FC9C311" w14:textId="77777777">
            <w:pPr>
              <w:spacing w:line="240" w:lineRule="auto"/>
              <w:ind w:firstLine="0"/>
              <w:jc w:val="center"/>
              <w:rPr>
                <w:rFonts w:eastAsia="MS Mincho"/>
              </w:rPr>
            </w:pPr>
            <w:r w:rsidRPr="00832F7C">
              <w:rPr>
                <w:rFonts w:eastAsia="MS Mincho"/>
              </w:rPr>
              <w:t>Yes</w:t>
            </w:r>
          </w:p>
        </w:tc>
        <w:tc>
          <w:tcPr>
            <w:tcW w:w="615" w:type="dxa"/>
            <w:tcBorders>
              <w:top w:val="nil"/>
              <w:left w:val="nil"/>
              <w:bottom w:val="nil"/>
              <w:right w:val="nil"/>
            </w:tcBorders>
            <w:shd w:val="clear" w:color="auto" w:fill="D9D9D9"/>
            <w:vAlign w:val="center"/>
            <w:hideMark/>
          </w:tcPr>
          <w:p w:rsidR="00442CE7" w:rsidRPr="00832F7C" w:rsidP="009E4A22" w14:paraId="6A4D4195" w14:textId="77777777">
            <w:pPr>
              <w:spacing w:line="240" w:lineRule="auto"/>
              <w:ind w:firstLine="0"/>
              <w:jc w:val="center"/>
              <w:rPr>
                <w:rFonts w:eastAsia="MS Mincho"/>
              </w:rPr>
            </w:pPr>
            <w:r w:rsidRPr="00832F7C">
              <w:rPr>
                <w:rFonts w:eastAsia="MS Mincho"/>
              </w:rPr>
              <w:t>Yes</w:t>
            </w:r>
          </w:p>
        </w:tc>
        <w:tc>
          <w:tcPr>
            <w:tcW w:w="717" w:type="dxa"/>
            <w:tcBorders>
              <w:top w:val="nil"/>
              <w:left w:val="nil"/>
              <w:bottom w:val="nil"/>
              <w:right w:val="nil"/>
            </w:tcBorders>
            <w:shd w:val="clear" w:color="auto" w:fill="D9D9D9"/>
            <w:noWrap/>
            <w:vAlign w:val="center"/>
            <w:hideMark/>
          </w:tcPr>
          <w:p w:rsidR="00442CE7" w:rsidRPr="00832F7C" w:rsidP="009E4A22" w14:paraId="30D9EC3D" w14:textId="77777777">
            <w:pPr>
              <w:spacing w:line="240" w:lineRule="auto"/>
              <w:ind w:firstLine="0"/>
              <w:jc w:val="center"/>
              <w:rPr>
                <w:rFonts w:eastAsia="MS Mincho"/>
              </w:rPr>
            </w:pPr>
            <w:r w:rsidRPr="00832F7C">
              <w:rPr>
                <w:rFonts w:eastAsia="MS Mincho"/>
              </w:rPr>
              <w:t>Yes</w:t>
            </w:r>
          </w:p>
        </w:tc>
        <w:tc>
          <w:tcPr>
            <w:tcW w:w="2808" w:type="dxa"/>
            <w:tcBorders>
              <w:top w:val="nil"/>
              <w:left w:val="nil"/>
              <w:bottom w:val="nil"/>
              <w:right w:val="nil"/>
            </w:tcBorders>
            <w:shd w:val="clear" w:color="auto" w:fill="auto"/>
            <w:vAlign w:val="center"/>
          </w:tcPr>
          <w:p w:rsidR="00442CE7" w:rsidRPr="00832F7C" w:rsidP="009E4A22" w14:paraId="3348A459" w14:textId="77777777">
            <w:pPr>
              <w:spacing w:line="240" w:lineRule="auto"/>
              <w:ind w:firstLine="0"/>
              <w:jc w:val="center"/>
              <w:rPr>
                <w:rFonts w:eastAsia="MS Mincho"/>
                <w:highlight w:val="yellow"/>
              </w:rPr>
            </w:pPr>
            <w:r w:rsidRPr="00832F7C">
              <w:rPr>
                <w:rFonts w:eastAsia="MS Mincho"/>
              </w:rPr>
              <w:t>No</w:t>
            </w:r>
          </w:p>
        </w:tc>
        <w:tc>
          <w:tcPr>
            <w:tcW w:w="1800" w:type="dxa"/>
            <w:tcBorders>
              <w:top w:val="nil"/>
              <w:left w:val="nil"/>
              <w:bottom w:val="nil"/>
              <w:right w:val="nil"/>
            </w:tcBorders>
            <w:vAlign w:val="center"/>
          </w:tcPr>
          <w:p w:rsidR="00442CE7" w:rsidRPr="00832F7C" w:rsidP="009E4A22" w14:paraId="04D5A90D" w14:textId="77777777">
            <w:pPr>
              <w:spacing w:line="240" w:lineRule="auto"/>
              <w:ind w:firstLine="0"/>
              <w:jc w:val="center"/>
              <w:rPr>
                <w:rFonts w:eastAsia="MS Mincho"/>
              </w:rPr>
            </w:pPr>
            <w:r w:rsidRPr="00832F7C">
              <w:rPr>
                <w:rFonts w:eastAsia="MS Mincho"/>
              </w:rPr>
              <w:t>Yes</w:t>
            </w:r>
          </w:p>
        </w:tc>
      </w:tr>
      <w:tr w14:paraId="0B5483F5" w14:textId="77777777" w:rsidTr="007742A5">
        <w:tblPrEx>
          <w:tblW w:w="12960" w:type="dxa"/>
          <w:jc w:val="center"/>
          <w:tblLayout w:type="fixed"/>
          <w:tblLook w:val="04A0"/>
        </w:tblPrEx>
        <w:trPr>
          <w:trHeight w:val="756"/>
          <w:jc w:val="center"/>
        </w:trPr>
        <w:tc>
          <w:tcPr>
            <w:tcW w:w="6390" w:type="dxa"/>
            <w:tcBorders>
              <w:top w:val="nil"/>
              <w:left w:val="nil"/>
              <w:bottom w:val="nil"/>
              <w:right w:val="nil"/>
            </w:tcBorders>
            <w:vAlign w:val="center"/>
            <w:hideMark/>
          </w:tcPr>
          <w:p w:rsidR="00442CE7" w:rsidRPr="00832F7C" w:rsidP="009E4A22" w14:paraId="3CC25300" w14:textId="77777777">
            <w:pPr>
              <w:spacing w:line="240" w:lineRule="auto"/>
              <w:ind w:firstLine="0"/>
              <w:rPr>
                <w:rFonts w:eastAsia="MS Mincho"/>
              </w:rPr>
            </w:pPr>
            <w:r w:rsidRPr="00832F7C">
              <w:rPr>
                <w:rFonts w:eastAsia="MS Mincho"/>
              </w:rPr>
              <w:t>Hunter &amp; Schmidt meta-analysis via Field’s “Meta_Basic_r.sps”</w:t>
            </w:r>
          </w:p>
        </w:tc>
        <w:tc>
          <w:tcPr>
            <w:tcW w:w="630" w:type="dxa"/>
            <w:tcBorders>
              <w:top w:val="nil"/>
              <w:left w:val="nil"/>
              <w:bottom w:val="nil"/>
              <w:right w:val="nil"/>
            </w:tcBorders>
            <w:shd w:val="clear" w:color="auto" w:fill="D9D9D9"/>
            <w:vAlign w:val="center"/>
            <w:hideMark/>
          </w:tcPr>
          <w:p w:rsidR="00442CE7" w:rsidRPr="00832F7C" w:rsidP="009E4A22" w14:paraId="05F70710" w14:textId="77777777">
            <w:pPr>
              <w:spacing w:line="240" w:lineRule="auto"/>
              <w:ind w:firstLine="0"/>
              <w:jc w:val="center"/>
              <w:rPr>
                <w:rFonts w:eastAsia="MS Mincho"/>
              </w:rPr>
            </w:pPr>
            <w:r w:rsidRPr="00832F7C">
              <w:rPr>
                <w:rFonts w:eastAsia="MS Mincho"/>
              </w:rPr>
              <w:t>Yes</w:t>
            </w:r>
          </w:p>
        </w:tc>
        <w:tc>
          <w:tcPr>
            <w:tcW w:w="615" w:type="dxa"/>
            <w:tcBorders>
              <w:top w:val="nil"/>
              <w:left w:val="nil"/>
              <w:bottom w:val="nil"/>
              <w:right w:val="nil"/>
            </w:tcBorders>
            <w:vAlign w:val="center"/>
            <w:hideMark/>
          </w:tcPr>
          <w:p w:rsidR="00442CE7" w:rsidRPr="00832F7C" w:rsidP="009E4A22" w14:paraId="70D69F0A" w14:textId="77777777">
            <w:pPr>
              <w:spacing w:line="240" w:lineRule="auto"/>
              <w:ind w:firstLine="0"/>
              <w:jc w:val="center"/>
              <w:rPr>
                <w:rFonts w:eastAsia="MS Mincho"/>
              </w:rPr>
            </w:pPr>
            <w:r w:rsidRPr="00832F7C">
              <w:rPr>
                <w:rFonts w:eastAsia="MS Mincho"/>
              </w:rPr>
              <w:t>No</w:t>
            </w:r>
          </w:p>
        </w:tc>
        <w:tc>
          <w:tcPr>
            <w:tcW w:w="717" w:type="dxa"/>
            <w:tcBorders>
              <w:top w:val="nil"/>
              <w:left w:val="nil"/>
              <w:bottom w:val="nil"/>
              <w:right w:val="nil"/>
            </w:tcBorders>
            <w:shd w:val="clear" w:color="auto" w:fill="D9D9D9"/>
            <w:noWrap/>
            <w:vAlign w:val="center"/>
            <w:hideMark/>
          </w:tcPr>
          <w:p w:rsidR="00442CE7" w:rsidRPr="00832F7C" w:rsidP="009E4A22" w14:paraId="74A0459B" w14:textId="77777777">
            <w:pPr>
              <w:spacing w:line="240" w:lineRule="auto"/>
              <w:ind w:firstLine="0"/>
              <w:jc w:val="center"/>
              <w:rPr>
                <w:rFonts w:eastAsia="MS Mincho"/>
              </w:rPr>
            </w:pPr>
            <w:r w:rsidRPr="00832F7C">
              <w:rPr>
                <w:rFonts w:eastAsia="MS Mincho"/>
              </w:rPr>
              <w:t>Yes</w:t>
            </w:r>
          </w:p>
        </w:tc>
        <w:tc>
          <w:tcPr>
            <w:tcW w:w="2808" w:type="dxa"/>
            <w:tcBorders>
              <w:top w:val="nil"/>
              <w:left w:val="nil"/>
              <w:bottom w:val="nil"/>
              <w:right w:val="nil"/>
            </w:tcBorders>
            <w:shd w:val="clear" w:color="auto" w:fill="auto"/>
            <w:vAlign w:val="center"/>
          </w:tcPr>
          <w:p w:rsidR="00442CE7" w:rsidRPr="00832F7C" w:rsidP="009E4A22" w14:paraId="439B38A1" w14:textId="77777777">
            <w:pPr>
              <w:spacing w:line="240" w:lineRule="auto"/>
              <w:ind w:firstLine="0"/>
              <w:jc w:val="center"/>
              <w:rPr>
                <w:rFonts w:eastAsia="MS Mincho"/>
              </w:rPr>
            </w:pPr>
            <w:r w:rsidRPr="00832F7C">
              <w:rPr>
                <w:rFonts w:eastAsia="MS Mincho"/>
              </w:rPr>
              <w:t>Overton corrections,</w:t>
            </w:r>
          </w:p>
          <w:p w:rsidR="00442CE7" w:rsidRPr="00832F7C" w:rsidP="009E4A22" w14:paraId="34D852EE" w14:textId="77777777">
            <w:pPr>
              <w:spacing w:line="240" w:lineRule="auto"/>
              <w:ind w:firstLine="0"/>
              <w:jc w:val="center"/>
              <w:rPr>
                <w:rFonts w:eastAsia="MS Mincho"/>
              </w:rPr>
            </w:pPr>
            <w:r w:rsidRPr="00832F7C">
              <w:rPr>
                <w:rFonts w:eastAsia="MS Mincho"/>
              </w:rPr>
              <w:t xml:space="preserve">Fisher’s </w:t>
            </w:r>
            <w:r w:rsidRPr="00832F7C">
              <w:rPr>
                <w:rFonts w:eastAsia="MS Mincho"/>
                <w:i/>
                <w:iCs/>
              </w:rPr>
              <w:t>r</w:t>
            </w:r>
            <w:r w:rsidRPr="00832F7C">
              <w:rPr>
                <w:rFonts w:eastAsia="MS Mincho"/>
              </w:rPr>
              <w:t>-to-</w:t>
            </w:r>
            <w:r w:rsidRPr="00832F7C">
              <w:rPr>
                <w:rFonts w:eastAsia="MS Mincho"/>
                <w:i/>
                <w:iCs/>
              </w:rPr>
              <w:t>z</w:t>
            </w:r>
            <w:r w:rsidRPr="00832F7C">
              <w:rPr>
                <w:rFonts w:eastAsia="MS Mincho"/>
              </w:rPr>
              <w:t xml:space="preserve"> for </w:t>
            </w:r>
            <m:oMath>
              <m:acc>
                <m:accPr>
                  <m:chr m:val="̅"/>
                  <m:ctrlPr>
                    <w:rPr>
                      <w:rFonts w:ascii="Cambria Math" w:eastAsia="MS Mincho" w:hAnsi="Cambria Math"/>
                    </w:rPr>
                  </m:ctrlPr>
                </m:accPr>
                <m:e>
                  <m:r>
                    <w:rPr>
                      <w:rFonts w:ascii="Cambria Math" w:eastAsia="MS Mincho" w:hAnsi="Cambria Math"/>
                    </w:rPr>
                    <m:t>r</m:t>
                  </m:r>
                </m:e>
              </m:acc>
            </m:oMath>
            <w:r w:rsidRPr="00832F7C">
              <w:rPr>
                <w:rFonts w:eastAsia="MS Mincho"/>
              </w:rPr>
              <w:t xml:space="preserve"> but not CRs</w:t>
            </w:r>
          </w:p>
        </w:tc>
        <w:tc>
          <w:tcPr>
            <w:tcW w:w="1800" w:type="dxa"/>
            <w:tcBorders>
              <w:top w:val="nil"/>
              <w:left w:val="nil"/>
              <w:bottom w:val="nil"/>
              <w:right w:val="nil"/>
            </w:tcBorders>
            <w:shd w:val="clear" w:color="auto" w:fill="D9D9D9"/>
            <w:vAlign w:val="center"/>
          </w:tcPr>
          <w:p w:rsidR="00442CE7" w:rsidRPr="00832F7C" w:rsidP="009E4A22" w14:paraId="69F23127" w14:textId="77777777">
            <w:pPr>
              <w:spacing w:line="240" w:lineRule="auto"/>
              <w:ind w:firstLine="0"/>
              <w:jc w:val="center"/>
              <w:rPr>
                <w:rFonts w:eastAsia="MS Mincho"/>
              </w:rPr>
            </w:pPr>
            <w:r w:rsidRPr="00832F7C">
              <w:rPr>
                <w:rFonts w:eastAsia="MS Mincho"/>
              </w:rPr>
              <w:t>No</w:t>
            </w:r>
          </w:p>
        </w:tc>
      </w:tr>
      <w:tr w14:paraId="06FD9358" w14:textId="77777777" w:rsidTr="007742A5">
        <w:tblPrEx>
          <w:tblW w:w="12960" w:type="dxa"/>
          <w:jc w:val="center"/>
          <w:tblLayout w:type="fixed"/>
          <w:tblLook w:val="04A0"/>
        </w:tblPrEx>
        <w:trPr>
          <w:trHeight w:val="756"/>
          <w:jc w:val="center"/>
        </w:trPr>
        <w:tc>
          <w:tcPr>
            <w:tcW w:w="6390" w:type="dxa"/>
            <w:tcBorders>
              <w:top w:val="nil"/>
              <w:left w:val="nil"/>
              <w:bottom w:val="nil"/>
              <w:right w:val="nil"/>
            </w:tcBorders>
            <w:vAlign w:val="center"/>
          </w:tcPr>
          <w:p w:rsidR="00442CE7" w:rsidRPr="00832F7C" w:rsidP="009E4A22" w14:paraId="4456F8DD" w14:textId="77777777">
            <w:pPr>
              <w:spacing w:line="240" w:lineRule="auto"/>
              <w:ind w:firstLine="0"/>
              <w:rPr>
                <w:rFonts w:eastAsia="MS Mincho"/>
              </w:rPr>
            </w:pPr>
            <w:r w:rsidRPr="00832F7C">
              <w:rPr>
                <w:rFonts w:eastAsia="MS Mincho"/>
              </w:rPr>
              <w:t>Hedges and colleagues meta-analysis via Field’s “Meta_Basic_r.sps”</w:t>
            </w:r>
          </w:p>
        </w:tc>
        <w:tc>
          <w:tcPr>
            <w:tcW w:w="630" w:type="dxa"/>
            <w:tcBorders>
              <w:top w:val="nil"/>
              <w:left w:val="nil"/>
              <w:bottom w:val="nil"/>
              <w:right w:val="nil"/>
            </w:tcBorders>
            <w:shd w:val="clear" w:color="auto" w:fill="D9D9D9"/>
            <w:vAlign w:val="center"/>
          </w:tcPr>
          <w:p w:rsidR="00442CE7" w:rsidRPr="00832F7C" w:rsidP="009E4A22" w14:paraId="57960C3A" w14:textId="77777777">
            <w:pPr>
              <w:spacing w:line="240" w:lineRule="auto"/>
              <w:ind w:firstLine="0"/>
              <w:jc w:val="center"/>
              <w:rPr>
                <w:rFonts w:eastAsia="MS Mincho"/>
              </w:rPr>
            </w:pPr>
            <w:r w:rsidRPr="00832F7C">
              <w:rPr>
                <w:rFonts w:eastAsia="MS Mincho"/>
              </w:rPr>
              <w:t>Yes</w:t>
            </w:r>
          </w:p>
        </w:tc>
        <w:tc>
          <w:tcPr>
            <w:tcW w:w="615" w:type="dxa"/>
            <w:tcBorders>
              <w:top w:val="nil"/>
              <w:left w:val="nil"/>
              <w:bottom w:val="nil"/>
              <w:right w:val="nil"/>
            </w:tcBorders>
            <w:shd w:val="clear" w:color="auto" w:fill="D9D9D9"/>
            <w:vAlign w:val="center"/>
          </w:tcPr>
          <w:p w:rsidR="00442CE7" w:rsidRPr="00832F7C" w:rsidP="009E4A22" w14:paraId="325FF406" w14:textId="77777777">
            <w:pPr>
              <w:spacing w:line="240" w:lineRule="auto"/>
              <w:ind w:firstLine="0"/>
              <w:jc w:val="center"/>
              <w:rPr>
                <w:rFonts w:eastAsia="MS Mincho"/>
              </w:rPr>
            </w:pPr>
            <w:r w:rsidRPr="00832F7C">
              <w:rPr>
                <w:rFonts w:eastAsia="MS Mincho"/>
              </w:rPr>
              <w:t>Yes</w:t>
            </w:r>
          </w:p>
        </w:tc>
        <w:tc>
          <w:tcPr>
            <w:tcW w:w="717" w:type="dxa"/>
            <w:tcBorders>
              <w:top w:val="nil"/>
              <w:left w:val="nil"/>
              <w:bottom w:val="nil"/>
              <w:right w:val="nil"/>
            </w:tcBorders>
            <w:shd w:val="clear" w:color="auto" w:fill="auto"/>
            <w:noWrap/>
            <w:vAlign w:val="center"/>
          </w:tcPr>
          <w:p w:rsidR="00442CE7" w:rsidRPr="00832F7C" w:rsidP="009E4A22" w14:paraId="262153B0" w14:textId="77777777">
            <w:pPr>
              <w:spacing w:line="240" w:lineRule="auto"/>
              <w:ind w:firstLine="0"/>
              <w:jc w:val="center"/>
              <w:rPr>
                <w:rFonts w:eastAsia="MS Mincho"/>
              </w:rPr>
            </w:pPr>
            <w:r w:rsidRPr="00832F7C">
              <w:rPr>
                <w:rFonts w:eastAsia="MS Mincho"/>
              </w:rPr>
              <w:t>No</w:t>
            </w:r>
          </w:p>
        </w:tc>
        <w:tc>
          <w:tcPr>
            <w:tcW w:w="2808" w:type="dxa"/>
            <w:tcBorders>
              <w:top w:val="nil"/>
              <w:left w:val="nil"/>
              <w:bottom w:val="nil"/>
              <w:right w:val="nil"/>
            </w:tcBorders>
            <w:shd w:val="clear" w:color="auto" w:fill="auto"/>
            <w:vAlign w:val="center"/>
          </w:tcPr>
          <w:p w:rsidR="00442CE7" w:rsidRPr="00832F7C" w:rsidP="009E4A22" w14:paraId="679441AE" w14:textId="77777777">
            <w:pPr>
              <w:spacing w:line="240" w:lineRule="auto"/>
              <w:ind w:firstLine="0"/>
              <w:jc w:val="center"/>
              <w:rPr>
                <w:rFonts w:eastAsia="MS Mincho"/>
              </w:rPr>
            </w:pPr>
            <w:r w:rsidRPr="00832F7C">
              <w:rPr>
                <w:rFonts w:eastAsia="MS Mincho"/>
              </w:rPr>
              <w:t>Overton corrections,</w:t>
            </w:r>
          </w:p>
          <w:p w:rsidR="00442CE7" w:rsidRPr="00832F7C" w:rsidP="009E4A22" w14:paraId="3DA899A3" w14:textId="77777777">
            <w:pPr>
              <w:spacing w:line="240" w:lineRule="auto"/>
              <w:ind w:firstLine="0"/>
              <w:jc w:val="center"/>
              <w:rPr>
                <w:rFonts w:eastAsia="MS Mincho"/>
              </w:rPr>
            </w:pPr>
            <w:r w:rsidRPr="00832F7C">
              <w:rPr>
                <w:rFonts w:eastAsia="MS Mincho"/>
              </w:rPr>
              <w:t xml:space="preserve">Fisher’s </w:t>
            </w:r>
            <w:r w:rsidRPr="00832F7C">
              <w:rPr>
                <w:rFonts w:eastAsia="MS Mincho"/>
                <w:i/>
                <w:iCs/>
              </w:rPr>
              <w:t>r</w:t>
            </w:r>
            <w:r w:rsidRPr="00832F7C">
              <w:rPr>
                <w:rFonts w:eastAsia="MS Mincho"/>
              </w:rPr>
              <w:t>-to-</w:t>
            </w:r>
            <w:r w:rsidRPr="00832F7C">
              <w:rPr>
                <w:rFonts w:eastAsia="MS Mincho"/>
                <w:i/>
                <w:iCs/>
              </w:rPr>
              <w:t>z</w:t>
            </w:r>
          </w:p>
        </w:tc>
        <w:tc>
          <w:tcPr>
            <w:tcW w:w="1800" w:type="dxa"/>
            <w:tcBorders>
              <w:top w:val="nil"/>
              <w:left w:val="nil"/>
              <w:bottom w:val="nil"/>
              <w:right w:val="nil"/>
            </w:tcBorders>
            <w:shd w:val="clear" w:color="auto" w:fill="D9D9D9"/>
            <w:vAlign w:val="center"/>
          </w:tcPr>
          <w:p w:rsidR="00442CE7" w:rsidRPr="00832F7C" w:rsidP="009E4A22" w14:paraId="081ACB80" w14:textId="77777777">
            <w:pPr>
              <w:spacing w:line="240" w:lineRule="auto"/>
              <w:ind w:firstLine="0"/>
              <w:jc w:val="center"/>
              <w:rPr>
                <w:rFonts w:eastAsia="MS Mincho"/>
              </w:rPr>
            </w:pPr>
            <w:r w:rsidRPr="00832F7C">
              <w:rPr>
                <w:rFonts w:eastAsia="MS Mincho"/>
              </w:rPr>
              <w:t>No</w:t>
            </w:r>
          </w:p>
        </w:tc>
      </w:tr>
      <w:tr w14:paraId="5B4697E8" w14:textId="77777777" w:rsidTr="007742A5">
        <w:tblPrEx>
          <w:tblW w:w="12960" w:type="dxa"/>
          <w:jc w:val="center"/>
          <w:tblLayout w:type="fixed"/>
          <w:tblLook w:val="04A0"/>
        </w:tblPrEx>
        <w:trPr>
          <w:trHeight w:val="720"/>
          <w:jc w:val="center"/>
        </w:trPr>
        <w:tc>
          <w:tcPr>
            <w:tcW w:w="6390" w:type="dxa"/>
            <w:tcBorders>
              <w:top w:val="nil"/>
              <w:left w:val="nil"/>
              <w:bottom w:val="single" w:sz="4" w:space="0" w:color="auto"/>
              <w:right w:val="nil"/>
            </w:tcBorders>
            <w:vAlign w:val="center"/>
          </w:tcPr>
          <w:p w:rsidR="00442CE7" w:rsidRPr="00832F7C" w:rsidP="009E4A22" w14:paraId="490A4007" w14:textId="77777777">
            <w:pPr>
              <w:spacing w:line="240" w:lineRule="auto"/>
              <w:ind w:firstLine="0"/>
              <w:rPr>
                <w:rFonts w:eastAsia="MS Mincho"/>
              </w:rPr>
            </w:pPr>
            <w:r w:rsidRPr="00832F7C">
              <w:rPr>
                <w:rFonts w:eastAsia="MS Mincho"/>
              </w:rPr>
              <w:t>Hunter &amp; Schmidt meta-analysis via a modification of Field’s "Meta_Basic_r.sps" to remove apparently erroneous Overton correction**</w:t>
            </w:r>
          </w:p>
        </w:tc>
        <w:tc>
          <w:tcPr>
            <w:tcW w:w="630" w:type="dxa"/>
            <w:tcBorders>
              <w:top w:val="nil"/>
              <w:left w:val="nil"/>
              <w:bottom w:val="single" w:sz="4" w:space="0" w:color="auto"/>
              <w:right w:val="nil"/>
            </w:tcBorders>
            <w:shd w:val="clear" w:color="auto" w:fill="D9D9D9"/>
            <w:vAlign w:val="center"/>
          </w:tcPr>
          <w:p w:rsidR="00442CE7" w:rsidRPr="00832F7C" w:rsidP="009E4A22" w14:paraId="29473B10" w14:textId="77777777">
            <w:pPr>
              <w:spacing w:line="240" w:lineRule="auto"/>
              <w:ind w:firstLine="0"/>
              <w:jc w:val="center"/>
              <w:rPr>
                <w:rFonts w:eastAsia="MS Mincho"/>
              </w:rPr>
            </w:pPr>
            <w:r w:rsidRPr="00832F7C">
              <w:rPr>
                <w:rFonts w:eastAsia="MS Mincho"/>
              </w:rPr>
              <w:t>Yes</w:t>
            </w:r>
          </w:p>
        </w:tc>
        <w:tc>
          <w:tcPr>
            <w:tcW w:w="615" w:type="dxa"/>
            <w:tcBorders>
              <w:top w:val="nil"/>
              <w:left w:val="nil"/>
              <w:bottom w:val="single" w:sz="4" w:space="0" w:color="auto"/>
              <w:right w:val="nil"/>
            </w:tcBorders>
            <w:vAlign w:val="center"/>
          </w:tcPr>
          <w:p w:rsidR="00442CE7" w:rsidRPr="00832F7C" w:rsidP="009E4A22" w14:paraId="2CB1AB95" w14:textId="77777777">
            <w:pPr>
              <w:spacing w:line="240" w:lineRule="auto"/>
              <w:ind w:firstLine="0"/>
              <w:jc w:val="center"/>
              <w:rPr>
                <w:rFonts w:eastAsia="MS Mincho"/>
              </w:rPr>
            </w:pPr>
            <w:r w:rsidRPr="00832F7C">
              <w:rPr>
                <w:rFonts w:eastAsia="MS Mincho"/>
              </w:rPr>
              <w:t>No</w:t>
            </w:r>
          </w:p>
        </w:tc>
        <w:tc>
          <w:tcPr>
            <w:tcW w:w="717" w:type="dxa"/>
            <w:tcBorders>
              <w:top w:val="nil"/>
              <w:left w:val="nil"/>
              <w:bottom w:val="single" w:sz="4" w:space="0" w:color="auto"/>
              <w:right w:val="nil"/>
            </w:tcBorders>
            <w:shd w:val="clear" w:color="auto" w:fill="D9D9D9"/>
            <w:noWrap/>
            <w:vAlign w:val="center"/>
          </w:tcPr>
          <w:p w:rsidR="00442CE7" w:rsidRPr="00832F7C" w:rsidP="009E4A22" w14:paraId="371033A5" w14:textId="77777777">
            <w:pPr>
              <w:spacing w:line="240" w:lineRule="auto"/>
              <w:ind w:firstLine="0"/>
              <w:jc w:val="center"/>
              <w:rPr>
                <w:rFonts w:eastAsia="MS Mincho"/>
              </w:rPr>
            </w:pPr>
            <w:r w:rsidRPr="00832F7C">
              <w:rPr>
                <w:rFonts w:eastAsia="MS Mincho"/>
              </w:rPr>
              <w:t>Yes</w:t>
            </w:r>
          </w:p>
        </w:tc>
        <w:tc>
          <w:tcPr>
            <w:tcW w:w="2808" w:type="dxa"/>
            <w:tcBorders>
              <w:top w:val="nil"/>
              <w:left w:val="nil"/>
              <w:bottom w:val="single" w:sz="4" w:space="0" w:color="auto"/>
              <w:right w:val="nil"/>
            </w:tcBorders>
            <w:shd w:val="clear" w:color="auto" w:fill="D9D9D9"/>
            <w:vAlign w:val="center"/>
          </w:tcPr>
          <w:p w:rsidR="00442CE7" w:rsidRPr="00832F7C" w:rsidP="009E4A22" w14:paraId="039A037B" w14:textId="77777777">
            <w:pPr>
              <w:spacing w:line="240" w:lineRule="auto"/>
              <w:ind w:firstLine="0"/>
              <w:jc w:val="center"/>
              <w:rPr>
                <w:rFonts w:eastAsia="MS Mincho"/>
              </w:rPr>
            </w:pPr>
            <w:r w:rsidRPr="00832F7C">
              <w:rPr>
                <w:rFonts w:eastAsia="MS Mincho"/>
              </w:rPr>
              <w:t xml:space="preserve">Fisher’s </w:t>
            </w:r>
            <w:r w:rsidRPr="00832F7C">
              <w:rPr>
                <w:rFonts w:eastAsia="MS Mincho"/>
                <w:i/>
                <w:iCs/>
              </w:rPr>
              <w:t>r</w:t>
            </w:r>
            <w:r w:rsidRPr="00832F7C">
              <w:rPr>
                <w:rFonts w:eastAsia="MS Mincho"/>
              </w:rPr>
              <w:t>-to-</w:t>
            </w:r>
            <w:r w:rsidRPr="00832F7C">
              <w:rPr>
                <w:rFonts w:eastAsia="MS Mincho"/>
                <w:i/>
                <w:iCs/>
              </w:rPr>
              <w:t>z</w:t>
            </w:r>
          </w:p>
        </w:tc>
        <w:tc>
          <w:tcPr>
            <w:tcW w:w="1800" w:type="dxa"/>
            <w:tcBorders>
              <w:top w:val="nil"/>
              <w:left w:val="nil"/>
              <w:bottom w:val="single" w:sz="4" w:space="0" w:color="auto"/>
              <w:right w:val="nil"/>
            </w:tcBorders>
            <w:shd w:val="clear" w:color="auto" w:fill="D9D9D9"/>
            <w:vAlign w:val="center"/>
          </w:tcPr>
          <w:p w:rsidR="00442CE7" w:rsidRPr="00832F7C" w:rsidP="009E4A22" w14:paraId="4684448C" w14:textId="77777777">
            <w:pPr>
              <w:spacing w:line="240" w:lineRule="auto"/>
              <w:ind w:firstLine="0"/>
              <w:jc w:val="center"/>
              <w:rPr>
                <w:rFonts w:eastAsia="MS Mincho"/>
              </w:rPr>
            </w:pPr>
            <w:r w:rsidRPr="00832F7C">
              <w:rPr>
                <w:rFonts w:eastAsia="MS Mincho"/>
              </w:rPr>
              <w:t>No</w:t>
            </w:r>
          </w:p>
        </w:tc>
      </w:tr>
      <w:tr w14:paraId="7F54B5BD" w14:textId="77777777" w:rsidTr="009E4A22">
        <w:tblPrEx>
          <w:tblW w:w="12960" w:type="dxa"/>
          <w:jc w:val="center"/>
          <w:tblLayout w:type="fixed"/>
          <w:tblLook w:val="04A0"/>
        </w:tblPrEx>
        <w:trPr>
          <w:trHeight w:val="1845"/>
          <w:jc w:val="center"/>
        </w:trPr>
        <w:tc>
          <w:tcPr>
            <w:tcW w:w="12960" w:type="dxa"/>
            <w:gridSpan w:val="6"/>
            <w:tcBorders>
              <w:top w:val="single" w:sz="4" w:space="0" w:color="auto"/>
              <w:left w:val="nil"/>
              <w:bottom w:val="nil"/>
              <w:right w:val="nil"/>
            </w:tcBorders>
            <w:vAlign w:val="center"/>
          </w:tcPr>
          <w:p w:rsidR="00442CE7" w:rsidRPr="00832F7C" w:rsidP="009E4A22" w14:paraId="3E3E9272" w14:textId="77777777">
            <w:pPr>
              <w:spacing w:line="240" w:lineRule="auto"/>
              <w:ind w:firstLine="0"/>
              <w:rPr>
                <w:rFonts w:eastAsia="MS Mincho"/>
              </w:rPr>
            </w:pPr>
            <w:r w:rsidRPr="00832F7C">
              <w:rPr>
                <w:rFonts w:eastAsia="MS Mincho"/>
                <w:i/>
                <w:iCs/>
              </w:rPr>
              <w:t xml:space="preserve">Notes: </w:t>
            </w:r>
            <w:r w:rsidRPr="00832F7C">
              <w:rPr>
                <w:rFonts w:eastAsia="MS Mincho"/>
              </w:rPr>
              <w:t xml:space="preserve">Shaded cells match the requirements to be capable of producing the same type of output as reported in Vahey et al. (2015), agnostic to whether the numerical results match those reported in Vahey et al. (2015). </w:t>
            </w:r>
          </w:p>
          <w:p w:rsidR="00442CE7" w:rsidRPr="00832F7C" w:rsidP="009E4A22" w14:paraId="0185003A" w14:textId="77777777">
            <w:pPr>
              <w:spacing w:line="240" w:lineRule="auto"/>
              <w:ind w:firstLine="0"/>
              <w:rPr>
                <w:rFonts w:eastAsia="MS Mincho"/>
              </w:rPr>
            </w:pPr>
            <w:r w:rsidRPr="00832F7C">
              <w:rPr>
                <w:rFonts w:eastAsia="MS Mincho"/>
              </w:rPr>
              <w:t xml:space="preserve">* Vahey et al. (2015) did not explicitly state using any transformations. However, their forest plot's (their Figure 1) individual effect sizes have asymmetric confidence intervals implying a transformation; their funnel plot (their Figure 2) is labeled as employing Fisher's </w:t>
            </w:r>
            <w:r w:rsidRPr="00832F7C">
              <w:rPr>
                <w:rFonts w:eastAsia="MS Mincho"/>
                <w:i/>
                <w:iCs/>
              </w:rPr>
              <w:t>r</w:t>
            </w:r>
            <w:r w:rsidRPr="00832F7C">
              <w:rPr>
                <w:rFonts w:eastAsia="MS Mincho"/>
              </w:rPr>
              <w:t>-to-</w:t>
            </w:r>
            <w:r w:rsidRPr="00832F7C">
              <w:rPr>
                <w:rFonts w:eastAsia="MS Mincho"/>
                <w:i/>
                <w:iCs/>
              </w:rPr>
              <w:t>z</w:t>
            </w:r>
            <w:r w:rsidRPr="00832F7C">
              <w:rPr>
                <w:rFonts w:eastAsia="MS Mincho"/>
              </w:rPr>
              <w:t xml:space="preserve"> transformed values; and the method they state they followed employs Fisher's </w:t>
            </w:r>
            <w:r w:rsidRPr="00832F7C">
              <w:rPr>
                <w:rFonts w:eastAsia="MS Mincho"/>
                <w:i/>
                <w:iCs/>
              </w:rPr>
              <w:t>r</w:t>
            </w:r>
            <w:r w:rsidRPr="00832F7C">
              <w:rPr>
                <w:rFonts w:eastAsia="MS Mincho"/>
              </w:rPr>
              <w:t>-to-</w:t>
            </w:r>
            <w:r w:rsidRPr="00832F7C">
              <w:rPr>
                <w:rFonts w:eastAsia="MS Mincho"/>
                <w:i/>
                <w:iCs/>
              </w:rPr>
              <w:t>z</w:t>
            </w:r>
            <w:r w:rsidRPr="00832F7C">
              <w:rPr>
                <w:rFonts w:eastAsia="MS Mincho"/>
              </w:rPr>
              <w:t xml:space="preserve"> transformations.</w:t>
            </w:r>
          </w:p>
          <w:p w:rsidR="00442CE7" w:rsidRPr="00832F7C" w:rsidP="009E4A22" w14:paraId="66665841" w14:textId="77777777">
            <w:pPr>
              <w:spacing w:line="240" w:lineRule="auto"/>
              <w:ind w:firstLine="0"/>
              <w:rPr>
                <w:rFonts w:eastAsia="MS Mincho"/>
              </w:rPr>
            </w:pPr>
            <w:r w:rsidRPr="00832F7C">
              <w:rPr>
                <w:rFonts w:eastAsia="MS Mincho"/>
              </w:rPr>
              <w:t>** Field &amp; Gillett (2010) describe the Hedges and colleagues style meta-analysis as involving an Overton correction but not the Hunter and Schmidt style meta-analysis. However, their script applies the correction to both, misaligning the code with the article. In order to correct this apparent issue and attempt to more closely align the code with the described method, I therefore removed the Overton correction from this version.</w:t>
            </w:r>
          </w:p>
        </w:tc>
      </w:tr>
    </w:tbl>
    <w:p w:rsidR="00442CE7" w:rsidRPr="00832F7C" w:rsidP="00D77465" w14:paraId="355CA1EF" w14:textId="77777777">
      <w:pPr>
        <w:rPr>
          <w:rFonts w:eastAsia="MS Mincho"/>
          <w:lang w:val=""/>
        </w:rPr>
      </w:pPr>
    </w:p>
    <w:p w:rsidR="00442CE7" w:rsidRPr="00832F7C" w:rsidP="00D77465" w14:paraId="3DBD2664" w14:textId="77777777">
      <w:pPr>
        <w:rPr>
          <w:rFonts w:eastAsia="MS Mincho"/>
          <w:lang w:val=""/>
        </w:rPr>
        <w:sectPr w:rsidSect="00D77465">
          <w:type w:val="continuous"/>
          <w:pgSz w:w="16840" w:h="11900" w:orient="landscape"/>
          <w:pgMar w:top="1440" w:right="1440" w:bottom="1440" w:left="1440" w:header="709" w:footer="709" w:gutter="0"/>
          <w:cols w:space="340"/>
          <w:titlePg/>
          <w:docGrid w:linePitch="360"/>
          <w15:footnoteColumns w:val="1"/>
        </w:sectPr>
      </w:pPr>
    </w:p>
    <w:p w:rsidR="00442CE7" w:rsidRPr="00832F7C" w:rsidP="009E4A22" w14:paraId="0CCA2B36" w14:textId="1F26028E">
      <w:pPr>
        <w:ind w:firstLine="0"/>
        <w:rPr>
          <w:rFonts w:eastAsia="MS Mincho"/>
          <w:lang w:val=""/>
        </w:rPr>
        <w:sectPr w:rsidSect="00D77465">
          <w:type w:val="continuous"/>
          <w:pgSz w:w="16840" w:h="11900" w:orient="landscape"/>
          <w:pgMar w:top="1440" w:right="1440" w:bottom="1440" w:left="1440" w:header="709" w:footer="709" w:gutter="0"/>
          <w:cols w:space="340"/>
          <w:titlePg/>
          <w:docGrid w:linePitch="360"/>
          <w15:footnoteColumns w:val="1"/>
        </w:sectPr>
      </w:pPr>
    </w:p>
    <w:p w:rsidR="000E5C0F" w:rsidRPr="00832F7C" w:rsidP="0007581E" w14:paraId="57761AD7" w14:textId="70DA4E15">
      <w:r w:rsidRPr="00832F7C">
        <w:t xml:space="preserve">Table 2 </w:t>
      </w:r>
      <w:r w:rsidRPr="00832F7C">
        <w:t>catalogs</w:t>
      </w:r>
      <w:r w:rsidRPr="00832F7C">
        <w:t xml:space="preserve"> the metrics reported in Vahey et al. (2015) and those nominally calculated by the scripts, based on an inspection of their code. Table 2 illustrates that neither script’s features (e.g., use of corrections, transformations, and reliability estimates) nor outputs (point estimates and types of intervals, which I discuss in detail later) correspond with the results reported in Vahey et al. (2015). Specifically, </w:t>
      </w:r>
      <w:r w:rsidR="00741DC7">
        <w:t xml:space="preserve">the analyses reported in </w:t>
      </w:r>
      <w:r w:rsidRPr="00832F7C">
        <w:t xml:space="preserve">Vahey et al. (2015) likely </w:t>
      </w:r>
      <w:r w:rsidR="00741DC7">
        <w:t xml:space="preserve">– </w:t>
      </w:r>
      <w:r w:rsidRPr="00832F7C">
        <w:t>but</w:t>
      </w:r>
      <w:r w:rsidR="00741DC7">
        <w:t xml:space="preserve"> </w:t>
      </w:r>
      <w:r w:rsidRPr="00832F7C">
        <w:t>not definitely, or perhaps not consistently across analyses</w:t>
      </w:r>
      <w:r w:rsidR="00741DC7">
        <w:t xml:space="preserve"> – </w:t>
      </w:r>
      <w:r w:rsidRPr="00832F7C">
        <w:t>used</w:t>
      </w:r>
      <w:r w:rsidR="00741DC7">
        <w:t xml:space="preserve"> </w:t>
      </w:r>
      <w:r w:rsidRPr="00832F7C">
        <w:t xml:space="preserve">Fisher’s </w:t>
      </w:r>
      <w:r w:rsidRPr="00832F7C">
        <w:rPr>
          <w:i/>
          <w:iCs/>
        </w:rPr>
        <w:t>r</w:t>
      </w:r>
      <w:r w:rsidRPr="00832F7C">
        <w:t>-to-</w:t>
      </w:r>
      <w:r w:rsidRPr="00832F7C">
        <w:rPr>
          <w:i/>
          <w:iCs/>
        </w:rPr>
        <w:t>z</w:t>
      </w:r>
      <w:r w:rsidRPr="00832F7C">
        <w:t xml:space="preserve"> transformations (e.g., due to asymmetric Confidence Intervals in the weighted mean effect sizes in their Figure 1, and the reference to this transformation in Figure 2), and reported both Confidence Intervals and Credibility Intervals. In </w:t>
      </w:r>
      <w:r w:rsidRPr="00832F7C">
        <w:t>contrast, “</w:t>
      </w:r>
      <w:r w:rsidRPr="00832F7C">
        <w:t>h_s</w:t>
      </w:r>
      <w:r w:rsidRPr="00832F7C">
        <w:t xml:space="preserve"> </w:t>
      </w:r>
      <w:r w:rsidRPr="00832F7C">
        <w:t>syntax.sps</w:t>
      </w:r>
      <w:r w:rsidRPr="00832F7C">
        <w:t>” script’s Hunter and Schmidt style meta-analysis does not calculate Confidence Intervals; the “</w:t>
      </w:r>
      <w:r w:rsidRPr="00832F7C">
        <w:t>Meta_Basic_R.sps</w:t>
      </w:r>
      <w:r w:rsidRPr="00832F7C">
        <w:t xml:space="preserve">” script’s </w:t>
      </w:r>
      <w:r w:rsidR="00C42A74">
        <w:t>Hunter and Schmidt</w:t>
      </w:r>
      <w:r w:rsidRPr="00832F7C">
        <w:t xml:space="preserve"> style meta-analysis does not report Confidence Intervals; and its Hedges and </w:t>
      </w:r>
      <w:r w:rsidRPr="00832F7C">
        <w:t>colleagues</w:t>
      </w:r>
      <w:r w:rsidRPr="00832F7C">
        <w:t xml:space="preserve"> style meta-analysis does not use Fisher’s </w:t>
      </w:r>
      <w:r w:rsidRPr="00832F7C">
        <w:rPr>
          <w:i/>
          <w:iCs/>
        </w:rPr>
        <w:t>r</w:t>
      </w:r>
      <w:r w:rsidRPr="00832F7C">
        <w:t>-to-</w:t>
      </w:r>
      <w:r w:rsidRPr="00832F7C">
        <w:rPr>
          <w:i/>
          <w:iCs/>
        </w:rPr>
        <w:t>z</w:t>
      </w:r>
      <w:r w:rsidRPr="00832F7C">
        <w:t xml:space="preserve"> transformations or report Credibility Intervals. In addition to this, the “</w:t>
      </w:r>
      <w:r w:rsidRPr="00832F7C">
        <w:t>h_s</w:t>
      </w:r>
      <w:r w:rsidRPr="00832F7C">
        <w:t xml:space="preserve"> </w:t>
      </w:r>
      <w:r w:rsidRPr="00832F7C">
        <w:t>syntax.sps</w:t>
      </w:r>
      <w:r w:rsidRPr="00832F7C">
        <w:t xml:space="preserve">” script requires the researcher to provide reliability estimates for both variables in each correlation (i.e., the reliabilities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Pr="00832F7C">
        <w:t xml:space="preserve"> and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Pr="00832F7C">
        <w:t xml:space="preserve"> for the correlation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832F7C">
        <w:t xml:space="preserve">) </w:t>
      </w:r>
      <w:r w:rsidRPr="00832F7C">
        <w:t>in order to</w:t>
      </w:r>
      <w:r w:rsidRPr="00832F7C">
        <w:t xml:space="preserve"> correct the effect sizes for attenuation. Vahey et al. (2015) </w:t>
      </w:r>
      <w:r w:rsidR="00266282">
        <w:t>did</w:t>
      </w:r>
      <w:r w:rsidRPr="00832F7C">
        <w:t xml:space="preserve"> not report extracting or using reliability estimates in this way in their article or supplementary materials. </w:t>
      </w:r>
    </w:p>
    <w:p w:rsidR="000E5C0F" w:rsidRPr="00832F7C" w:rsidP="00983D43" w14:paraId="712D481D" w14:textId="75556E6E">
      <w:r w:rsidRPr="00832F7C">
        <w:t xml:space="preserve">Based on these facts, we could conclude that Vahey et al. (2015) did not in fact employ the </w:t>
      </w:r>
      <w:r w:rsidR="00C42A74">
        <w:t>Hunter and Schmidt</w:t>
      </w:r>
      <w:r w:rsidRPr="00832F7C">
        <w:t xml:space="preserve"> style meta-analysis specified in </w:t>
      </w:r>
      <w:r w:rsidR="00C42A74">
        <w:t>Field and Gillett</w:t>
      </w:r>
      <w:r w:rsidRPr="00832F7C">
        <w:t xml:space="preserve"> (2010), as stated. It is possible they ran more than one type or implementation of the meta-analyses implemented in these scripts and reported them as one, or perhaps they modified the analytic strategy in an undisclosed way. </w:t>
      </w:r>
      <w:r w:rsidRPr="00832F7C">
        <w:t>In light of</w:t>
      </w:r>
      <w:r w:rsidRPr="00832F7C">
        <w:t xml:space="preserve"> this, I therefore altered the implementations in multiple ways in order to attempt to reproduce </w:t>
      </w:r>
      <w:r w:rsidR="00266282">
        <w:t xml:space="preserve">the results reported in </w:t>
      </w:r>
      <w:r w:rsidRPr="00832F7C">
        <w:t xml:space="preserve">Vahey et al. (2015). The code used to implement each verification attempt, notes on what was modified from the </w:t>
      </w:r>
      <w:r w:rsidRPr="00832F7C">
        <w:t>default original code, and the results of the meta-analyses are reported in Table 3. Copies of all original and modified scripts are available in the supplementary materials.</w:t>
      </w:r>
    </w:p>
    <w:p w:rsidR="000E5C0F" w:rsidRPr="00832F7C" w:rsidP="00974D7B" w14:paraId="7134750C" w14:textId="77777777">
      <w:pPr>
        <w:pStyle w:val="Heading3"/>
      </w:pPr>
      <w:r w:rsidRPr="00832F7C">
        <w:t>Definitions of different types of intervals</w:t>
      </w:r>
    </w:p>
    <w:p w:rsidR="000C7F5A" w:rsidRPr="00832F7C" w:rsidP="00A678BF" w14:paraId="2315C498" w14:textId="754757AD">
      <w:r w:rsidRPr="00832F7C">
        <w:t>Vahey et al. (2015) report</w:t>
      </w:r>
      <w:r w:rsidR="00266282">
        <w:t>ed</w:t>
      </w:r>
      <w:r w:rsidRPr="00832F7C">
        <w:t xml:space="preserve"> both Confidence Intervals (CI) and Credibility Intervals (CR which attempt to estimate the generalizability of the meta-effect size </w:t>
      </w:r>
      <w:r w:rsidRPr="00832F7C">
        <w:fldChar w:fldCharType="begin"/>
      </w:r>
      <w:r w:rsidRPr="00832F7C">
        <w:instrText xml:space="preserve"> ADDIN ZOTERO_ITEM CSL_CITATION {"citationID":"7TL7OAQf","properties":{"formattedCitation":"(Field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rsidRPr="00832F7C">
        <w:fldChar w:fldCharType="separate"/>
      </w:r>
      <w:r w:rsidRPr="00832F7C">
        <w:rPr>
          <w:noProof/>
        </w:rPr>
        <w:t>(Field &amp; Gillett, 2010; Hunter &amp; Schmidt, 2004)</w:t>
      </w:r>
      <w:r w:rsidRPr="00832F7C">
        <w:fldChar w:fldCharType="end"/>
      </w:r>
      <w:r w:rsidRPr="00832F7C">
        <w:t>. Vahey et al. (2015) state</w:t>
      </w:r>
      <w:r w:rsidR="00266282">
        <w:t>d</w:t>
      </w:r>
      <w:r w:rsidRPr="00832F7C">
        <w:t xml:space="preserve"> that such “Credibility Intervals are generally wider and thus more conservative than corresponding Confidence Intervals” (p.61), however, this is not the case: Confidence Intervals and Credibility Intervals have different </w:t>
      </w:r>
      <w:r w:rsidRPr="00832F7C">
        <w:t>estimands</w:t>
      </w:r>
      <w:r w:rsidRPr="00832F7C">
        <w:t xml:space="preserve">. Confidence Intervals quantify the precision of the estimate given sampling error (i.e., within-study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Pr="00832F7C">
        <w:t>), whereas Credibility Intervals are a function of between-study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sidRPr="00832F7C">
        <w:t xml:space="preserve">: see Field &amp; Gillett, 2010, equations 2, 3, 4, and 5). A third type of interval, Prediction Intervals (PI), take both into account and are often reported for meta-analyses (e.g., within the metafor R package). It is true that PIs are at least as wide as Confidence Intervals, however, this is not because they are more 'conservative' than Confidence Intervals but because they quantify a different property under different assumptions. It is unclear whether this discrepancy in Vahey et al. (2015) was due to (a) a misinterpretation of Credibility Intervals, or (b) whether </w:t>
      </w:r>
      <w:r w:rsidR="00B27846">
        <w:t>the analyses in that article</w:t>
      </w:r>
      <w:r w:rsidRPr="00832F7C">
        <w:t xml:space="preserve"> calculated PIs but mislabelled </w:t>
      </w:r>
      <w:r w:rsidR="00B27846">
        <w:t xml:space="preserve">them </w:t>
      </w:r>
      <w:r w:rsidRPr="00832F7C">
        <w:t>as Credibility Intervals</w:t>
      </w:r>
      <w:r w:rsidR="00B27846">
        <w:t>, or some other alternative</w:t>
      </w:r>
      <w:r w:rsidRPr="00832F7C">
        <w:t xml:space="preserve">. </w:t>
      </w:r>
      <w:r w:rsidRPr="00832F7C">
        <w:t>In order to</w:t>
      </w:r>
      <w:r w:rsidRPr="00832F7C">
        <w:t xml:space="preserve"> attempt to resolve this for the purpose of verification, it is useful to define all three to highlight the differences between them:</w:t>
      </w:r>
    </w:p>
    <w:p w:rsidR="000E5C0F" w:rsidRPr="00832F7C" w:rsidP="00A678BF" w14:paraId="7456D16B" w14:textId="77777777">
      <w:pPr>
        <w:ind w:firstLine="0"/>
      </w:pPr>
    </w:p>
    <w:p w:rsidR="000E5C0F" w:rsidRPr="00832F7C" w:rsidP="000C7F5A" w14:paraId="22945239" w14:textId="1523B3CB">
      <m:oMathPara>
        <m:oMath>
          <m:eqArr>
            <m:eqArrPr>
              <m:maxDist/>
              <m:ctrlPr>
                <w:rPr>
                  <w:rFonts w:ascii="Cambria Math" w:hAnsi="Cambria Math"/>
                  <w:i/>
                </w:rPr>
              </m:ctrlPr>
            </m:eqArrPr>
            <m:e>
              <m:r>
                <m:rPr>
                  <m:sty m:val="p"/>
                </m:rPr>
                <w:rPr>
                  <w:rFonts w:ascii="Cambria Math" w:hAnsi="Cambria Math"/>
                </w:rPr>
                <m:t>95% CI=</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ctrlPr>
                    <w:rPr>
                      <w:rFonts w:ascii="Cambria Math" w:hAnsi="Cambria Math"/>
                    </w:rPr>
                  </m:ctrlPr>
                </m:radPr>
                <m:deg/>
                <m:e>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m:rPr>
                          <m:sty m:val="p"/>
                        </m:rPr>
                        <w:rPr>
                          <w:rFonts w:ascii="Cambria Math" w:hAnsi="Cambria Math"/>
                        </w:rPr>
                        <m:t>2</m:t>
                      </m:r>
                    </m:sup>
                  </m:sSup>
                </m:e>
              </m:rad>
              <m:r>
                <w:rPr>
                  <w:rFonts w:ascii="Cambria Math" w:hAnsi="Cambria Math"/>
                </w:rPr>
                <m:t xml:space="preserve"> #</m:t>
              </m:r>
              <m:d>
                <m:dPr>
                  <m:ctrlPr>
                    <w:rPr>
                      <w:rFonts w:ascii="Cambria Math" w:hAnsi="Cambria Math"/>
                      <w:i/>
                    </w:rPr>
                  </m:ctrlPr>
                </m:dPr>
                <m:e>
                  <m:r>
                    <w:rPr>
                      <w:rFonts w:ascii="Cambria Math" w:hAnsi="Cambria Math"/>
                    </w:rPr>
                    <m:t>2</m:t>
                  </m:r>
                </m:e>
              </m:d>
            </m:e>
          </m:eqArr>
        </m:oMath>
      </m:oMathPara>
    </w:p>
    <w:p w:rsidR="000E5C0F" w:rsidRPr="00832F7C" w:rsidP="000C7F5A" w14:paraId="6EAD1CDB" w14:textId="15B52B8B">
      <m:oMathPara>
        <m:oMath>
          <m:eqArr>
            <m:eqArrPr>
              <m:maxDist/>
              <m:ctrlPr>
                <w:rPr>
                  <w:rFonts w:ascii="Cambria Math" w:hAnsi="Cambria Math"/>
                  <w:i/>
                </w:rPr>
              </m:ctrlPr>
            </m:eqArrPr>
            <m:e>
              <m:r>
                <m:rPr>
                  <m:sty m:val="p"/>
                </m:rPr>
                <w:rPr>
                  <w:rFonts w:ascii="Cambria Math" w:hAnsi="Cambria Math"/>
                </w:rPr>
                <m:t>95% CR=</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ctrlPr>
                    <w:rPr>
                      <w:rFonts w:ascii="Cambria Math" w:hAnsi="Cambria Math"/>
                    </w:rPr>
                  </m:ctrlPr>
                </m:radPr>
                <m:deg/>
                <m:e>
                  <m:sSup>
                    <m:sSupPr>
                      <m:ctrlPr>
                        <w:rPr>
                          <w:rFonts w:ascii="Cambria Math" w:hAnsi="Cambria Math"/>
                        </w:rPr>
                      </m:ctrlPr>
                    </m:sSupPr>
                    <m:e>
                      <m:acc>
                        <m:accPr>
                          <m:ctrlPr>
                            <w:rPr>
                              <w:rFonts w:ascii="Cambria Math" w:hAnsi="Cambria Math"/>
                            </w:rPr>
                          </m:ctrlPr>
                        </m:accPr>
                        <m:e>
                          <m:r>
                            <w:rPr>
                              <w:rFonts w:ascii="Cambria Math" w:hAnsi="Cambria Math"/>
                            </w:rPr>
                            <m:t>τ</m:t>
                          </m:r>
                        </m:e>
                      </m:acc>
                    </m:e>
                    <m:sup>
                      <m:r>
                        <m:rPr>
                          <m:sty m:val="p"/>
                        </m:rPr>
                        <w:rPr>
                          <w:rFonts w:ascii="Cambria Math" w:hAnsi="Cambria Math"/>
                        </w:rPr>
                        <m:t>2</m:t>
                      </m:r>
                    </m:sup>
                  </m:sSup>
                </m:e>
              </m:rad>
              <m:r>
                <w:rPr>
                  <w:rFonts w:ascii="Cambria Math" w:hAnsi="Cambria Math"/>
                </w:rPr>
                <m:t xml:space="preserve"> #</m:t>
              </m:r>
              <m:d>
                <m:dPr>
                  <m:ctrlPr>
                    <w:rPr>
                      <w:rFonts w:ascii="Cambria Math" w:hAnsi="Cambria Math"/>
                      <w:i/>
                    </w:rPr>
                  </m:ctrlPr>
                </m:dPr>
                <m:e>
                  <m:r>
                    <w:rPr>
                      <w:rFonts w:ascii="Cambria Math" w:hAnsi="Cambria Math"/>
                    </w:rPr>
                    <m:t>3</m:t>
                  </m:r>
                </m:e>
              </m:d>
            </m:e>
          </m:eqArr>
        </m:oMath>
      </m:oMathPara>
    </w:p>
    <w:p w:rsidR="000E5C0F" w:rsidRPr="00832F7C" w:rsidP="00D77465" w14:paraId="0238E81C" w14:textId="77777777">
      <m:oMathPara>
        <m:oMath>
          <m:eqArr>
            <m:eqArrPr>
              <m:maxDist/>
              <m:ctrlPr>
                <w:rPr>
                  <w:rFonts w:ascii="Cambria Math" w:hAnsi="Cambria Math"/>
                  <w:i/>
                </w:rPr>
              </m:ctrlPr>
            </m:eqArrPr>
            <m:e>
              <m:r>
                <m:rPr>
                  <m:sty m:val="p"/>
                </m:rPr>
                <w:rPr>
                  <w:rFonts w:ascii="Cambria Math" w:hAnsi="Cambria Math"/>
                </w:rPr>
                <m:t>95% PI=</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ctrlPr>
                    <w:rPr>
                      <w:rFonts w:ascii="Cambria Math" w:hAnsi="Cambria Math"/>
                    </w:rPr>
                  </m:ctrlPr>
                </m:radPr>
                <m:deg/>
                <m:e>
                  <m:sSup>
                    <m:sSupPr>
                      <m:ctrlPr>
                        <w:rPr>
                          <w:rFonts w:ascii="Cambria Math" w:hAnsi="Cambria Math"/>
                        </w:rPr>
                      </m:ctrlPr>
                    </m:sSupPr>
                    <m:e>
                      <m:acc>
                        <m:accPr>
                          <m:ctrlPr>
                            <w:rPr>
                              <w:rFonts w:ascii="Cambria Math" w:hAnsi="Cambria Math"/>
                            </w:rPr>
                          </m:ctrlPr>
                        </m:accPr>
                        <m:e>
                          <m:r>
                            <w:rPr>
                              <w:rFonts w:ascii="Cambria Math" w:hAnsi="Cambria Math"/>
                            </w:rPr>
                            <m:t>τ</m:t>
                          </m:r>
                        </m:e>
                      </m:acc>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m:rPr>
                          <m:sty m:val="p"/>
                        </m:rPr>
                        <w:rPr>
                          <w:rFonts w:ascii="Cambria Math" w:hAnsi="Cambria Math"/>
                        </w:rPr>
                        <m:t>2</m:t>
                      </m:r>
                    </m:sup>
                  </m:sSup>
                </m:e>
              </m:rad>
              <m:r>
                <w:rPr>
                  <w:rFonts w:ascii="Cambria Math" w:hAnsi="Cambria Math"/>
                </w:rPr>
                <m:t xml:space="preserve"> #</m:t>
              </m:r>
              <m:d>
                <m:dPr>
                  <m:ctrlPr>
                    <w:rPr>
                      <w:rFonts w:ascii="Cambria Math" w:hAnsi="Cambria Math"/>
                      <w:i/>
                    </w:rPr>
                  </m:ctrlPr>
                </m:dPr>
                <m:e>
                  <m:r>
                    <w:rPr>
                      <w:rFonts w:ascii="Cambria Math" w:hAnsi="Cambria Math"/>
                    </w:rPr>
                    <m:t>4</m:t>
                  </m:r>
                </m:e>
              </m:d>
            </m:e>
          </m:eqArr>
        </m:oMath>
      </m:oMathPara>
    </w:p>
    <w:p w:rsidR="000E5C0F" w:rsidRPr="00832F7C" w:rsidP="007A3C94" w14:paraId="4DEC3794" w14:textId="77777777">
      <w:pPr>
        <w:ind w:firstLine="0"/>
      </w:pPr>
    </w:p>
    <w:p w:rsidR="000E5C0F" w:rsidRPr="00832F7C" w:rsidP="007A3C94" w14:paraId="7A1D14CF" w14:textId="77777777">
      <w:pPr>
        <w:ind w:firstLine="0"/>
      </w:pPr>
      <w:r w:rsidRPr="00832F7C">
        <w:t xml:space="preserve">Where </w:t>
      </w:r>
      <m:oMath>
        <m:acc>
          <m:accPr>
            <m:chr m:val="̅"/>
            <m:ctrlPr>
              <w:rPr>
                <w:rFonts w:ascii="Cambria Math" w:hAnsi="Cambria Math"/>
                <w:i/>
              </w:rPr>
            </m:ctrlPr>
          </m:accPr>
          <m:e>
            <m:r>
              <w:rPr>
                <w:rFonts w:ascii="Cambria Math" w:hAnsi="Cambria Math"/>
              </w:rPr>
              <m:t>r</m:t>
            </m:r>
          </m:e>
        </m:acc>
      </m:oMath>
      <w:r w:rsidRPr="00832F7C">
        <w:t xml:space="preserve"> is the weighted average effect size,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Pr="00832F7C">
        <w:t xml:space="preserve"> is the estimated within-study variance (i.e., the square of the Standard Error of </w:t>
      </w:r>
      <m:oMath>
        <m:acc>
          <m:accPr>
            <m:chr m:val="̅"/>
            <m:ctrlPr>
              <w:rPr>
                <w:rFonts w:ascii="Cambria Math" w:hAnsi="Cambria Math"/>
                <w:i/>
              </w:rPr>
            </m:ctrlPr>
          </m:accPr>
          <m:e>
            <m:r>
              <w:rPr>
                <w:rFonts w:ascii="Cambria Math" w:hAnsi="Cambria Math"/>
              </w:rPr>
              <m:t>r</m:t>
            </m:r>
          </m:e>
        </m:acc>
      </m:oMath>
      <w:r w:rsidRPr="00832F7C">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sidRPr="00832F7C">
        <w:t xml:space="preserve"> is the estimated between-study variance (heterogeneity). </w:t>
      </w:r>
    </w:p>
    <w:p w:rsidR="000E5C0F" w:rsidRPr="00832F7C" w:rsidP="007A3C94" w14:paraId="47038B14" w14:textId="6514645E">
      <w:r w:rsidRPr="00832F7C">
        <w:t>An important point to appreciate regarding Credibility Intervals is that when between-study heterogeneity is zero (</w:t>
      </w:r>
      <m:oMath>
        <m:sSup>
          <m:sSupPr>
            <m:ctrlPr>
              <w:rPr>
                <w:rFonts w:ascii="Cambria Math" w:hAnsi="Cambria Math"/>
              </w:rPr>
            </m:ctrlPr>
          </m:sSupPr>
          <m:e>
            <m:acc>
              <m:accPr>
                <m:ctrlPr>
                  <w:rPr>
                    <w:rFonts w:ascii="Cambria Math" w:hAnsi="Cambria Math"/>
                  </w:rPr>
                </m:ctrlPr>
              </m:accPr>
              <m:e>
                <m:r>
                  <w:rPr>
                    <w:rFonts w:ascii="Cambria Math" w:hAnsi="Cambria Math"/>
                  </w:rPr>
                  <m:t>τ</m:t>
                </m:r>
              </m:e>
            </m:acc>
          </m:e>
          <m:sup>
            <m:r>
              <m:rPr>
                <m:sty m:val="p"/>
              </m:rPr>
              <w:rPr>
                <w:rFonts w:ascii="Cambria Math" w:hAnsi="Cambria Math"/>
              </w:rPr>
              <m:t>2</m:t>
            </m:r>
          </m:sup>
        </m:sSup>
      </m:oMath>
      <w:r w:rsidRPr="00832F7C">
        <w:t xml:space="preserve"> = 0), the CR interval width will also be zero, as is the case in the results of the verification attempts reported later. This also follows from Field &amp; Gillet’s (2010) equations 2, 3, 4, and 5 (note that they use slightly different notation), which define the variance in the estimate of population correlations as the variance of sample effect sizes (which Vahey et al. 2015 denote as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Pr="00832F7C">
        <w:t xml:space="preserve">) minus the sampling error variance. As such, if the sampling error variance is found to be larger than the variance in the sample effect sizes, then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832F7C">
        <w:t xml:space="preserve"> will be negative, and Credibility Intervals cannot be calculated, as the square root of a negative number is non-real. Although Field and Gillett (2010) do not discuss this possibility in their article, they cover this case in their code by setting negative values of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832F7C">
        <w:t xml:space="preserve"> to zero (see “h_s syntax.sps” script). In such cases, both the lower and upper bound of the Credibility Interval will equal the point estimate (i.e., </w:t>
      </w:r>
      <m:oMath>
        <m:r>
          <w:rPr>
            <w:rFonts w:ascii="Cambria Math" w:hAnsi="Cambria Math"/>
          </w:rPr>
          <m:t xml:space="preserve">95% </m:t>
        </m:r>
        <m:r>
          <m:rPr>
            <m:sty m:val="p"/>
          </m:rPr>
          <w:rPr>
            <w:rFonts w:ascii="Cambria Math" w:hAnsi="Cambria Math"/>
          </w:rPr>
          <m:t>CR</m:t>
        </m:r>
        <m:r>
          <w:rPr>
            <w:rFonts w:ascii="Cambria Math" w:hAnsi="Cambria Math"/>
          </w:rPr>
          <m:t xml:space="preserve">= </m:t>
        </m:r>
        <m:acc>
          <m:accPr>
            <m:chr m:val="̅"/>
            <m:ctrlPr>
              <w:rPr>
                <w:rFonts w:ascii="Cambria Math" w:hAnsi="Cambria Math"/>
              </w:rPr>
            </m:ctrlPr>
          </m:accPr>
          <m:e>
            <m:r>
              <w:rPr>
                <w:rFonts w:ascii="Cambria Math" w:hAnsi="Cambria Math"/>
              </w:rPr>
              <m:t>r</m:t>
            </m:r>
          </m:e>
        </m:acc>
        <m:r>
          <w:rPr>
            <w:rFonts w:ascii="Cambria Math" w:hAnsi="Cambria Math"/>
          </w:rPr>
          <m:t xml:space="preserve"> ±1.96×0=[</m:t>
        </m:r>
        <m:acc>
          <m:accPr>
            <m:chr m:val="̅"/>
            <m:ctrlPr>
              <w:rPr>
                <w:rFonts w:ascii="Cambria Math" w:hAnsi="Cambria Math"/>
              </w:rPr>
            </m:ctrlPr>
          </m:accPr>
          <m:e>
            <m:r>
              <w:rPr>
                <w:rFonts w:ascii="Cambria Math" w:hAnsi="Cambria Math"/>
              </w:rPr>
              <m:t>r</m:t>
            </m:r>
          </m:e>
        </m:acc>
        <m:r>
          <w:rPr>
            <w:rFonts w:ascii="Cambria Math" w:hAnsi="Cambria Math"/>
          </w:rPr>
          <m:t xml:space="preserve">,  </m:t>
        </m:r>
        <m:acc>
          <m:accPr>
            <m:chr m:val="̅"/>
            <m:ctrlPr>
              <w:rPr>
                <w:rFonts w:ascii="Cambria Math" w:hAnsi="Cambria Math"/>
              </w:rPr>
            </m:ctrlPr>
          </m:accPr>
          <m:e>
            <m:r>
              <w:rPr>
                <w:rFonts w:ascii="Cambria Math" w:hAnsi="Cambria Math"/>
              </w:rPr>
              <m:t>r</m:t>
            </m:r>
          </m:e>
        </m:acc>
        <m:r>
          <w:rPr>
            <w:rFonts w:ascii="Cambria Math" w:hAnsi="Cambria Math"/>
          </w:rPr>
          <m:t>]</m:t>
        </m:r>
      </m:oMath>
      <w:r w:rsidRPr="00832F7C">
        <w:t>). This would represent an important case in which Confidence Intervals are both wider than Credibility Intervals, contrary to Vahey et al.'s (2015) claim and indeed where the Credibility Intervals are implausibly narrow (i.e., 0).</w:t>
      </w:r>
    </w:p>
    <w:p w:rsidR="00056983" w:rsidRPr="00832F7C" w:rsidP="00D77465" w14:paraId="1FB770AC" w14:textId="4E989C59">
      <w:pPr>
        <w:sectPr w:rsidSect="00D77465">
          <w:pgSz w:w="11900" w:h="16840"/>
          <w:pgMar w:top="1440" w:right="1440" w:bottom="1440" w:left="1440" w:header="709" w:footer="709" w:gutter="0"/>
          <w:cols w:space="340"/>
          <w:titlePg/>
          <w:docGrid w:linePitch="360"/>
          <w15:footnoteColumns w:val="1"/>
        </w:sectPr>
      </w:pPr>
    </w:p>
    <w:p w:rsidR="004219D9" w:rsidRPr="00832F7C" w:rsidP="000C7F5A" w14:paraId="14BB7E51" w14:textId="119840C2">
      <w:pPr>
        <w:ind w:firstLine="0"/>
        <w:rPr>
          <w:rFonts w:eastAsia="MS Mincho"/>
          <w:lang w:val=""/>
        </w:rPr>
      </w:pPr>
      <w:r w:rsidRPr="00832F7C">
        <w:rPr>
          <w:rFonts w:eastAsia="MS Mincho"/>
          <w:b/>
          <w:bCs/>
          <w:lang w:val=""/>
        </w:rPr>
        <w:t xml:space="preserve">Table </w:t>
      </w:r>
      <w:r w:rsidRPr="00832F7C" w:rsidR="00BD4CA2">
        <w:rPr>
          <w:rFonts w:eastAsia="MS Mincho"/>
          <w:b/>
          <w:bCs/>
          <w:lang w:val=""/>
        </w:rPr>
        <w:t>3</w:t>
      </w:r>
      <w:r w:rsidRPr="00832F7C">
        <w:rPr>
          <w:rFonts w:eastAsia="MS Mincho"/>
          <w:b/>
          <w:bCs/>
          <w:lang w:val=""/>
        </w:rPr>
        <w:t xml:space="preserve">. </w:t>
      </w:r>
      <w:r w:rsidRPr="00832F7C">
        <w:rPr>
          <w:rFonts w:eastAsia="MS Mincho"/>
          <w:lang w:val=""/>
        </w:rPr>
        <w:t>Verification attempts for the meta-analysis</w:t>
      </w:r>
    </w:p>
    <w:tbl>
      <w:tblPr>
        <w:tblStyle w:val="TableGrid1"/>
        <w:tblW w:w="0" w:type="auto"/>
        <w:jc w:val="center"/>
        <w:tblLook w:val="04A0"/>
      </w:tblPr>
      <w:tblGrid>
        <w:gridCol w:w="1349"/>
        <w:gridCol w:w="3143"/>
        <w:gridCol w:w="3785"/>
        <w:gridCol w:w="706"/>
        <w:gridCol w:w="843"/>
        <w:gridCol w:w="816"/>
        <w:gridCol w:w="843"/>
        <w:gridCol w:w="816"/>
        <w:gridCol w:w="843"/>
        <w:gridCol w:w="816"/>
      </w:tblGrid>
      <w:tr w14:paraId="5C785B6C" w14:textId="77777777" w:rsidTr="006504BD">
        <w:tblPrEx>
          <w:tblW w:w="0" w:type="auto"/>
          <w:jc w:val="center"/>
          <w:tblLook w:val="04A0"/>
        </w:tblPrEx>
        <w:trPr>
          <w:trHeight w:val="269"/>
          <w:jc w:val="center"/>
        </w:trPr>
        <w:tc>
          <w:tcPr>
            <w:tcW w:w="1349" w:type="dxa"/>
            <w:tcBorders>
              <w:top w:val="single" w:sz="4" w:space="0" w:color="auto"/>
              <w:left w:val="nil"/>
              <w:bottom w:val="nil"/>
              <w:right w:val="nil"/>
            </w:tcBorders>
            <w:vAlign w:val="center"/>
          </w:tcPr>
          <w:p w:rsidR="009B4A0E" w:rsidRPr="00832F7C" w:rsidP="000C7F5A" w14:paraId="77E99AA7" w14:textId="77777777">
            <w:pPr>
              <w:spacing w:line="240" w:lineRule="auto"/>
              <w:ind w:firstLine="0"/>
              <w:rPr>
                <w:rFonts w:eastAsia="MS Mincho"/>
              </w:rPr>
            </w:pPr>
          </w:p>
        </w:tc>
        <w:tc>
          <w:tcPr>
            <w:tcW w:w="3143" w:type="dxa"/>
            <w:tcBorders>
              <w:top w:val="single" w:sz="4" w:space="0" w:color="auto"/>
              <w:left w:val="nil"/>
              <w:bottom w:val="nil"/>
              <w:right w:val="nil"/>
            </w:tcBorders>
            <w:vAlign w:val="center"/>
          </w:tcPr>
          <w:p w:rsidR="009B4A0E" w:rsidRPr="00832F7C" w:rsidP="000C7F5A" w14:paraId="57DEDF78" w14:textId="77777777">
            <w:pPr>
              <w:spacing w:line="240" w:lineRule="auto"/>
              <w:ind w:firstLine="0"/>
              <w:rPr>
                <w:rFonts w:eastAsia="MS Mincho"/>
              </w:rPr>
            </w:pPr>
          </w:p>
        </w:tc>
        <w:tc>
          <w:tcPr>
            <w:tcW w:w="3785" w:type="dxa"/>
            <w:tcBorders>
              <w:top w:val="single" w:sz="4" w:space="0" w:color="auto"/>
              <w:left w:val="nil"/>
              <w:bottom w:val="nil"/>
              <w:right w:val="nil"/>
            </w:tcBorders>
            <w:vAlign w:val="center"/>
          </w:tcPr>
          <w:p w:rsidR="009B4A0E" w:rsidRPr="00832F7C" w:rsidP="000C7F5A" w14:paraId="1C2FE087" w14:textId="77777777">
            <w:pPr>
              <w:spacing w:line="240" w:lineRule="auto"/>
              <w:ind w:firstLine="0"/>
              <w:rPr>
                <w:rFonts w:eastAsia="MS Mincho"/>
              </w:rPr>
            </w:pPr>
          </w:p>
        </w:tc>
        <w:tc>
          <w:tcPr>
            <w:tcW w:w="706" w:type="dxa"/>
            <w:tcBorders>
              <w:top w:val="single" w:sz="4" w:space="0" w:color="auto"/>
              <w:left w:val="nil"/>
              <w:bottom w:val="nil"/>
              <w:right w:val="nil"/>
            </w:tcBorders>
            <w:noWrap/>
            <w:vAlign w:val="center"/>
          </w:tcPr>
          <w:p w:rsidR="009B4A0E" w:rsidRPr="00832F7C" w:rsidP="000C7F5A" w14:paraId="73C55E07" w14:textId="77777777">
            <w:pPr>
              <w:spacing w:line="240" w:lineRule="auto"/>
              <w:ind w:firstLine="0"/>
              <w:rPr>
                <w:rFonts w:eastAsia="MS Mincho"/>
              </w:rPr>
            </w:pPr>
          </w:p>
        </w:tc>
        <w:tc>
          <w:tcPr>
            <w:tcW w:w="1659" w:type="dxa"/>
            <w:gridSpan w:val="2"/>
            <w:tcBorders>
              <w:top w:val="single" w:sz="4" w:space="0" w:color="auto"/>
              <w:left w:val="nil"/>
              <w:bottom w:val="single" w:sz="4" w:space="0" w:color="auto"/>
              <w:right w:val="nil"/>
            </w:tcBorders>
            <w:noWrap/>
            <w:vAlign w:val="center"/>
          </w:tcPr>
          <w:p w:rsidR="009B4A0E" w:rsidRPr="00832F7C" w:rsidP="000C7F5A" w14:paraId="75B51B37" w14:textId="77777777">
            <w:pPr>
              <w:spacing w:line="240" w:lineRule="auto"/>
              <w:ind w:firstLine="0"/>
              <w:rPr>
                <w:rFonts w:eastAsia="MS Mincho"/>
              </w:rPr>
            </w:pPr>
            <w:r w:rsidRPr="00832F7C">
              <w:rPr>
                <w:rFonts w:eastAsia="MS Mincho"/>
              </w:rPr>
              <w:t>95% CI</w:t>
            </w:r>
          </w:p>
        </w:tc>
        <w:tc>
          <w:tcPr>
            <w:tcW w:w="1659" w:type="dxa"/>
            <w:gridSpan w:val="2"/>
            <w:tcBorders>
              <w:top w:val="single" w:sz="4" w:space="0" w:color="auto"/>
              <w:left w:val="nil"/>
              <w:bottom w:val="single" w:sz="4" w:space="0" w:color="auto"/>
              <w:right w:val="nil"/>
            </w:tcBorders>
            <w:noWrap/>
            <w:vAlign w:val="center"/>
          </w:tcPr>
          <w:p w:rsidR="009B4A0E" w:rsidRPr="00832F7C" w:rsidP="000C7F5A" w14:paraId="3FE203BE" w14:textId="77777777">
            <w:pPr>
              <w:spacing w:line="240" w:lineRule="auto"/>
              <w:ind w:firstLine="0"/>
              <w:rPr>
                <w:rFonts w:eastAsia="MS Mincho"/>
              </w:rPr>
            </w:pPr>
            <w:r w:rsidRPr="00832F7C">
              <w:rPr>
                <w:rFonts w:eastAsia="MS Mincho"/>
              </w:rPr>
              <w:t>95% CR</w:t>
            </w:r>
          </w:p>
        </w:tc>
        <w:tc>
          <w:tcPr>
            <w:tcW w:w="1659" w:type="dxa"/>
            <w:gridSpan w:val="2"/>
            <w:tcBorders>
              <w:top w:val="single" w:sz="4" w:space="0" w:color="auto"/>
              <w:left w:val="nil"/>
              <w:bottom w:val="single" w:sz="4" w:space="0" w:color="auto"/>
              <w:right w:val="nil"/>
            </w:tcBorders>
            <w:vAlign w:val="center"/>
          </w:tcPr>
          <w:p w:rsidR="009B4A0E" w:rsidRPr="00832F7C" w:rsidP="000C7F5A" w14:paraId="5CB6661D" w14:textId="77777777">
            <w:pPr>
              <w:spacing w:line="240" w:lineRule="auto"/>
              <w:ind w:firstLine="0"/>
              <w:rPr>
                <w:rFonts w:eastAsia="MS Mincho"/>
              </w:rPr>
            </w:pPr>
            <w:r w:rsidRPr="00832F7C">
              <w:rPr>
                <w:rFonts w:eastAsia="MS Mincho"/>
              </w:rPr>
              <w:t>95% PI</w:t>
            </w:r>
          </w:p>
        </w:tc>
      </w:tr>
      <w:tr w14:paraId="23B185AD" w14:textId="77777777" w:rsidTr="006504BD">
        <w:tblPrEx>
          <w:tblW w:w="0" w:type="auto"/>
          <w:jc w:val="center"/>
          <w:tblLook w:val="04A0"/>
        </w:tblPrEx>
        <w:trPr>
          <w:trHeight w:val="269"/>
          <w:jc w:val="center"/>
        </w:trPr>
        <w:tc>
          <w:tcPr>
            <w:tcW w:w="1349" w:type="dxa"/>
            <w:tcBorders>
              <w:top w:val="nil"/>
              <w:left w:val="nil"/>
              <w:bottom w:val="single" w:sz="4" w:space="0" w:color="auto"/>
              <w:right w:val="nil"/>
            </w:tcBorders>
            <w:vAlign w:val="center"/>
            <w:hideMark/>
          </w:tcPr>
          <w:p w:rsidR="009B4A0E" w:rsidRPr="00832F7C" w:rsidP="000C7F5A" w14:paraId="105825DD" w14:textId="77777777">
            <w:pPr>
              <w:spacing w:line="240" w:lineRule="auto"/>
              <w:ind w:firstLine="0"/>
              <w:rPr>
                <w:rFonts w:eastAsia="MS Mincho"/>
              </w:rPr>
            </w:pPr>
            <w:r w:rsidRPr="00832F7C">
              <w:rPr>
                <w:rFonts w:eastAsia="MS Mincho"/>
              </w:rPr>
              <w:t>Source</w:t>
            </w:r>
          </w:p>
        </w:tc>
        <w:tc>
          <w:tcPr>
            <w:tcW w:w="3143" w:type="dxa"/>
            <w:tcBorders>
              <w:top w:val="nil"/>
              <w:left w:val="nil"/>
              <w:bottom w:val="single" w:sz="4" w:space="0" w:color="auto"/>
              <w:right w:val="nil"/>
            </w:tcBorders>
            <w:vAlign w:val="center"/>
            <w:hideMark/>
          </w:tcPr>
          <w:p w:rsidR="009B4A0E" w:rsidRPr="00832F7C" w:rsidP="000C7F5A" w14:paraId="20B14AC8" w14:textId="77777777">
            <w:pPr>
              <w:spacing w:line="240" w:lineRule="auto"/>
              <w:ind w:firstLine="0"/>
              <w:rPr>
                <w:rFonts w:eastAsia="MS Mincho"/>
              </w:rPr>
            </w:pPr>
            <w:r w:rsidRPr="00832F7C">
              <w:rPr>
                <w:rFonts w:eastAsia="MS Mincho"/>
              </w:rPr>
              <w:t>Implementation</w:t>
            </w:r>
          </w:p>
        </w:tc>
        <w:tc>
          <w:tcPr>
            <w:tcW w:w="3785" w:type="dxa"/>
            <w:tcBorders>
              <w:top w:val="nil"/>
              <w:left w:val="nil"/>
              <w:bottom w:val="single" w:sz="4" w:space="0" w:color="auto"/>
              <w:right w:val="nil"/>
            </w:tcBorders>
            <w:vAlign w:val="center"/>
            <w:hideMark/>
          </w:tcPr>
          <w:p w:rsidR="009B4A0E" w:rsidRPr="00832F7C" w:rsidP="000C7F5A" w14:paraId="4C8E96AC" w14:textId="77777777">
            <w:pPr>
              <w:spacing w:line="240" w:lineRule="auto"/>
              <w:ind w:firstLine="0"/>
              <w:rPr>
                <w:rFonts w:eastAsia="MS Mincho"/>
              </w:rPr>
            </w:pPr>
            <w:r w:rsidRPr="00832F7C">
              <w:rPr>
                <w:rFonts w:eastAsia="MS Mincho"/>
              </w:rPr>
              <w:t>Modifications from the original code</w:t>
            </w:r>
          </w:p>
        </w:tc>
        <w:tc>
          <w:tcPr>
            <w:tcW w:w="706" w:type="dxa"/>
            <w:tcBorders>
              <w:top w:val="nil"/>
              <w:left w:val="nil"/>
              <w:bottom w:val="single" w:sz="4" w:space="0" w:color="auto"/>
              <w:right w:val="nil"/>
            </w:tcBorders>
            <w:noWrap/>
            <w:vAlign w:val="center"/>
            <w:hideMark/>
          </w:tcPr>
          <w:p w:rsidR="009B4A0E" w:rsidRPr="00832F7C" w:rsidP="000C7F5A" w14:paraId="15373148" w14:textId="77777777">
            <w:pPr>
              <w:spacing w:line="240" w:lineRule="auto"/>
              <w:ind w:firstLine="0"/>
              <w:rPr>
                <w:rFonts w:eastAsia="MS Mincho"/>
              </w:rPr>
            </w:pPr>
            <m:oMathPara>
              <m:oMath>
                <m:acc>
                  <m:accPr>
                    <m:chr m:val="̅"/>
                    <m:ctrlPr>
                      <w:rPr>
                        <w:rFonts w:ascii="Cambria Math" w:eastAsia="MS Mincho" w:hAnsi="Cambria Math"/>
                      </w:rPr>
                    </m:ctrlPr>
                  </m:accPr>
                  <m:e>
                    <m:r>
                      <w:rPr>
                        <w:rFonts w:ascii="Cambria Math" w:eastAsia="MS Mincho" w:hAnsi="Cambria Math"/>
                      </w:rPr>
                      <m:t>r</m:t>
                    </m:r>
                  </m:e>
                </m:acc>
              </m:oMath>
            </m:oMathPara>
          </w:p>
        </w:tc>
        <w:tc>
          <w:tcPr>
            <w:tcW w:w="843" w:type="dxa"/>
            <w:tcBorders>
              <w:top w:val="single" w:sz="4" w:space="0" w:color="auto"/>
              <w:left w:val="nil"/>
              <w:bottom w:val="single" w:sz="4" w:space="0" w:color="auto"/>
              <w:right w:val="nil"/>
            </w:tcBorders>
            <w:noWrap/>
            <w:vAlign w:val="center"/>
            <w:hideMark/>
          </w:tcPr>
          <w:p w:rsidR="009B4A0E" w:rsidRPr="00832F7C" w:rsidP="000C7F5A" w14:paraId="016A671C" w14:textId="77777777">
            <w:pPr>
              <w:spacing w:line="240" w:lineRule="auto"/>
              <w:ind w:firstLine="0"/>
              <w:rPr>
                <w:rFonts w:eastAsia="MS Mincho"/>
              </w:rPr>
            </w:pPr>
            <w:r w:rsidRPr="00832F7C">
              <w:rPr>
                <w:rFonts w:eastAsia="MS Mincho"/>
              </w:rPr>
              <w:t>Lower</w:t>
            </w:r>
          </w:p>
        </w:tc>
        <w:tc>
          <w:tcPr>
            <w:tcW w:w="816" w:type="dxa"/>
            <w:tcBorders>
              <w:top w:val="single" w:sz="4" w:space="0" w:color="auto"/>
              <w:left w:val="nil"/>
              <w:bottom w:val="single" w:sz="4" w:space="0" w:color="auto"/>
              <w:right w:val="nil"/>
            </w:tcBorders>
            <w:noWrap/>
            <w:vAlign w:val="center"/>
            <w:hideMark/>
          </w:tcPr>
          <w:p w:rsidR="009B4A0E" w:rsidRPr="00832F7C" w:rsidP="000C7F5A" w14:paraId="6A024961" w14:textId="77777777">
            <w:pPr>
              <w:spacing w:line="240" w:lineRule="auto"/>
              <w:ind w:firstLine="0"/>
              <w:rPr>
                <w:rFonts w:eastAsia="MS Mincho"/>
              </w:rPr>
            </w:pPr>
            <w:r w:rsidRPr="00832F7C">
              <w:rPr>
                <w:rFonts w:eastAsia="MS Mincho"/>
              </w:rPr>
              <w:t>Upper</w:t>
            </w:r>
          </w:p>
        </w:tc>
        <w:tc>
          <w:tcPr>
            <w:tcW w:w="843" w:type="dxa"/>
            <w:tcBorders>
              <w:top w:val="single" w:sz="4" w:space="0" w:color="auto"/>
              <w:left w:val="nil"/>
              <w:bottom w:val="single" w:sz="4" w:space="0" w:color="auto"/>
              <w:right w:val="nil"/>
            </w:tcBorders>
            <w:noWrap/>
            <w:vAlign w:val="center"/>
            <w:hideMark/>
          </w:tcPr>
          <w:p w:rsidR="009B4A0E" w:rsidRPr="00832F7C" w:rsidP="000C7F5A" w14:paraId="74C5EE85" w14:textId="77777777">
            <w:pPr>
              <w:spacing w:line="240" w:lineRule="auto"/>
              <w:ind w:firstLine="0"/>
              <w:rPr>
                <w:rFonts w:eastAsia="MS Mincho"/>
              </w:rPr>
            </w:pPr>
            <w:r w:rsidRPr="00832F7C">
              <w:rPr>
                <w:rFonts w:eastAsia="MS Mincho"/>
              </w:rPr>
              <w:t>Lower</w:t>
            </w:r>
          </w:p>
        </w:tc>
        <w:tc>
          <w:tcPr>
            <w:tcW w:w="816" w:type="dxa"/>
            <w:tcBorders>
              <w:top w:val="single" w:sz="4" w:space="0" w:color="auto"/>
              <w:left w:val="nil"/>
              <w:bottom w:val="single" w:sz="4" w:space="0" w:color="auto"/>
              <w:right w:val="nil"/>
            </w:tcBorders>
            <w:noWrap/>
            <w:vAlign w:val="center"/>
            <w:hideMark/>
          </w:tcPr>
          <w:p w:rsidR="009B4A0E" w:rsidRPr="00832F7C" w:rsidP="000C7F5A" w14:paraId="685C5947" w14:textId="77777777">
            <w:pPr>
              <w:spacing w:line="240" w:lineRule="auto"/>
              <w:ind w:firstLine="0"/>
              <w:rPr>
                <w:rFonts w:eastAsia="MS Mincho"/>
              </w:rPr>
            </w:pPr>
            <w:r w:rsidRPr="00832F7C">
              <w:rPr>
                <w:rFonts w:eastAsia="MS Mincho"/>
              </w:rPr>
              <w:t>Upper</w:t>
            </w:r>
          </w:p>
        </w:tc>
        <w:tc>
          <w:tcPr>
            <w:tcW w:w="843" w:type="dxa"/>
            <w:tcBorders>
              <w:top w:val="single" w:sz="4" w:space="0" w:color="auto"/>
              <w:left w:val="nil"/>
              <w:bottom w:val="single" w:sz="4" w:space="0" w:color="auto"/>
              <w:right w:val="nil"/>
            </w:tcBorders>
            <w:vAlign w:val="center"/>
          </w:tcPr>
          <w:p w:rsidR="009B4A0E" w:rsidRPr="00832F7C" w:rsidP="000C7F5A" w14:paraId="39D9E776" w14:textId="77777777">
            <w:pPr>
              <w:spacing w:line="240" w:lineRule="auto"/>
              <w:ind w:firstLine="0"/>
              <w:rPr>
                <w:rFonts w:eastAsia="MS Mincho"/>
              </w:rPr>
            </w:pPr>
            <w:r w:rsidRPr="00832F7C">
              <w:rPr>
                <w:rFonts w:eastAsia="MS Mincho"/>
              </w:rPr>
              <w:t>Lower</w:t>
            </w:r>
          </w:p>
        </w:tc>
        <w:tc>
          <w:tcPr>
            <w:tcW w:w="816" w:type="dxa"/>
            <w:tcBorders>
              <w:top w:val="single" w:sz="4" w:space="0" w:color="auto"/>
              <w:left w:val="nil"/>
              <w:bottom w:val="single" w:sz="4" w:space="0" w:color="auto"/>
              <w:right w:val="nil"/>
            </w:tcBorders>
            <w:vAlign w:val="center"/>
          </w:tcPr>
          <w:p w:rsidR="009B4A0E" w:rsidRPr="00832F7C" w:rsidP="000C7F5A" w14:paraId="77917E91" w14:textId="77777777">
            <w:pPr>
              <w:spacing w:line="240" w:lineRule="auto"/>
              <w:ind w:firstLine="0"/>
              <w:rPr>
                <w:rFonts w:eastAsia="MS Mincho"/>
              </w:rPr>
            </w:pPr>
            <w:r w:rsidRPr="00832F7C">
              <w:rPr>
                <w:rFonts w:eastAsia="MS Mincho"/>
              </w:rPr>
              <w:t>Upper</w:t>
            </w:r>
          </w:p>
        </w:tc>
      </w:tr>
      <w:tr w14:paraId="26151E18" w14:textId="77777777" w:rsidTr="006504BD">
        <w:tblPrEx>
          <w:tblW w:w="0" w:type="auto"/>
          <w:jc w:val="center"/>
          <w:tblLook w:val="04A0"/>
        </w:tblPrEx>
        <w:trPr>
          <w:trHeight w:val="806"/>
          <w:jc w:val="center"/>
        </w:trPr>
        <w:tc>
          <w:tcPr>
            <w:tcW w:w="1349" w:type="dxa"/>
            <w:tcBorders>
              <w:top w:val="single" w:sz="4" w:space="0" w:color="auto"/>
              <w:left w:val="nil"/>
              <w:bottom w:val="nil"/>
              <w:right w:val="nil"/>
            </w:tcBorders>
            <w:vAlign w:val="center"/>
            <w:hideMark/>
          </w:tcPr>
          <w:p w:rsidR="009B4A0E" w:rsidRPr="00832F7C" w:rsidP="000C7F5A" w14:paraId="6C620135" w14:textId="77777777">
            <w:pPr>
              <w:spacing w:line="240" w:lineRule="auto"/>
              <w:ind w:firstLine="0"/>
              <w:rPr>
                <w:rFonts w:eastAsia="MS Mincho"/>
              </w:rPr>
            </w:pPr>
            <w:r w:rsidRPr="00832F7C">
              <w:rPr>
                <w:rFonts w:eastAsia="MS Mincho"/>
              </w:rPr>
              <w:t>Vahey et al. (2015)</w:t>
            </w:r>
          </w:p>
        </w:tc>
        <w:tc>
          <w:tcPr>
            <w:tcW w:w="3143" w:type="dxa"/>
            <w:tcBorders>
              <w:top w:val="single" w:sz="4" w:space="0" w:color="auto"/>
              <w:left w:val="nil"/>
              <w:bottom w:val="nil"/>
              <w:right w:val="nil"/>
            </w:tcBorders>
            <w:vAlign w:val="center"/>
            <w:hideMark/>
          </w:tcPr>
          <w:p w:rsidR="009B4A0E" w:rsidRPr="00832F7C" w:rsidP="000C7F5A" w14:paraId="06D53369" w14:textId="77777777">
            <w:pPr>
              <w:spacing w:line="240" w:lineRule="auto"/>
              <w:ind w:firstLine="0"/>
              <w:rPr>
                <w:rFonts w:eastAsia="MS Mincho"/>
              </w:rPr>
            </w:pPr>
            <w:r w:rsidRPr="00832F7C">
              <w:rPr>
                <w:rFonts w:eastAsia="MS Mincho"/>
              </w:rPr>
              <w:t xml:space="preserve">Vahey </w:t>
            </w:r>
            <w:r w:rsidRPr="00832F7C" w:rsidR="003A52F0">
              <w:rPr>
                <w:rFonts w:eastAsia="MS Mincho"/>
              </w:rPr>
              <w:t xml:space="preserve">et al. (2015) state they followed </w:t>
            </w:r>
            <w:r w:rsidRPr="00832F7C">
              <w:rPr>
                <w:rFonts w:eastAsia="MS Mincho"/>
              </w:rPr>
              <w:t>Field &amp; Gillett’s (2010)</w:t>
            </w:r>
            <w:r w:rsidRPr="00832F7C" w:rsidR="004219D9">
              <w:rPr>
                <w:rFonts w:eastAsia="MS Mincho"/>
              </w:rPr>
              <w:t xml:space="preserve"> description of a Hunter and Schmidt style meta-analysis</w:t>
            </w:r>
          </w:p>
        </w:tc>
        <w:tc>
          <w:tcPr>
            <w:tcW w:w="3785" w:type="dxa"/>
            <w:tcBorders>
              <w:top w:val="single" w:sz="4" w:space="0" w:color="auto"/>
              <w:left w:val="nil"/>
              <w:bottom w:val="nil"/>
              <w:right w:val="nil"/>
            </w:tcBorders>
            <w:vAlign w:val="center"/>
            <w:hideMark/>
          </w:tcPr>
          <w:p w:rsidR="009B4A0E" w:rsidRPr="00832F7C" w:rsidP="000C7F5A" w14:paraId="3C21FEDD" w14:textId="77777777">
            <w:pPr>
              <w:spacing w:line="240" w:lineRule="auto"/>
              <w:ind w:firstLine="0"/>
              <w:rPr>
                <w:rFonts w:eastAsia="MS Mincho"/>
              </w:rPr>
            </w:pPr>
            <w:r w:rsidRPr="00832F7C">
              <w:rPr>
                <w:rFonts w:eastAsia="MS Mincho"/>
              </w:rPr>
              <w:t>Unknown.</w:t>
            </w:r>
          </w:p>
        </w:tc>
        <w:tc>
          <w:tcPr>
            <w:tcW w:w="706" w:type="dxa"/>
            <w:tcBorders>
              <w:top w:val="single" w:sz="4" w:space="0" w:color="auto"/>
              <w:left w:val="nil"/>
              <w:bottom w:val="nil"/>
              <w:right w:val="nil"/>
            </w:tcBorders>
            <w:shd w:val="clear" w:color="auto" w:fill="D9D9D9"/>
            <w:noWrap/>
            <w:vAlign w:val="center"/>
            <w:hideMark/>
          </w:tcPr>
          <w:p w:rsidR="009B4A0E" w:rsidRPr="00832F7C" w:rsidP="007742A5" w14:paraId="7F3B3534" w14:textId="77777777">
            <w:pPr>
              <w:spacing w:line="240" w:lineRule="auto"/>
              <w:ind w:firstLine="0"/>
              <w:jc w:val="center"/>
              <w:rPr>
                <w:rFonts w:eastAsia="MS Mincho"/>
              </w:rPr>
            </w:pPr>
            <w:r w:rsidRPr="00832F7C">
              <w:rPr>
                <w:rFonts w:eastAsia="MS Mincho"/>
              </w:rPr>
              <w:t>.45</w:t>
            </w:r>
          </w:p>
        </w:tc>
        <w:tc>
          <w:tcPr>
            <w:tcW w:w="843" w:type="dxa"/>
            <w:tcBorders>
              <w:top w:val="single" w:sz="4" w:space="0" w:color="auto"/>
              <w:left w:val="nil"/>
              <w:bottom w:val="nil"/>
              <w:right w:val="nil"/>
            </w:tcBorders>
            <w:shd w:val="clear" w:color="auto" w:fill="D9D9D9"/>
            <w:noWrap/>
            <w:vAlign w:val="center"/>
            <w:hideMark/>
          </w:tcPr>
          <w:p w:rsidR="009B4A0E" w:rsidRPr="00832F7C" w:rsidP="007742A5" w14:paraId="1D7512B0" w14:textId="77777777">
            <w:pPr>
              <w:spacing w:line="240" w:lineRule="auto"/>
              <w:ind w:firstLine="0"/>
              <w:jc w:val="center"/>
              <w:rPr>
                <w:rFonts w:eastAsia="MS Mincho"/>
              </w:rPr>
            </w:pPr>
            <w:r w:rsidRPr="00832F7C">
              <w:rPr>
                <w:rFonts w:eastAsia="MS Mincho"/>
              </w:rPr>
              <w:t>.40</w:t>
            </w:r>
          </w:p>
        </w:tc>
        <w:tc>
          <w:tcPr>
            <w:tcW w:w="816" w:type="dxa"/>
            <w:tcBorders>
              <w:top w:val="single" w:sz="4" w:space="0" w:color="auto"/>
              <w:left w:val="nil"/>
              <w:bottom w:val="nil"/>
              <w:right w:val="nil"/>
            </w:tcBorders>
            <w:shd w:val="clear" w:color="auto" w:fill="D9D9D9"/>
            <w:noWrap/>
            <w:vAlign w:val="center"/>
            <w:hideMark/>
          </w:tcPr>
          <w:p w:rsidR="009B4A0E" w:rsidRPr="00832F7C" w:rsidP="007742A5" w14:paraId="2F5ABB16" w14:textId="77777777">
            <w:pPr>
              <w:spacing w:line="240" w:lineRule="auto"/>
              <w:ind w:firstLine="0"/>
              <w:jc w:val="center"/>
              <w:rPr>
                <w:rFonts w:eastAsia="MS Mincho"/>
              </w:rPr>
            </w:pPr>
            <w:r w:rsidRPr="00832F7C">
              <w:rPr>
                <w:rFonts w:eastAsia="MS Mincho"/>
              </w:rPr>
              <w:t>.54</w:t>
            </w:r>
          </w:p>
        </w:tc>
        <w:tc>
          <w:tcPr>
            <w:tcW w:w="843" w:type="dxa"/>
            <w:tcBorders>
              <w:top w:val="single" w:sz="4" w:space="0" w:color="auto"/>
              <w:left w:val="nil"/>
              <w:bottom w:val="nil"/>
              <w:right w:val="nil"/>
            </w:tcBorders>
            <w:shd w:val="clear" w:color="auto" w:fill="D9D9D9"/>
            <w:noWrap/>
            <w:vAlign w:val="center"/>
            <w:hideMark/>
          </w:tcPr>
          <w:p w:rsidR="009B4A0E" w:rsidRPr="00832F7C" w:rsidP="007742A5" w14:paraId="46C809F7" w14:textId="77777777">
            <w:pPr>
              <w:spacing w:line="240" w:lineRule="auto"/>
              <w:ind w:firstLine="0"/>
              <w:jc w:val="center"/>
              <w:rPr>
                <w:rFonts w:eastAsia="MS Mincho"/>
              </w:rPr>
            </w:pPr>
            <w:r w:rsidRPr="00832F7C">
              <w:rPr>
                <w:rFonts w:eastAsia="MS Mincho"/>
              </w:rPr>
              <w:t>.23</w:t>
            </w:r>
          </w:p>
        </w:tc>
        <w:tc>
          <w:tcPr>
            <w:tcW w:w="816" w:type="dxa"/>
            <w:tcBorders>
              <w:top w:val="single" w:sz="4" w:space="0" w:color="auto"/>
              <w:left w:val="nil"/>
              <w:bottom w:val="nil"/>
              <w:right w:val="nil"/>
            </w:tcBorders>
            <w:shd w:val="clear" w:color="auto" w:fill="D9D9D9"/>
            <w:noWrap/>
            <w:vAlign w:val="center"/>
            <w:hideMark/>
          </w:tcPr>
          <w:p w:rsidR="009B4A0E" w:rsidRPr="00832F7C" w:rsidP="007742A5" w14:paraId="033333CF" w14:textId="77777777">
            <w:pPr>
              <w:spacing w:line="240" w:lineRule="auto"/>
              <w:ind w:firstLine="0"/>
              <w:jc w:val="center"/>
              <w:rPr>
                <w:rFonts w:eastAsia="MS Mincho"/>
              </w:rPr>
            </w:pPr>
            <w:r w:rsidRPr="00832F7C">
              <w:rPr>
                <w:rFonts w:eastAsia="MS Mincho"/>
              </w:rPr>
              <w:t>.67</w:t>
            </w:r>
          </w:p>
        </w:tc>
        <w:tc>
          <w:tcPr>
            <w:tcW w:w="843" w:type="dxa"/>
            <w:tcBorders>
              <w:top w:val="single" w:sz="4" w:space="0" w:color="auto"/>
              <w:left w:val="nil"/>
              <w:bottom w:val="nil"/>
              <w:right w:val="nil"/>
            </w:tcBorders>
            <w:shd w:val="clear" w:color="auto" w:fill="D9D9D9"/>
            <w:vAlign w:val="center"/>
          </w:tcPr>
          <w:p w:rsidR="009B4A0E" w:rsidRPr="00832F7C" w:rsidP="007742A5" w14:paraId="5E572EF7" w14:textId="77777777">
            <w:pPr>
              <w:spacing w:line="240" w:lineRule="auto"/>
              <w:ind w:firstLine="0"/>
              <w:jc w:val="center"/>
              <w:rPr>
                <w:rFonts w:eastAsia="MS Mincho"/>
              </w:rPr>
            </w:pPr>
            <w:r w:rsidRPr="00832F7C">
              <w:rPr>
                <w:rFonts w:eastAsia="MS Mincho"/>
              </w:rPr>
              <w:t>-</w:t>
            </w:r>
          </w:p>
        </w:tc>
        <w:tc>
          <w:tcPr>
            <w:tcW w:w="816" w:type="dxa"/>
            <w:tcBorders>
              <w:top w:val="single" w:sz="4" w:space="0" w:color="auto"/>
              <w:left w:val="nil"/>
              <w:bottom w:val="nil"/>
              <w:right w:val="nil"/>
            </w:tcBorders>
            <w:shd w:val="clear" w:color="auto" w:fill="D9D9D9"/>
            <w:vAlign w:val="center"/>
          </w:tcPr>
          <w:p w:rsidR="009B4A0E" w:rsidRPr="00832F7C" w:rsidP="007742A5" w14:paraId="51B19E5C" w14:textId="77777777">
            <w:pPr>
              <w:spacing w:line="240" w:lineRule="auto"/>
              <w:ind w:firstLine="0"/>
              <w:jc w:val="center"/>
              <w:rPr>
                <w:rFonts w:eastAsia="MS Mincho"/>
              </w:rPr>
            </w:pPr>
            <w:r w:rsidRPr="00832F7C">
              <w:rPr>
                <w:rFonts w:eastAsia="MS Mincho"/>
              </w:rPr>
              <w:t>-</w:t>
            </w:r>
          </w:p>
        </w:tc>
      </w:tr>
      <w:tr w14:paraId="4176787A" w14:textId="77777777" w:rsidTr="006504BD">
        <w:tblPrEx>
          <w:tblW w:w="0" w:type="auto"/>
          <w:jc w:val="center"/>
          <w:tblLook w:val="04A0"/>
        </w:tblPrEx>
        <w:trPr>
          <w:trHeight w:val="540"/>
          <w:jc w:val="center"/>
        </w:trPr>
        <w:tc>
          <w:tcPr>
            <w:tcW w:w="1349" w:type="dxa"/>
            <w:tcBorders>
              <w:top w:val="nil"/>
              <w:left w:val="nil"/>
              <w:bottom w:val="nil"/>
              <w:right w:val="nil"/>
            </w:tcBorders>
            <w:vAlign w:val="center"/>
            <w:hideMark/>
          </w:tcPr>
          <w:p w:rsidR="009B4A0E" w:rsidRPr="00832F7C" w:rsidP="000C7F5A" w14:paraId="13303D10" w14:textId="77777777">
            <w:pPr>
              <w:spacing w:line="240" w:lineRule="auto"/>
              <w:ind w:firstLine="0"/>
              <w:rPr>
                <w:rFonts w:eastAsia="MS Mincho"/>
              </w:rPr>
            </w:pPr>
            <w:r w:rsidRPr="00832F7C">
              <w:rPr>
                <w:rFonts w:eastAsia="MS Mincho"/>
              </w:rPr>
              <w:t>Verification attempt 1</w:t>
            </w:r>
          </w:p>
        </w:tc>
        <w:tc>
          <w:tcPr>
            <w:tcW w:w="3143" w:type="dxa"/>
            <w:tcBorders>
              <w:top w:val="nil"/>
              <w:left w:val="nil"/>
              <w:bottom w:val="nil"/>
              <w:right w:val="nil"/>
            </w:tcBorders>
            <w:vAlign w:val="center"/>
            <w:hideMark/>
          </w:tcPr>
          <w:p w:rsidR="009B4A0E" w:rsidRPr="00832F7C" w:rsidP="000C7F5A" w14:paraId="3CA34716" w14:textId="77777777">
            <w:pPr>
              <w:spacing w:line="240" w:lineRule="auto"/>
              <w:ind w:firstLine="0"/>
              <w:rPr>
                <w:rFonts w:eastAsia="MS Mincho"/>
              </w:rPr>
            </w:pPr>
            <w:r w:rsidRPr="00832F7C">
              <w:rPr>
                <w:rFonts w:eastAsia="MS Mincho"/>
              </w:rPr>
              <w:t>Hunter &amp; Schmidt method using Field &amp; Gillett’s (2010) “h_s_syntax.sps”</w:t>
            </w:r>
          </w:p>
        </w:tc>
        <w:tc>
          <w:tcPr>
            <w:tcW w:w="3785" w:type="dxa"/>
            <w:tcBorders>
              <w:top w:val="nil"/>
              <w:left w:val="nil"/>
              <w:bottom w:val="nil"/>
              <w:right w:val="nil"/>
            </w:tcBorders>
            <w:vAlign w:val="center"/>
            <w:hideMark/>
          </w:tcPr>
          <w:p w:rsidR="009B4A0E" w:rsidRPr="00832F7C" w:rsidP="000C7F5A" w14:paraId="5EEADA47" w14:textId="77777777">
            <w:pPr>
              <w:spacing w:line="240" w:lineRule="auto"/>
              <w:ind w:firstLine="0"/>
              <w:rPr>
                <w:rFonts w:eastAsia="MS Mincho"/>
              </w:rPr>
            </w:pPr>
            <w:r w:rsidRPr="00832F7C">
              <w:rPr>
                <w:rFonts w:eastAsia="MS Mincho"/>
              </w:rPr>
              <w:t>All reliabilities were set to 0.</w:t>
            </w:r>
          </w:p>
        </w:tc>
        <w:tc>
          <w:tcPr>
            <w:tcW w:w="706" w:type="dxa"/>
            <w:tcBorders>
              <w:top w:val="nil"/>
              <w:left w:val="nil"/>
              <w:bottom w:val="nil"/>
              <w:right w:val="nil"/>
            </w:tcBorders>
            <w:noWrap/>
            <w:vAlign w:val="center"/>
            <w:hideMark/>
          </w:tcPr>
          <w:p w:rsidR="009B4A0E" w:rsidRPr="00832F7C" w:rsidP="007742A5" w14:paraId="72C4B3FA" w14:textId="77777777">
            <w:pPr>
              <w:spacing w:line="240" w:lineRule="auto"/>
              <w:ind w:firstLine="0"/>
              <w:jc w:val="center"/>
              <w:rPr>
                <w:rFonts w:eastAsia="MS Mincho"/>
              </w:rPr>
            </w:pPr>
            <w:r w:rsidRPr="00832F7C">
              <w:rPr>
                <w:rFonts w:eastAsia="MS Mincho"/>
              </w:rPr>
              <w:t>.47</w:t>
            </w:r>
          </w:p>
        </w:tc>
        <w:tc>
          <w:tcPr>
            <w:tcW w:w="843" w:type="dxa"/>
            <w:tcBorders>
              <w:top w:val="nil"/>
              <w:left w:val="nil"/>
              <w:bottom w:val="nil"/>
              <w:right w:val="nil"/>
            </w:tcBorders>
            <w:noWrap/>
            <w:vAlign w:val="center"/>
            <w:hideMark/>
          </w:tcPr>
          <w:p w:rsidR="009B4A0E" w:rsidRPr="00832F7C" w:rsidP="007742A5" w14:paraId="7F396405" w14:textId="77777777">
            <w:pPr>
              <w:spacing w:line="240" w:lineRule="auto"/>
              <w:ind w:firstLine="0"/>
              <w:jc w:val="center"/>
              <w:rPr>
                <w:rFonts w:eastAsia="MS Mincho"/>
              </w:rPr>
            </w:pPr>
            <w:r w:rsidRPr="00832F7C">
              <w:rPr>
                <w:rFonts w:eastAsia="MS Mincho"/>
              </w:rPr>
              <w:t>.20</w:t>
            </w:r>
          </w:p>
        </w:tc>
        <w:tc>
          <w:tcPr>
            <w:tcW w:w="816" w:type="dxa"/>
            <w:tcBorders>
              <w:top w:val="nil"/>
              <w:left w:val="nil"/>
              <w:bottom w:val="nil"/>
              <w:right w:val="nil"/>
            </w:tcBorders>
            <w:noWrap/>
            <w:vAlign w:val="center"/>
            <w:hideMark/>
          </w:tcPr>
          <w:p w:rsidR="009B4A0E" w:rsidRPr="00832F7C" w:rsidP="007742A5" w14:paraId="57BF0ABA" w14:textId="77777777">
            <w:pPr>
              <w:spacing w:line="240" w:lineRule="auto"/>
              <w:ind w:firstLine="0"/>
              <w:jc w:val="center"/>
              <w:rPr>
                <w:rFonts w:eastAsia="MS Mincho"/>
              </w:rPr>
            </w:pPr>
            <w:r w:rsidRPr="00832F7C">
              <w:rPr>
                <w:rFonts w:eastAsia="MS Mincho"/>
              </w:rPr>
              <w:t>.74</w:t>
            </w:r>
          </w:p>
        </w:tc>
        <w:tc>
          <w:tcPr>
            <w:tcW w:w="843" w:type="dxa"/>
            <w:tcBorders>
              <w:top w:val="nil"/>
              <w:left w:val="nil"/>
              <w:bottom w:val="nil"/>
              <w:right w:val="nil"/>
            </w:tcBorders>
            <w:noWrap/>
            <w:vAlign w:val="center"/>
            <w:hideMark/>
          </w:tcPr>
          <w:p w:rsidR="009B4A0E" w:rsidRPr="00832F7C" w:rsidP="007742A5" w14:paraId="570B6599" w14:textId="77777777">
            <w:pPr>
              <w:spacing w:line="240" w:lineRule="auto"/>
              <w:ind w:firstLine="0"/>
              <w:jc w:val="center"/>
              <w:rPr>
                <w:rFonts w:eastAsia="MS Mincho"/>
              </w:rPr>
            </w:pPr>
            <w:r w:rsidRPr="00832F7C">
              <w:rPr>
                <w:rFonts w:eastAsia="MS Mincho"/>
              </w:rPr>
              <w:t>.47</w:t>
            </w:r>
          </w:p>
        </w:tc>
        <w:tc>
          <w:tcPr>
            <w:tcW w:w="816" w:type="dxa"/>
            <w:tcBorders>
              <w:top w:val="nil"/>
              <w:left w:val="nil"/>
              <w:bottom w:val="nil"/>
              <w:right w:val="nil"/>
            </w:tcBorders>
            <w:noWrap/>
            <w:vAlign w:val="center"/>
            <w:hideMark/>
          </w:tcPr>
          <w:p w:rsidR="009B4A0E" w:rsidRPr="00832F7C" w:rsidP="007742A5" w14:paraId="6B458B3A" w14:textId="77777777">
            <w:pPr>
              <w:spacing w:line="240" w:lineRule="auto"/>
              <w:ind w:firstLine="0"/>
              <w:jc w:val="center"/>
              <w:rPr>
                <w:rFonts w:eastAsia="MS Mincho"/>
              </w:rPr>
            </w:pPr>
            <w:r w:rsidRPr="00832F7C">
              <w:rPr>
                <w:rFonts w:eastAsia="MS Mincho"/>
              </w:rPr>
              <w:t>.47</w:t>
            </w:r>
          </w:p>
        </w:tc>
        <w:tc>
          <w:tcPr>
            <w:tcW w:w="843" w:type="dxa"/>
            <w:tcBorders>
              <w:top w:val="nil"/>
              <w:left w:val="nil"/>
              <w:bottom w:val="nil"/>
              <w:right w:val="nil"/>
            </w:tcBorders>
            <w:vAlign w:val="center"/>
          </w:tcPr>
          <w:p w:rsidR="009B4A0E" w:rsidRPr="00832F7C" w:rsidP="007742A5" w14:paraId="65FB1872" w14:textId="77777777">
            <w:pPr>
              <w:spacing w:line="240" w:lineRule="auto"/>
              <w:ind w:firstLine="0"/>
              <w:jc w:val="center"/>
              <w:rPr>
                <w:rFonts w:eastAsia="MS Mincho"/>
              </w:rPr>
            </w:pPr>
            <w:r w:rsidRPr="00832F7C">
              <w:rPr>
                <w:rFonts w:eastAsia="MS Mincho"/>
              </w:rPr>
              <w:t>-</w:t>
            </w:r>
          </w:p>
        </w:tc>
        <w:tc>
          <w:tcPr>
            <w:tcW w:w="816" w:type="dxa"/>
            <w:tcBorders>
              <w:top w:val="nil"/>
              <w:left w:val="nil"/>
              <w:bottom w:val="nil"/>
              <w:right w:val="nil"/>
            </w:tcBorders>
            <w:vAlign w:val="center"/>
          </w:tcPr>
          <w:p w:rsidR="009B4A0E" w:rsidRPr="00832F7C" w:rsidP="007742A5" w14:paraId="6CE5A84D" w14:textId="77777777">
            <w:pPr>
              <w:spacing w:line="240" w:lineRule="auto"/>
              <w:ind w:firstLine="0"/>
              <w:jc w:val="center"/>
              <w:rPr>
                <w:rFonts w:eastAsia="MS Mincho"/>
              </w:rPr>
            </w:pPr>
            <w:r w:rsidRPr="00832F7C">
              <w:rPr>
                <w:rFonts w:eastAsia="MS Mincho"/>
              </w:rPr>
              <w:t>-</w:t>
            </w:r>
          </w:p>
        </w:tc>
      </w:tr>
      <w:tr w14:paraId="7A91E0E7" w14:textId="77777777" w:rsidTr="006504BD">
        <w:tblPrEx>
          <w:tblW w:w="0" w:type="auto"/>
          <w:jc w:val="center"/>
          <w:tblLook w:val="04A0"/>
        </w:tblPrEx>
        <w:trPr>
          <w:trHeight w:val="549"/>
          <w:jc w:val="center"/>
        </w:trPr>
        <w:tc>
          <w:tcPr>
            <w:tcW w:w="1349" w:type="dxa"/>
            <w:tcBorders>
              <w:top w:val="nil"/>
              <w:left w:val="nil"/>
              <w:bottom w:val="nil"/>
              <w:right w:val="nil"/>
            </w:tcBorders>
            <w:vAlign w:val="center"/>
          </w:tcPr>
          <w:p w:rsidR="000B19C6" w:rsidRPr="00832F7C" w:rsidP="000C7F5A" w14:paraId="78F8A660" w14:textId="77777777">
            <w:pPr>
              <w:spacing w:line="240" w:lineRule="auto"/>
              <w:ind w:firstLine="0"/>
              <w:rPr>
                <w:rFonts w:eastAsia="MS Mincho"/>
              </w:rPr>
            </w:pPr>
            <w:r w:rsidRPr="00832F7C">
              <w:rPr>
                <w:rFonts w:eastAsia="MS Mincho"/>
              </w:rPr>
              <w:t>Verification attempt 2</w:t>
            </w:r>
          </w:p>
        </w:tc>
        <w:tc>
          <w:tcPr>
            <w:tcW w:w="3143" w:type="dxa"/>
            <w:tcBorders>
              <w:top w:val="nil"/>
              <w:left w:val="nil"/>
              <w:bottom w:val="nil"/>
              <w:right w:val="nil"/>
            </w:tcBorders>
            <w:vAlign w:val="center"/>
            <w:hideMark/>
          </w:tcPr>
          <w:p w:rsidR="000B19C6" w:rsidRPr="00832F7C" w:rsidP="000C7F5A" w14:paraId="7613AAB5" w14:textId="77777777">
            <w:pPr>
              <w:spacing w:line="240" w:lineRule="auto"/>
              <w:ind w:firstLine="0"/>
              <w:rPr>
                <w:rFonts w:eastAsia="MS Mincho"/>
              </w:rPr>
            </w:pPr>
            <w:r w:rsidRPr="00832F7C">
              <w:rPr>
                <w:rFonts w:eastAsia="MS Mincho"/>
              </w:rPr>
              <w:t>Hunter &amp; Schmidt method using Field &amp; Gillett’s (2010) “Meta_Basic_r.sps” *</w:t>
            </w:r>
          </w:p>
        </w:tc>
        <w:tc>
          <w:tcPr>
            <w:tcW w:w="3785" w:type="dxa"/>
            <w:tcBorders>
              <w:top w:val="nil"/>
              <w:left w:val="nil"/>
              <w:bottom w:val="nil"/>
              <w:right w:val="nil"/>
            </w:tcBorders>
            <w:vAlign w:val="center"/>
            <w:hideMark/>
          </w:tcPr>
          <w:p w:rsidR="000B19C6" w:rsidRPr="00832F7C" w:rsidP="000C7F5A" w14:paraId="6B88C8EE" w14:textId="77777777">
            <w:pPr>
              <w:spacing w:line="240" w:lineRule="auto"/>
              <w:ind w:firstLine="0"/>
              <w:rPr>
                <w:rFonts w:eastAsia="MS Mincho"/>
              </w:rPr>
            </w:pPr>
            <w:r w:rsidRPr="00832F7C">
              <w:rPr>
                <w:rFonts w:eastAsia="MS Mincho"/>
              </w:rPr>
              <w:t>Set variance in population correlations to zero if it is negative so that CRs must be non-negative.</w:t>
            </w:r>
          </w:p>
        </w:tc>
        <w:tc>
          <w:tcPr>
            <w:tcW w:w="706" w:type="dxa"/>
            <w:tcBorders>
              <w:top w:val="nil"/>
              <w:left w:val="nil"/>
              <w:bottom w:val="nil"/>
              <w:right w:val="nil"/>
            </w:tcBorders>
            <w:shd w:val="clear" w:color="auto" w:fill="auto"/>
            <w:noWrap/>
            <w:vAlign w:val="center"/>
            <w:hideMark/>
          </w:tcPr>
          <w:p w:rsidR="000B19C6" w:rsidRPr="00832F7C" w:rsidP="007742A5" w14:paraId="799130F1" w14:textId="77777777">
            <w:pPr>
              <w:spacing w:line="240" w:lineRule="auto"/>
              <w:ind w:firstLine="0"/>
              <w:jc w:val="center"/>
              <w:rPr>
                <w:rFonts w:eastAsia="MS Mincho"/>
              </w:rPr>
            </w:pPr>
            <w:r w:rsidRPr="00832F7C">
              <w:rPr>
                <w:rFonts w:eastAsia="MS Mincho"/>
              </w:rPr>
              <w:t>-</w:t>
            </w:r>
          </w:p>
        </w:tc>
        <w:tc>
          <w:tcPr>
            <w:tcW w:w="843" w:type="dxa"/>
            <w:tcBorders>
              <w:top w:val="nil"/>
              <w:left w:val="nil"/>
              <w:bottom w:val="nil"/>
              <w:right w:val="nil"/>
            </w:tcBorders>
            <w:shd w:val="clear" w:color="auto" w:fill="auto"/>
            <w:noWrap/>
            <w:vAlign w:val="center"/>
            <w:hideMark/>
          </w:tcPr>
          <w:p w:rsidR="000B19C6" w:rsidRPr="00832F7C" w:rsidP="007742A5" w14:paraId="520F8FB3" w14:textId="77777777">
            <w:pPr>
              <w:spacing w:line="240" w:lineRule="auto"/>
              <w:ind w:firstLine="0"/>
              <w:jc w:val="center"/>
              <w:rPr>
                <w:rFonts w:eastAsia="MS Mincho"/>
              </w:rPr>
            </w:pPr>
            <w:r w:rsidRPr="00832F7C">
              <w:rPr>
                <w:rFonts w:eastAsia="MS Mincho"/>
              </w:rPr>
              <w:t>-</w:t>
            </w:r>
          </w:p>
        </w:tc>
        <w:tc>
          <w:tcPr>
            <w:tcW w:w="816" w:type="dxa"/>
            <w:tcBorders>
              <w:top w:val="nil"/>
              <w:left w:val="nil"/>
              <w:bottom w:val="nil"/>
              <w:right w:val="nil"/>
            </w:tcBorders>
            <w:shd w:val="clear" w:color="auto" w:fill="auto"/>
            <w:noWrap/>
            <w:vAlign w:val="center"/>
            <w:hideMark/>
          </w:tcPr>
          <w:p w:rsidR="000B19C6" w:rsidRPr="00832F7C" w:rsidP="007742A5" w14:paraId="3A08B380" w14:textId="77777777">
            <w:pPr>
              <w:spacing w:line="240" w:lineRule="auto"/>
              <w:ind w:firstLine="0"/>
              <w:jc w:val="center"/>
              <w:rPr>
                <w:rFonts w:eastAsia="MS Mincho"/>
              </w:rPr>
            </w:pPr>
            <w:r w:rsidRPr="00832F7C">
              <w:rPr>
                <w:rFonts w:eastAsia="MS Mincho"/>
              </w:rPr>
              <w:t>-</w:t>
            </w:r>
          </w:p>
        </w:tc>
        <w:tc>
          <w:tcPr>
            <w:tcW w:w="843" w:type="dxa"/>
            <w:tcBorders>
              <w:top w:val="nil"/>
              <w:left w:val="nil"/>
              <w:bottom w:val="nil"/>
              <w:right w:val="nil"/>
            </w:tcBorders>
            <w:shd w:val="clear" w:color="auto" w:fill="auto"/>
            <w:noWrap/>
            <w:vAlign w:val="center"/>
            <w:hideMark/>
          </w:tcPr>
          <w:p w:rsidR="000B19C6" w:rsidRPr="00832F7C" w:rsidP="007742A5" w14:paraId="7ADAF76F" w14:textId="77777777">
            <w:pPr>
              <w:spacing w:line="240" w:lineRule="auto"/>
              <w:ind w:firstLine="0"/>
              <w:jc w:val="center"/>
              <w:rPr>
                <w:rFonts w:eastAsia="MS Mincho"/>
              </w:rPr>
            </w:pPr>
            <w:r w:rsidRPr="00832F7C">
              <w:rPr>
                <w:rFonts w:eastAsia="MS Mincho"/>
              </w:rPr>
              <w:t>-</w:t>
            </w:r>
          </w:p>
        </w:tc>
        <w:tc>
          <w:tcPr>
            <w:tcW w:w="816" w:type="dxa"/>
            <w:tcBorders>
              <w:top w:val="nil"/>
              <w:left w:val="nil"/>
              <w:bottom w:val="nil"/>
              <w:right w:val="nil"/>
            </w:tcBorders>
            <w:shd w:val="clear" w:color="auto" w:fill="auto"/>
            <w:noWrap/>
            <w:vAlign w:val="center"/>
            <w:hideMark/>
          </w:tcPr>
          <w:p w:rsidR="000B19C6" w:rsidRPr="00832F7C" w:rsidP="007742A5" w14:paraId="3D535788" w14:textId="77777777">
            <w:pPr>
              <w:spacing w:line="240" w:lineRule="auto"/>
              <w:ind w:firstLine="0"/>
              <w:jc w:val="center"/>
              <w:rPr>
                <w:rFonts w:eastAsia="MS Mincho"/>
              </w:rPr>
            </w:pPr>
            <w:r w:rsidRPr="00832F7C">
              <w:rPr>
                <w:rFonts w:eastAsia="MS Mincho"/>
              </w:rPr>
              <w:t>-</w:t>
            </w:r>
          </w:p>
        </w:tc>
        <w:tc>
          <w:tcPr>
            <w:tcW w:w="843" w:type="dxa"/>
            <w:tcBorders>
              <w:top w:val="nil"/>
              <w:left w:val="nil"/>
              <w:bottom w:val="nil"/>
              <w:right w:val="nil"/>
            </w:tcBorders>
            <w:shd w:val="clear" w:color="auto" w:fill="auto"/>
            <w:vAlign w:val="center"/>
          </w:tcPr>
          <w:p w:rsidR="000B19C6" w:rsidRPr="00832F7C" w:rsidP="007742A5" w14:paraId="4151E023" w14:textId="77777777">
            <w:pPr>
              <w:spacing w:line="240" w:lineRule="auto"/>
              <w:ind w:firstLine="0"/>
              <w:jc w:val="center"/>
              <w:rPr>
                <w:rFonts w:eastAsia="MS Mincho"/>
              </w:rPr>
            </w:pPr>
            <w:r w:rsidRPr="00832F7C">
              <w:rPr>
                <w:rFonts w:eastAsia="MS Mincho"/>
              </w:rPr>
              <w:t>-</w:t>
            </w:r>
          </w:p>
        </w:tc>
        <w:tc>
          <w:tcPr>
            <w:tcW w:w="816" w:type="dxa"/>
            <w:tcBorders>
              <w:top w:val="nil"/>
              <w:left w:val="nil"/>
              <w:bottom w:val="nil"/>
              <w:right w:val="nil"/>
            </w:tcBorders>
            <w:shd w:val="clear" w:color="auto" w:fill="auto"/>
            <w:vAlign w:val="center"/>
          </w:tcPr>
          <w:p w:rsidR="000B19C6" w:rsidRPr="00832F7C" w:rsidP="007742A5" w14:paraId="7D106F7C" w14:textId="77777777">
            <w:pPr>
              <w:spacing w:line="240" w:lineRule="auto"/>
              <w:ind w:firstLine="0"/>
              <w:jc w:val="center"/>
              <w:rPr>
                <w:rFonts w:eastAsia="MS Mincho"/>
              </w:rPr>
            </w:pPr>
            <w:r w:rsidRPr="00832F7C">
              <w:rPr>
                <w:rFonts w:eastAsia="MS Mincho"/>
              </w:rPr>
              <w:t>-</w:t>
            </w:r>
          </w:p>
        </w:tc>
      </w:tr>
      <w:tr w14:paraId="2DA8805C" w14:textId="77777777" w:rsidTr="006504BD">
        <w:tblPrEx>
          <w:tblW w:w="0" w:type="auto"/>
          <w:jc w:val="center"/>
          <w:tblLook w:val="04A0"/>
        </w:tblPrEx>
        <w:trPr>
          <w:trHeight w:val="801"/>
          <w:jc w:val="center"/>
        </w:trPr>
        <w:tc>
          <w:tcPr>
            <w:tcW w:w="1349" w:type="dxa"/>
            <w:tcBorders>
              <w:top w:val="nil"/>
              <w:left w:val="nil"/>
              <w:bottom w:val="nil"/>
              <w:right w:val="nil"/>
            </w:tcBorders>
            <w:vAlign w:val="center"/>
          </w:tcPr>
          <w:p w:rsidR="000B19C6" w:rsidRPr="00832F7C" w:rsidP="000C7F5A" w14:paraId="496DFDAC" w14:textId="77777777">
            <w:pPr>
              <w:spacing w:line="240" w:lineRule="auto"/>
              <w:ind w:firstLine="0"/>
              <w:rPr>
                <w:rFonts w:eastAsia="MS Mincho"/>
              </w:rPr>
            </w:pPr>
            <w:r w:rsidRPr="00832F7C">
              <w:rPr>
                <w:rFonts w:eastAsia="MS Mincho"/>
              </w:rPr>
              <w:t>Verification attempt 3</w:t>
            </w:r>
          </w:p>
        </w:tc>
        <w:tc>
          <w:tcPr>
            <w:tcW w:w="3143" w:type="dxa"/>
            <w:tcBorders>
              <w:top w:val="nil"/>
              <w:left w:val="nil"/>
              <w:bottom w:val="nil"/>
              <w:right w:val="nil"/>
            </w:tcBorders>
            <w:vAlign w:val="center"/>
          </w:tcPr>
          <w:p w:rsidR="000B19C6" w:rsidRPr="00832F7C" w:rsidP="000C7F5A" w14:paraId="1BA97DC9" w14:textId="77777777">
            <w:pPr>
              <w:spacing w:line="240" w:lineRule="auto"/>
              <w:ind w:firstLine="0"/>
              <w:rPr>
                <w:rFonts w:eastAsia="MS Mincho"/>
              </w:rPr>
            </w:pPr>
            <w:r w:rsidRPr="00832F7C">
              <w:rPr>
                <w:rFonts w:eastAsia="MS Mincho"/>
              </w:rPr>
              <w:t>Hunter &amp; Schmidt method using a reimplementation of Field &amp; Gillett’s (2010) “Meta_Basic_r.sps” in R</w:t>
            </w:r>
          </w:p>
        </w:tc>
        <w:tc>
          <w:tcPr>
            <w:tcW w:w="3785" w:type="dxa"/>
            <w:tcBorders>
              <w:top w:val="nil"/>
              <w:left w:val="nil"/>
              <w:bottom w:val="nil"/>
              <w:right w:val="nil"/>
            </w:tcBorders>
            <w:vAlign w:val="center"/>
          </w:tcPr>
          <w:p w:rsidR="000B19C6" w:rsidRPr="00832F7C" w:rsidP="000C7F5A" w14:paraId="504B5ABD" w14:textId="77777777">
            <w:pPr>
              <w:spacing w:line="240" w:lineRule="auto"/>
              <w:ind w:firstLine="0"/>
              <w:rPr>
                <w:rFonts w:eastAsia="MS Mincho"/>
              </w:rPr>
            </w:pPr>
            <w:r w:rsidRPr="00832F7C">
              <w:rPr>
                <w:rFonts w:eastAsia="MS Mincho"/>
              </w:rPr>
              <w:t>Set variance in population correlations to zero if it is negative so that CRs must be non-negative.</w:t>
            </w:r>
          </w:p>
        </w:tc>
        <w:tc>
          <w:tcPr>
            <w:tcW w:w="706" w:type="dxa"/>
            <w:tcBorders>
              <w:top w:val="nil"/>
              <w:left w:val="nil"/>
              <w:bottom w:val="nil"/>
              <w:right w:val="nil"/>
            </w:tcBorders>
            <w:shd w:val="clear" w:color="auto" w:fill="D9D9D9"/>
            <w:noWrap/>
            <w:vAlign w:val="center"/>
          </w:tcPr>
          <w:p w:rsidR="000B19C6" w:rsidRPr="00832F7C" w:rsidP="007742A5" w14:paraId="75E4F2E0" w14:textId="77777777">
            <w:pPr>
              <w:spacing w:line="240" w:lineRule="auto"/>
              <w:ind w:firstLine="0"/>
              <w:jc w:val="center"/>
              <w:rPr>
                <w:rFonts w:eastAsia="MS Mincho"/>
              </w:rPr>
            </w:pPr>
            <w:r w:rsidRPr="00832F7C">
              <w:rPr>
                <w:rFonts w:eastAsia="MS Mincho"/>
              </w:rPr>
              <w:t>.46</w:t>
            </w:r>
          </w:p>
        </w:tc>
        <w:tc>
          <w:tcPr>
            <w:tcW w:w="843" w:type="dxa"/>
            <w:tcBorders>
              <w:top w:val="nil"/>
              <w:left w:val="nil"/>
              <w:bottom w:val="nil"/>
              <w:right w:val="nil"/>
            </w:tcBorders>
            <w:shd w:val="clear" w:color="auto" w:fill="auto"/>
            <w:noWrap/>
            <w:vAlign w:val="center"/>
          </w:tcPr>
          <w:p w:rsidR="000B19C6" w:rsidRPr="00832F7C" w:rsidP="007742A5" w14:paraId="6B4682FE" w14:textId="77777777">
            <w:pPr>
              <w:spacing w:line="240" w:lineRule="auto"/>
              <w:ind w:firstLine="0"/>
              <w:jc w:val="center"/>
              <w:rPr>
                <w:rFonts w:eastAsia="MS Mincho"/>
              </w:rPr>
            </w:pPr>
            <w:r w:rsidRPr="00832F7C">
              <w:rPr>
                <w:rFonts w:eastAsia="MS Mincho"/>
              </w:rPr>
              <w:t>-</w:t>
            </w:r>
          </w:p>
        </w:tc>
        <w:tc>
          <w:tcPr>
            <w:tcW w:w="816" w:type="dxa"/>
            <w:tcBorders>
              <w:top w:val="nil"/>
              <w:left w:val="nil"/>
              <w:bottom w:val="nil"/>
              <w:right w:val="nil"/>
            </w:tcBorders>
            <w:shd w:val="clear" w:color="auto" w:fill="auto"/>
            <w:noWrap/>
            <w:vAlign w:val="center"/>
          </w:tcPr>
          <w:p w:rsidR="000B19C6" w:rsidRPr="00832F7C" w:rsidP="007742A5" w14:paraId="0B1C41A3" w14:textId="77777777">
            <w:pPr>
              <w:spacing w:line="240" w:lineRule="auto"/>
              <w:ind w:firstLine="0"/>
              <w:jc w:val="center"/>
              <w:rPr>
                <w:rFonts w:eastAsia="MS Mincho"/>
              </w:rPr>
            </w:pPr>
            <w:r w:rsidRPr="00832F7C">
              <w:rPr>
                <w:rFonts w:eastAsia="MS Mincho"/>
              </w:rPr>
              <w:t>-</w:t>
            </w:r>
          </w:p>
        </w:tc>
        <w:tc>
          <w:tcPr>
            <w:tcW w:w="843" w:type="dxa"/>
            <w:tcBorders>
              <w:top w:val="nil"/>
              <w:left w:val="nil"/>
              <w:bottom w:val="nil"/>
              <w:right w:val="nil"/>
            </w:tcBorders>
            <w:noWrap/>
            <w:vAlign w:val="center"/>
          </w:tcPr>
          <w:p w:rsidR="000B19C6" w:rsidRPr="00832F7C" w:rsidP="007742A5" w14:paraId="560ECB54" w14:textId="77777777">
            <w:pPr>
              <w:spacing w:line="240" w:lineRule="auto"/>
              <w:ind w:firstLine="0"/>
              <w:jc w:val="center"/>
              <w:rPr>
                <w:rFonts w:eastAsia="MS Mincho"/>
              </w:rPr>
            </w:pPr>
            <w:r w:rsidRPr="00832F7C">
              <w:rPr>
                <w:rFonts w:eastAsia="MS Mincho"/>
              </w:rPr>
              <w:t>.46</w:t>
            </w:r>
          </w:p>
        </w:tc>
        <w:tc>
          <w:tcPr>
            <w:tcW w:w="816" w:type="dxa"/>
            <w:tcBorders>
              <w:top w:val="nil"/>
              <w:left w:val="nil"/>
              <w:bottom w:val="nil"/>
              <w:right w:val="nil"/>
            </w:tcBorders>
            <w:noWrap/>
            <w:vAlign w:val="center"/>
          </w:tcPr>
          <w:p w:rsidR="000B19C6" w:rsidRPr="00832F7C" w:rsidP="007742A5" w14:paraId="109B2970" w14:textId="77777777">
            <w:pPr>
              <w:spacing w:line="240" w:lineRule="auto"/>
              <w:ind w:firstLine="0"/>
              <w:jc w:val="center"/>
              <w:rPr>
                <w:rFonts w:eastAsia="MS Mincho"/>
              </w:rPr>
            </w:pPr>
            <w:r w:rsidRPr="00832F7C">
              <w:rPr>
                <w:rFonts w:eastAsia="MS Mincho"/>
              </w:rPr>
              <w:t>.46</w:t>
            </w:r>
          </w:p>
        </w:tc>
        <w:tc>
          <w:tcPr>
            <w:tcW w:w="843" w:type="dxa"/>
            <w:tcBorders>
              <w:top w:val="nil"/>
              <w:left w:val="nil"/>
              <w:bottom w:val="nil"/>
              <w:right w:val="nil"/>
            </w:tcBorders>
            <w:vAlign w:val="center"/>
          </w:tcPr>
          <w:p w:rsidR="000B19C6" w:rsidRPr="00832F7C" w:rsidP="007742A5" w14:paraId="2B9171F3" w14:textId="77777777">
            <w:pPr>
              <w:spacing w:line="240" w:lineRule="auto"/>
              <w:ind w:firstLine="0"/>
              <w:jc w:val="center"/>
              <w:rPr>
                <w:rFonts w:eastAsia="MS Mincho"/>
              </w:rPr>
            </w:pPr>
            <w:r w:rsidRPr="00832F7C">
              <w:rPr>
                <w:rFonts w:eastAsia="MS Mincho"/>
              </w:rPr>
              <w:t>-</w:t>
            </w:r>
          </w:p>
        </w:tc>
        <w:tc>
          <w:tcPr>
            <w:tcW w:w="816" w:type="dxa"/>
            <w:tcBorders>
              <w:top w:val="nil"/>
              <w:left w:val="nil"/>
              <w:bottom w:val="nil"/>
              <w:right w:val="nil"/>
            </w:tcBorders>
            <w:vAlign w:val="center"/>
          </w:tcPr>
          <w:p w:rsidR="000B19C6" w:rsidRPr="00832F7C" w:rsidP="007742A5" w14:paraId="05CD3CF7" w14:textId="77777777">
            <w:pPr>
              <w:spacing w:line="240" w:lineRule="auto"/>
              <w:ind w:firstLine="0"/>
              <w:jc w:val="center"/>
              <w:rPr>
                <w:rFonts w:eastAsia="MS Mincho"/>
              </w:rPr>
            </w:pPr>
            <w:r w:rsidRPr="00832F7C">
              <w:rPr>
                <w:rFonts w:eastAsia="MS Mincho"/>
              </w:rPr>
              <w:t>-</w:t>
            </w:r>
          </w:p>
        </w:tc>
      </w:tr>
      <w:tr w14:paraId="2255D6F5" w14:textId="77777777" w:rsidTr="006504BD">
        <w:tblPrEx>
          <w:tblW w:w="0" w:type="auto"/>
          <w:jc w:val="center"/>
          <w:tblLook w:val="04A0"/>
        </w:tblPrEx>
        <w:trPr>
          <w:trHeight w:val="801"/>
          <w:jc w:val="center"/>
        </w:trPr>
        <w:tc>
          <w:tcPr>
            <w:tcW w:w="1349" w:type="dxa"/>
            <w:tcBorders>
              <w:top w:val="nil"/>
              <w:left w:val="nil"/>
              <w:bottom w:val="nil"/>
              <w:right w:val="nil"/>
            </w:tcBorders>
            <w:vAlign w:val="center"/>
          </w:tcPr>
          <w:p w:rsidR="000B19C6" w:rsidRPr="00832F7C" w:rsidP="000C7F5A" w14:paraId="34511ED7" w14:textId="77777777">
            <w:pPr>
              <w:spacing w:line="240" w:lineRule="auto"/>
              <w:ind w:firstLine="0"/>
              <w:rPr>
                <w:rFonts w:eastAsia="MS Mincho"/>
              </w:rPr>
            </w:pPr>
            <w:r w:rsidRPr="00832F7C">
              <w:rPr>
                <w:rFonts w:eastAsia="MS Mincho"/>
              </w:rPr>
              <w:t>Verification attempt 4</w:t>
            </w:r>
          </w:p>
        </w:tc>
        <w:tc>
          <w:tcPr>
            <w:tcW w:w="3143" w:type="dxa"/>
            <w:tcBorders>
              <w:top w:val="nil"/>
              <w:left w:val="nil"/>
              <w:bottom w:val="nil"/>
              <w:right w:val="nil"/>
            </w:tcBorders>
            <w:vAlign w:val="center"/>
          </w:tcPr>
          <w:p w:rsidR="000B19C6" w:rsidRPr="00832F7C" w:rsidP="000C7F5A" w14:paraId="2718FAA5" w14:textId="77777777">
            <w:pPr>
              <w:spacing w:line="240" w:lineRule="auto"/>
              <w:ind w:firstLine="0"/>
              <w:rPr>
                <w:rFonts w:eastAsia="MS Mincho"/>
              </w:rPr>
            </w:pPr>
            <w:r w:rsidRPr="00832F7C">
              <w:rPr>
                <w:rFonts w:eastAsia="MS Mincho"/>
              </w:rPr>
              <w:t>Hunter &amp; Schmidt method using a converstion of Field &amp; Gillett’s (2010) “Meta_Basic_r.sps” to R</w:t>
            </w:r>
          </w:p>
        </w:tc>
        <w:tc>
          <w:tcPr>
            <w:tcW w:w="3785" w:type="dxa"/>
            <w:tcBorders>
              <w:top w:val="nil"/>
              <w:left w:val="nil"/>
              <w:bottom w:val="nil"/>
              <w:right w:val="nil"/>
            </w:tcBorders>
            <w:vAlign w:val="center"/>
          </w:tcPr>
          <w:p w:rsidR="000B19C6" w:rsidRPr="00832F7C" w:rsidP="000C7F5A" w14:paraId="04544BEF" w14:textId="77777777">
            <w:pPr>
              <w:spacing w:line="240" w:lineRule="auto"/>
              <w:ind w:firstLine="0"/>
              <w:rPr>
                <w:rFonts w:eastAsia="MS Mincho"/>
              </w:rPr>
            </w:pPr>
            <w:r w:rsidRPr="00832F7C">
              <w:rPr>
                <w:rFonts w:eastAsia="MS Mincho"/>
              </w:rPr>
              <w:t>Set variance in population correlations to zero if it is negative so that CRs must be non-negative. Removed erroneous Overton transformations.</w:t>
            </w:r>
          </w:p>
        </w:tc>
        <w:tc>
          <w:tcPr>
            <w:tcW w:w="706" w:type="dxa"/>
            <w:tcBorders>
              <w:top w:val="nil"/>
              <w:left w:val="nil"/>
              <w:bottom w:val="nil"/>
              <w:right w:val="nil"/>
            </w:tcBorders>
            <w:noWrap/>
            <w:vAlign w:val="center"/>
          </w:tcPr>
          <w:p w:rsidR="000B19C6" w:rsidRPr="00832F7C" w:rsidP="007742A5" w14:paraId="30F1C7F2" w14:textId="77777777">
            <w:pPr>
              <w:spacing w:line="240" w:lineRule="auto"/>
              <w:ind w:firstLine="0"/>
              <w:jc w:val="center"/>
              <w:rPr>
                <w:rFonts w:eastAsia="MS Mincho"/>
              </w:rPr>
            </w:pPr>
            <w:r w:rsidRPr="00832F7C">
              <w:rPr>
                <w:rFonts w:eastAsia="MS Mincho"/>
              </w:rPr>
              <w:t>.47</w:t>
            </w:r>
          </w:p>
        </w:tc>
        <w:tc>
          <w:tcPr>
            <w:tcW w:w="843" w:type="dxa"/>
            <w:tcBorders>
              <w:top w:val="nil"/>
              <w:left w:val="nil"/>
              <w:bottom w:val="nil"/>
              <w:right w:val="nil"/>
            </w:tcBorders>
            <w:shd w:val="clear" w:color="auto" w:fill="auto"/>
            <w:noWrap/>
            <w:vAlign w:val="center"/>
          </w:tcPr>
          <w:p w:rsidR="000B19C6" w:rsidRPr="00832F7C" w:rsidP="007742A5" w14:paraId="46906AA0" w14:textId="77777777">
            <w:pPr>
              <w:spacing w:line="240" w:lineRule="auto"/>
              <w:ind w:firstLine="0"/>
              <w:jc w:val="center"/>
              <w:rPr>
                <w:rFonts w:eastAsia="MS Mincho"/>
              </w:rPr>
            </w:pPr>
            <w:r w:rsidRPr="00832F7C">
              <w:rPr>
                <w:rFonts w:eastAsia="MS Mincho"/>
              </w:rPr>
              <w:t>-</w:t>
            </w:r>
          </w:p>
        </w:tc>
        <w:tc>
          <w:tcPr>
            <w:tcW w:w="816" w:type="dxa"/>
            <w:tcBorders>
              <w:top w:val="nil"/>
              <w:left w:val="nil"/>
              <w:bottom w:val="nil"/>
              <w:right w:val="nil"/>
            </w:tcBorders>
            <w:shd w:val="clear" w:color="auto" w:fill="auto"/>
            <w:noWrap/>
            <w:vAlign w:val="center"/>
          </w:tcPr>
          <w:p w:rsidR="000B19C6" w:rsidRPr="00832F7C" w:rsidP="007742A5" w14:paraId="2D57628E" w14:textId="77777777">
            <w:pPr>
              <w:spacing w:line="240" w:lineRule="auto"/>
              <w:ind w:firstLine="0"/>
              <w:jc w:val="center"/>
              <w:rPr>
                <w:rFonts w:eastAsia="MS Mincho"/>
              </w:rPr>
            </w:pPr>
            <w:r w:rsidRPr="00832F7C">
              <w:rPr>
                <w:rFonts w:eastAsia="MS Mincho"/>
              </w:rPr>
              <w:t>-</w:t>
            </w:r>
          </w:p>
        </w:tc>
        <w:tc>
          <w:tcPr>
            <w:tcW w:w="843" w:type="dxa"/>
            <w:tcBorders>
              <w:top w:val="nil"/>
              <w:left w:val="nil"/>
              <w:bottom w:val="nil"/>
              <w:right w:val="nil"/>
            </w:tcBorders>
            <w:noWrap/>
            <w:vAlign w:val="center"/>
          </w:tcPr>
          <w:p w:rsidR="000B19C6" w:rsidRPr="00832F7C" w:rsidP="007742A5" w14:paraId="0C6CA0AE" w14:textId="77777777">
            <w:pPr>
              <w:spacing w:line="240" w:lineRule="auto"/>
              <w:ind w:firstLine="0"/>
              <w:jc w:val="center"/>
              <w:rPr>
                <w:rFonts w:eastAsia="MS Mincho"/>
              </w:rPr>
            </w:pPr>
            <w:r w:rsidRPr="00832F7C">
              <w:rPr>
                <w:rFonts w:eastAsia="MS Mincho"/>
              </w:rPr>
              <w:t>.47</w:t>
            </w:r>
          </w:p>
        </w:tc>
        <w:tc>
          <w:tcPr>
            <w:tcW w:w="816" w:type="dxa"/>
            <w:tcBorders>
              <w:top w:val="nil"/>
              <w:left w:val="nil"/>
              <w:bottom w:val="nil"/>
              <w:right w:val="nil"/>
            </w:tcBorders>
            <w:noWrap/>
            <w:vAlign w:val="center"/>
          </w:tcPr>
          <w:p w:rsidR="000B19C6" w:rsidRPr="00832F7C" w:rsidP="007742A5" w14:paraId="3E5CE470" w14:textId="77777777">
            <w:pPr>
              <w:spacing w:line="240" w:lineRule="auto"/>
              <w:ind w:firstLine="0"/>
              <w:jc w:val="center"/>
              <w:rPr>
                <w:rFonts w:eastAsia="MS Mincho"/>
              </w:rPr>
            </w:pPr>
            <w:r w:rsidRPr="00832F7C">
              <w:rPr>
                <w:rFonts w:eastAsia="MS Mincho"/>
              </w:rPr>
              <w:t>.47</w:t>
            </w:r>
          </w:p>
        </w:tc>
        <w:tc>
          <w:tcPr>
            <w:tcW w:w="843" w:type="dxa"/>
            <w:tcBorders>
              <w:top w:val="nil"/>
              <w:left w:val="nil"/>
              <w:bottom w:val="nil"/>
              <w:right w:val="nil"/>
            </w:tcBorders>
            <w:vAlign w:val="center"/>
          </w:tcPr>
          <w:p w:rsidR="000B19C6" w:rsidRPr="00832F7C" w:rsidP="007742A5" w14:paraId="0CB4837E" w14:textId="77777777">
            <w:pPr>
              <w:spacing w:line="240" w:lineRule="auto"/>
              <w:ind w:firstLine="0"/>
              <w:jc w:val="center"/>
              <w:rPr>
                <w:rFonts w:eastAsia="MS Mincho"/>
              </w:rPr>
            </w:pPr>
            <w:r w:rsidRPr="00832F7C">
              <w:rPr>
                <w:rFonts w:eastAsia="MS Mincho"/>
              </w:rPr>
              <w:t>-</w:t>
            </w:r>
          </w:p>
        </w:tc>
        <w:tc>
          <w:tcPr>
            <w:tcW w:w="816" w:type="dxa"/>
            <w:tcBorders>
              <w:top w:val="nil"/>
              <w:left w:val="nil"/>
              <w:bottom w:val="nil"/>
              <w:right w:val="nil"/>
            </w:tcBorders>
            <w:vAlign w:val="center"/>
          </w:tcPr>
          <w:p w:rsidR="000B19C6" w:rsidRPr="00832F7C" w:rsidP="007742A5" w14:paraId="04253458" w14:textId="77777777">
            <w:pPr>
              <w:spacing w:line="240" w:lineRule="auto"/>
              <w:ind w:firstLine="0"/>
              <w:jc w:val="center"/>
              <w:rPr>
                <w:rFonts w:eastAsia="MS Mincho"/>
              </w:rPr>
            </w:pPr>
            <w:r w:rsidRPr="00832F7C">
              <w:rPr>
                <w:rFonts w:eastAsia="MS Mincho"/>
              </w:rPr>
              <w:t>-</w:t>
            </w:r>
          </w:p>
        </w:tc>
      </w:tr>
      <w:tr w14:paraId="27A37D81" w14:textId="77777777" w:rsidTr="006504BD">
        <w:tblPrEx>
          <w:tblW w:w="0" w:type="auto"/>
          <w:jc w:val="center"/>
          <w:tblLook w:val="04A0"/>
        </w:tblPrEx>
        <w:trPr>
          <w:trHeight w:val="801"/>
          <w:jc w:val="center"/>
        </w:trPr>
        <w:tc>
          <w:tcPr>
            <w:tcW w:w="1349" w:type="dxa"/>
            <w:tcBorders>
              <w:top w:val="nil"/>
              <w:left w:val="nil"/>
              <w:bottom w:val="nil"/>
              <w:right w:val="nil"/>
            </w:tcBorders>
            <w:vAlign w:val="center"/>
          </w:tcPr>
          <w:p w:rsidR="000B19C6" w:rsidRPr="00832F7C" w:rsidP="000C7F5A" w14:paraId="52243751" w14:textId="77777777">
            <w:pPr>
              <w:spacing w:line="240" w:lineRule="auto"/>
              <w:ind w:firstLine="0"/>
              <w:rPr>
                <w:rFonts w:eastAsia="MS Mincho"/>
              </w:rPr>
            </w:pPr>
            <w:r w:rsidRPr="00832F7C">
              <w:rPr>
                <w:rFonts w:eastAsia="MS Mincho"/>
              </w:rPr>
              <w:t>Verification attempt 5</w:t>
            </w:r>
          </w:p>
        </w:tc>
        <w:tc>
          <w:tcPr>
            <w:tcW w:w="3143" w:type="dxa"/>
            <w:tcBorders>
              <w:top w:val="nil"/>
              <w:left w:val="nil"/>
              <w:bottom w:val="nil"/>
              <w:right w:val="nil"/>
            </w:tcBorders>
            <w:vAlign w:val="center"/>
          </w:tcPr>
          <w:p w:rsidR="000B19C6" w:rsidRPr="00832F7C" w:rsidP="000C7F5A" w14:paraId="526AEEC0" w14:textId="77777777">
            <w:pPr>
              <w:spacing w:line="240" w:lineRule="auto"/>
              <w:ind w:firstLine="0"/>
              <w:rPr>
                <w:rFonts w:eastAsia="MS Mincho"/>
              </w:rPr>
            </w:pPr>
            <w:r w:rsidRPr="00832F7C">
              <w:rPr>
                <w:rFonts w:eastAsia="MS Mincho"/>
              </w:rPr>
              <w:t>Hunter &amp; Schmidt method using Viechtbauer’s (2022) implementation in R and metafor.</w:t>
            </w:r>
          </w:p>
        </w:tc>
        <w:tc>
          <w:tcPr>
            <w:tcW w:w="3785" w:type="dxa"/>
            <w:tcBorders>
              <w:top w:val="nil"/>
              <w:left w:val="nil"/>
              <w:bottom w:val="nil"/>
              <w:right w:val="nil"/>
            </w:tcBorders>
            <w:vAlign w:val="center"/>
          </w:tcPr>
          <w:p w:rsidR="000B19C6" w:rsidRPr="00832F7C" w:rsidP="000C7F5A" w14:paraId="6B560ACC" w14:textId="77777777">
            <w:pPr>
              <w:spacing w:line="240" w:lineRule="auto"/>
              <w:ind w:firstLine="0"/>
              <w:rPr>
                <w:rFonts w:eastAsia="MS Mincho"/>
              </w:rPr>
            </w:pPr>
            <w:r w:rsidRPr="00832F7C">
              <w:rPr>
                <w:rFonts w:eastAsia="MS Mincho"/>
              </w:rPr>
              <w:t>Credibility intervals were implemented using Field &amp; Gillett</w:t>
            </w:r>
            <w:r w:rsidRPr="00832F7C" w:rsidR="009862CD">
              <w:rPr>
                <w:rFonts w:eastAsia="MS Mincho"/>
              </w:rPr>
              <w:t>’</w:t>
            </w:r>
            <w:r w:rsidRPr="00832F7C">
              <w:rPr>
                <w:rFonts w:eastAsia="MS Mincho"/>
              </w:rPr>
              <w:t>s (2010) equations 2 to 5.</w:t>
            </w:r>
          </w:p>
        </w:tc>
        <w:tc>
          <w:tcPr>
            <w:tcW w:w="706" w:type="dxa"/>
            <w:tcBorders>
              <w:top w:val="nil"/>
              <w:left w:val="nil"/>
              <w:bottom w:val="nil"/>
              <w:right w:val="nil"/>
            </w:tcBorders>
            <w:noWrap/>
            <w:vAlign w:val="center"/>
          </w:tcPr>
          <w:p w:rsidR="000B19C6" w:rsidRPr="00832F7C" w:rsidP="007742A5" w14:paraId="5EE92626" w14:textId="77777777">
            <w:pPr>
              <w:spacing w:line="240" w:lineRule="auto"/>
              <w:ind w:firstLine="0"/>
              <w:jc w:val="center"/>
              <w:rPr>
                <w:rFonts w:eastAsia="MS Mincho"/>
              </w:rPr>
            </w:pPr>
            <w:r w:rsidRPr="00832F7C">
              <w:rPr>
                <w:rFonts w:eastAsia="MS Mincho"/>
              </w:rPr>
              <w:t>.47</w:t>
            </w:r>
          </w:p>
        </w:tc>
        <w:tc>
          <w:tcPr>
            <w:tcW w:w="843" w:type="dxa"/>
            <w:tcBorders>
              <w:top w:val="nil"/>
              <w:left w:val="nil"/>
              <w:bottom w:val="nil"/>
              <w:right w:val="nil"/>
            </w:tcBorders>
            <w:shd w:val="clear" w:color="auto" w:fill="D9D9D9"/>
            <w:noWrap/>
            <w:vAlign w:val="center"/>
          </w:tcPr>
          <w:p w:rsidR="000B19C6" w:rsidRPr="00832F7C" w:rsidP="007742A5" w14:paraId="31696B2E" w14:textId="77777777">
            <w:pPr>
              <w:spacing w:line="240" w:lineRule="auto"/>
              <w:ind w:firstLine="0"/>
              <w:jc w:val="center"/>
              <w:rPr>
                <w:rFonts w:eastAsia="MS Mincho"/>
              </w:rPr>
            </w:pPr>
            <w:r w:rsidRPr="00832F7C">
              <w:rPr>
                <w:rFonts w:eastAsia="MS Mincho"/>
              </w:rPr>
              <w:t>.40</w:t>
            </w:r>
          </w:p>
        </w:tc>
        <w:tc>
          <w:tcPr>
            <w:tcW w:w="816" w:type="dxa"/>
            <w:tcBorders>
              <w:top w:val="nil"/>
              <w:left w:val="nil"/>
              <w:bottom w:val="nil"/>
              <w:right w:val="nil"/>
            </w:tcBorders>
            <w:shd w:val="clear" w:color="auto" w:fill="D9D9D9"/>
            <w:noWrap/>
            <w:vAlign w:val="center"/>
          </w:tcPr>
          <w:p w:rsidR="000B19C6" w:rsidRPr="00832F7C" w:rsidP="007742A5" w14:paraId="3441825A" w14:textId="77777777">
            <w:pPr>
              <w:spacing w:line="240" w:lineRule="auto"/>
              <w:ind w:firstLine="0"/>
              <w:jc w:val="center"/>
              <w:rPr>
                <w:rFonts w:eastAsia="MS Mincho"/>
              </w:rPr>
            </w:pPr>
            <w:r w:rsidRPr="00832F7C">
              <w:rPr>
                <w:rFonts w:eastAsia="MS Mincho"/>
              </w:rPr>
              <w:t>.54</w:t>
            </w:r>
          </w:p>
        </w:tc>
        <w:tc>
          <w:tcPr>
            <w:tcW w:w="843" w:type="dxa"/>
            <w:tcBorders>
              <w:top w:val="nil"/>
              <w:left w:val="nil"/>
              <w:bottom w:val="nil"/>
              <w:right w:val="nil"/>
            </w:tcBorders>
            <w:noWrap/>
            <w:vAlign w:val="center"/>
          </w:tcPr>
          <w:p w:rsidR="000B19C6" w:rsidRPr="00832F7C" w:rsidP="007742A5" w14:paraId="50328AD7" w14:textId="77777777">
            <w:pPr>
              <w:spacing w:line="240" w:lineRule="auto"/>
              <w:ind w:firstLine="0"/>
              <w:jc w:val="center"/>
              <w:rPr>
                <w:rFonts w:eastAsia="MS Mincho"/>
              </w:rPr>
            </w:pPr>
            <w:r w:rsidRPr="00832F7C">
              <w:rPr>
                <w:rFonts w:eastAsia="MS Mincho"/>
              </w:rPr>
              <w:t>.47</w:t>
            </w:r>
          </w:p>
        </w:tc>
        <w:tc>
          <w:tcPr>
            <w:tcW w:w="816" w:type="dxa"/>
            <w:tcBorders>
              <w:top w:val="nil"/>
              <w:left w:val="nil"/>
              <w:bottom w:val="nil"/>
              <w:right w:val="nil"/>
            </w:tcBorders>
            <w:noWrap/>
            <w:vAlign w:val="center"/>
          </w:tcPr>
          <w:p w:rsidR="000B19C6" w:rsidRPr="00832F7C" w:rsidP="007742A5" w14:paraId="3E053345" w14:textId="77777777">
            <w:pPr>
              <w:spacing w:line="240" w:lineRule="auto"/>
              <w:ind w:firstLine="0"/>
              <w:jc w:val="center"/>
              <w:rPr>
                <w:rFonts w:eastAsia="MS Mincho"/>
              </w:rPr>
            </w:pPr>
            <w:r w:rsidRPr="00832F7C">
              <w:rPr>
                <w:rFonts w:eastAsia="MS Mincho"/>
              </w:rPr>
              <w:t>.47</w:t>
            </w:r>
          </w:p>
        </w:tc>
        <w:tc>
          <w:tcPr>
            <w:tcW w:w="843" w:type="dxa"/>
            <w:tcBorders>
              <w:top w:val="nil"/>
              <w:left w:val="nil"/>
              <w:bottom w:val="nil"/>
              <w:right w:val="nil"/>
            </w:tcBorders>
            <w:vAlign w:val="center"/>
          </w:tcPr>
          <w:p w:rsidR="000B19C6" w:rsidRPr="00832F7C" w:rsidP="007742A5" w14:paraId="688CBDBF" w14:textId="77777777">
            <w:pPr>
              <w:spacing w:line="240" w:lineRule="auto"/>
              <w:ind w:firstLine="0"/>
              <w:jc w:val="center"/>
              <w:rPr>
                <w:rFonts w:eastAsia="MS Mincho"/>
              </w:rPr>
            </w:pPr>
            <w:r w:rsidRPr="00832F7C">
              <w:rPr>
                <w:rFonts w:eastAsia="MS Mincho"/>
              </w:rPr>
              <w:t>.40</w:t>
            </w:r>
          </w:p>
        </w:tc>
        <w:tc>
          <w:tcPr>
            <w:tcW w:w="816" w:type="dxa"/>
            <w:tcBorders>
              <w:top w:val="nil"/>
              <w:left w:val="nil"/>
              <w:bottom w:val="nil"/>
              <w:right w:val="nil"/>
            </w:tcBorders>
            <w:vAlign w:val="center"/>
          </w:tcPr>
          <w:p w:rsidR="000B19C6" w:rsidRPr="00832F7C" w:rsidP="007742A5" w14:paraId="7A5846DD" w14:textId="77777777">
            <w:pPr>
              <w:spacing w:line="240" w:lineRule="auto"/>
              <w:ind w:firstLine="0"/>
              <w:jc w:val="center"/>
              <w:rPr>
                <w:rFonts w:eastAsia="MS Mincho"/>
              </w:rPr>
            </w:pPr>
            <w:r w:rsidRPr="00832F7C">
              <w:rPr>
                <w:rFonts w:eastAsia="MS Mincho"/>
              </w:rPr>
              <w:t>.54</w:t>
            </w:r>
          </w:p>
        </w:tc>
      </w:tr>
      <w:tr w14:paraId="3BC769F8" w14:textId="77777777" w:rsidTr="006504BD">
        <w:tblPrEx>
          <w:tblW w:w="0" w:type="auto"/>
          <w:jc w:val="center"/>
          <w:tblLook w:val="04A0"/>
        </w:tblPrEx>
        <w:trPr>
          <w:trHeight w:val="729"/>
          <w:jc w:val="center"/>
        </w:trPr>
        <w:tc>
          <w:tcPr>
            <w:tcW w:w="1349" w:type="dxa"/>
            <w:tcBorders>
              <w:top w:val="nil"/>
              <w:left w:val="nil"/>
              <w:bottom w:val="nil"/>
              <w:right w:val="nil"/>
            </w:tcBorders>
            <w:vAlign w:val="center"/>
          </w:tcPr>
          <w:p w:rsidR="000B19C6" w:rsidRPr="00832F7C" w:rsidP="000C7F5A" w14:paraId="46128306" w14:textId="77777777">
            <w:pPr>
              <w:spacing w:line="240" w:lineRule="auto"/>
              <w:ind w:firstLine="0"/>
              <w:rPr>
                <w:rFonts w:eastAsia="MS Mincho"/>
              </w:rPr>
            </w:pPr>
            <w:r w:rsidRPr="00832F7C">
              <w:rPr>
                <w:rFonts w:eastAsia="MS Mincho"/>
              </w:rPr>
              <w:t>Verification attempt 6</w:t>
            </w:r>
          </w:p>
        </w:tc>
        <w:tc>
          <w:tcPr>
            <w:tcW w:w="3143" w:type="dxa"/>
            <w:tcBorders>
              <w:top w:val="nil"/>
              <w:left w:val="nil"/>
              <w:bottom w:val="nil"/>
              <w:right w:val="nil"/>
            </w:tcBorders>
            <w:vAlign w:val="center"/>
            <w:hideMark/>
          </w:tcPr>
          <w:p w:rsidR="000B19C6" w:rsidRPr="00832F7C" w:rsidP="000C7F5A" w14:paraId="4F3949C1" w14:textId="77777777">
            <w:pPr>
              <w:spacing w:line="240" w:lineRule="auto"/>
              <w:ind w:firstLine="0"/>
              <w:rPr>
                <w:rFonts w:eastAsia="MS Mincho"/>
              </w:rPr>
            </w:pPr>
            <w:r w:rsidRPr="00832F7C">
              <w:rPr>
                <w:rFonts w:eastAsia="MS Mincho"/>
              </w:rPr>
              <w:t xml:space="preserve">A mix of Hunter &amp; Schmidt and Hedges methods using Viechtbauer's (2022) </w:t>
            </w:r>
            <w:r w:rsidRPr="00832F7C">
              <w:rPr>
                <w:rFonts w:eastAsia="MS Mincho"/>
              </w:rPr>
              <w:t>implementation in R and metafor.</w:t>
            </w:r>
          </w:p>
        </w:tc>
        <w:tc>
          <w:tcPr>
            <w:tcW w:w="3785" w:type="dxa"/>
            <w:tcBorders>
              <w:top w:val="nil"/>
              <w:left w:val="nil"/>
              <w:bottom w:val="nil"/>
              <w:right w:val="nil"/>
            </w:tcBorders>
            <w:vAlign w:val="center"/>
            <w:hideMark/>
          </w:tcPr>
          <w:p w:rsidR="000B19C6" w:rsidRPr="00832F7C" w:rsidP="000C7F5A" w14:paraId="63CF6361" w14:textId="77777777">
            <w:pPr>
              <w:spacing w:line="240" w:lineRule="auto"/>
              <w:ind w:firstLine="0"/>
              <w:rPr>
                <w:rFonts w:eastAsia="MS Mincho"/>
              </w:rPr>
            </w:pPr>
            <w:r w:rsidRPr="00832F7C">
              <w:rPr>
                <w:rFonts w:eastAsia="MS Mincho"/>
              </w:rPr>
              <w:t>Credibility intervals were implemented using Field &amp; Gillett</w:t>
            </w:r>
            <w:r w:rsidRPr="00832F7C" w:rsidR="009862CD">
              <w:rPr>
                <w:rFonts w:eastAsia="MS Mincho"/>
              </w:rPr>
              <w:t>’</w:t>
            </w:r>
            <w:r w:rsidRPr="00832F7C">
              <w:rPr>
                <w:rFonts w:eastAsia="MS Mincho"/>
              </w:rPr>
              <w:t xml:space="preserve">s (2010) equations 2 to 5. Fisher's </w:t>
            </w:r>
            <w:r w:rsidRPr="00832F7C">
              <w:rPr>
                <w:rFonts w:eastAsia="MS Mincho"/>
                <w:i/>
                <w:iCs/>
              </w:rPr>
              <w:t>r</w:t>
            </w:r>
            <w:r w:rsidRPr="00832F7C">
              <w:rPr>
                <w:rFonts w:eastAsia="MS Mincho"/>
              </w:rPr>
              <w:t>-</w:t>
            </w:r>
            <w:r w:rsidRPr="00832F7C">
              <w:rPr>
                <w:rFonts w:eastAsia="MS Mincho"/>
              </w:rPr>
              <w:t>to-</w:t>
            </w:r>
            <w:r w:rsidRPr="00832F7C">
              <w:rPr>
                <w:rFonts w:eastAsia="MS Mincho"/>
                <w:i/>
                <w:iCs/>
              </w:rPr>
              <w:t>z</w:t>
            </w:r>
            <w:r w:rsidRPr="00832F7C">
              <w:rPr>
                <w:rFonts w:eastAsia="MS Mincho"/>
              </w:rPr>
              <w:t xml:space="preserve"> transformations and </w:t>
            </w:r>
            <w:r w:rsidRPr="00832F7C">
              <w:rPr>
                <w:rFonts w:eastAsia="MS Mincho"/>
                <w:i/>
                <w:iCs/>
              </w:rPr>
              <w:t>z</w:t>
            </w:r>
            <w:r w:rsidRPr="00832F7C">
              <w:rPr>
                <w:rFonts w:eastAsia="MS Mincho"/>
              </w:rPr>
              <w:t>-to-</w:t>
            </w:r>
            <w:r w:rsidRPr="00832F7C">
              <w:rPr>
                <w:rFonts w:eastAsia="MS Mincho"/>
                <w:i/>
                <w:iCs/>
              </w:rPr>
              <w:t>r</w:t>
            </w:r>
            <w:r w:rsidRPr="00832F7C">
              <w:rPr>
                <w:rFonts w:eastAsia="MS Mincho"/>
              </w:rPr>
              <w:t xml:space="preserve"> back transformations.</w:t>
            </w:r>
          </w:p>
        </w:tc>
        <w:tc>
          <w:tcPr>
            <w:tcW w:w="706" w:type="dxa"/>
            <w:tcBorders>
              <w:top w:val="nil"/>
              <w:left w:val="nil"/>
              <w:bottom w:val="nil"/>
              <w:right w:val="nil"/>
            </w:tcBorders>
            <w:noWrap/>
            <w:vAlign w:val="center"/>
            <w:hideMark/>
          </w:tcPr>
          <w:p w:rsidR="000B19C6" w:rsidRPr="00832F7C" w:rsidP="007742A5" w14:paraId="26245A27" w14:textId="77777777">
            <w:pPr>
              <w:spacing w:line="240" w:lineRule="auto"/>
              <w:ind w:firstLine="0"/>
              <w:jc w:val="center"/>
              <w:rPr>
                <w:rFonts w:eastAsia="MS Mincho"/>
              </w:rPr>
            </w:pPr>
            <w:r w:rsidRPr="00832F7C">
              <w:rPr>
                <w:rFonts w:eastAsia="MS Mincho"/>
              </w:rPr>
              <w:t>.47</w:t>
            </w:r>
          </w:p>
        </w:tc>
        <w:tc>
          <w:tcPr>
            <w:tcW w:w="843" w:type="dxa"/>
            <w:tcBorders>
              <w:top w:val="nil"/>
              <w:left w:val="nil"/>
              <w:bottom w:val="nil"/>
              <w:right w:val="nil"/>
            </w:tcBorders>
            <w:shd w:val="clear" w:color="auto" w:fill="D9D9D9"/>
            <w:noWrap/>
            <w:vAlign w:val="center"/>
            <w:hideMark/>
          </w:tcPr>
          <w:p w:rsidR="000B19C6" w:rsidRPr="00832F7C" w:rsidP="007742A5" w14:paraId="5BA362CF" w14:textId="77777777">
            <w:pPr>
              <w:spacing w:line="240" w:lineRule="auto"/>
              <w:ind w:firstLine="0"/>
              <w:jc w:val="center"/>
              <w:rPr>
                <w:rFonts w:eastAsia="MS Mincho"/>
              </w:rPr>
            </w:pPr>
            <w:r w:rsidRPr="00832F7C">
              <w:rPr>
                <w:rFonts w:eastAsia="MS Mincho"/>
              </w:rPr>
              <w:t>.40</w:t>
            </w:r>
          </w:p>
        </w:tc>
        <w:tc>
          <w:tcPr>
            <w:tcW w:w="816" w:type="dxa"/>
            <w:tcBorders>
              <w:top w:val="nil"/>
              <w:left w:val="nil"/>
              <w:bottom w:val="nil"/>
              <w:right w:val="nil"/>
            </w:tcBorders>
            <w:shd w:val="clear" w:color="auto" w:fill="D9D9D9"/>
            <w:noWrap/>
            <w:vAlign w:val="center"/>
            <w:hideMark/>
          </w:tcPr>
          <w:p w:rsidR="000B19C6" w:rsidRPr="00832F7C" w:rsidP="007742A5" w14:paraId="26127478" w14:textId="77777777">
            <w:pPr>
              <w:spacing w:line="240" w:lineRule="auto"/>
              <w:ind w:firstLine="0"/>
              <w:jc w:val="center"/>
              <w:rPr>
                <w:rFonts w:eastAsia="MS Mincho"/>
              </w:rPr>
            </w:pPr>
            <w:r w:rsidRPr="00832F7C">
              <w:rPr>
                <w:rFonts w:eastAsia="MS Mincho"/>
              </w:rPr>
              <w:t>.54</w:t>
            </w:r>
          </w:p>
        </w:tc>
        <w:tc>
          <w:tcPr>
            <w:tcW w:w="843" w:type="dxa"/>
            <w:tcBorders>
              <w:top w:val="nil"/>
              <w:left w:val="nil"/>
              <w:bottom w:val="nil"/>
              <w:right w:val="nil"/>
            </w:tcBorders>
            <w:noWrap/>
            <w:vAlign w:val="center"/>
            <w:hideMark/>
          </w:tcPr>
          <w:p w:rsidR="000B19C6" w:rsidRPr="00832F7C" w:rsidP="007742A5" w14:paraId="2D0AEE32" w14:textId="77777777">
            <w:pPr>
              <w:spacing w:line="240" w:lineRule="auto"/>
              <w:ind w:firstLine="0"/>
              <w:jc w:val="center"/>
              <w:rPr>
                <w:rFonts w:eastAsia="MS Mincho"/>
              </w:rPr>
            </w:pPr>
            <w:r w:rsidRPr="00832F7C">
              <w:rPr>
                <w:rFonts w:eastAsia="MS Mincho"/>
              </w:rPr>
              <w:t>.47</w:t>
            </w:r>
          </w:p>
        </w:tc>
        <w:tc>
          <w:tcPr>
            <w:tcW w:w="816" w:type="dxa"/>
            <w:tcBorders>
              <w:top w:val="nil"/>
              <w:left w:val="nil"/>
              <w:bottom w:val="nil"/>
              <w:right w:val="nil"/>
            </w:tcBorders>
            <w:noWrap/>
            <w:vAlign w:val="center"/>
            <w:hideMark/>
          </w:tcPr>
          <w:p w:rsidR="000B19C6" w:rsidRPr="00832F7C" w:rsidP="007742A5" w14:paraId="1760BC66" w14:textId="77777777">
            <w:pPr>
              <w:spacing w:line="240" w:lineRule="auto"/>
              <w:ind w:firstLine="0"/>
              <w:jc w:val="center"/>
              <w:rPr>
                <w:rFonts w:eastAsia="MS Mincho"/>
              </w:rPr>
            </w:pPr>
            <w:r w:rsidRPr="00832F7C">
              <w:rPr>
                <w:rFonts w:eastAsia="MS Mincho"/>
              </w:rPr>
              <w:t>.47</w:t>
            </w:r>
          </w:p>
        </w:tc>
        <w:tc>
          <w:tcPr>
            <w:tcW w:w="843" w:type="dxa"/>
            <w:tcBorders>
              <w:top w:val="nil"/>
              <w:left w:val="nil"/>
              <w:bottom w:val="nil"/>
              <w:right w:val="nil"/>
            </w:tcBorders>
            <w:vAlign w:val="center"/>
          </w:tcPr>
          <w:p w:rsidR="000B19C6" w:rsidRPr="00832F7C" w:rsidP="007742A5" w14:paraId="75284C6C" w14:textId="77777777">
            <w:pPr>
              <w:spacing w:line="240" w:lineRule="auto"/>
              <w:ind w:firstLine="0"/>
              <w:jc w:val="center"/>
              <w:rPr>
                <w:rFonts w:eastAsia="MS Mincho"/>
              </w:rPr>
            </w:pPr>
            <w:r w:rsidRPr="00832F7C">
              <w:rPr>
                <w:rFonts w:eastAsia="MS Mincho"/>
              </w:rPr>
              <w:t>.40</w:t>
            </w:r>
          </w:p>
        </w:tc>
        <w:tc>
          <w:tcPr>
            <w:tcW w:w="816" w:type="dxa"/>
            <w:tcBorders>
              <w:top w:val="nil"/>
              <w:left w:val="nil"/>
              <w:bottom w:val="nil"/>
              <w:right w:val="nil"/>
            </w:tcBorders>
            <w:vAlign w:val="center"/>
          </w:tcPr>
          <w:p w:rsidR="000B19C6" w:rsidRPr="00832F7C" w:rsidP="007742A5" w14:paraId="2608D45B" w14:textId="77777777">
            <w:pPr>
              <w:spacing w:line="240" w:lineRule="auto"/>
              <w:ind w:firstLine="0"/>
              <w:jc w:val="center"/>
              <w:rPr>
                <w:rFonts w:eastAsia="MS Mincho"/>
              </w:rPr>
            </w:pPr>
            <w:r w:rsidRPr="00832F7C">
              <w:rPr>
                <w:rFonts w:eastAsia="MS Mincho"/>
              </w:rPr>
              <w:t>.54</w:t>
            </w:r>
          </w:p>
        </w:tc>
      </w:tr>
      <w:tr w14:paraId="73EF218F" w14:textId="77777777" w:rsidTr="006504BD">
        <w:tblPrEx>
          <w:tblW w:w="0" w:type="auto"/>
          <w:jc w:val="center"/>
          <w:tblLook w:val="04A0"/>
        </w:tblPrEx>
        <w:trPr>
          <w:trHeight w:val="729"/>
          <w:jc w:val="center"/>
        </w:trPr>
        <w:tc>
          <w:tcPr>
            <w:tcW w:w="13960" w:type="dxa"/>
            <w:gridSpan w:val="10"/>
            <w:tcBorders>
              <w:top w:val="single" w:sz="4" w:space="0" w:color="auto"/>
              <w:left w:val="nil"/>
              <w:bottom w:val="nil"/>
              <w:right w:val="nil"/>
            </w:tcBorders>
            <w:vAlign w:val="center"/>
          </w:tcPr>
          <w:p w:rsidR="009B4A0E" w:rsidRPr="00832F7C" w:rsidP="000C7F5A" w14:paraId="3A22F1AF" w14:textId="77777777">
            <w:pPr>
              <w:spacing w:line="240" w:lineRule="auto"/>
              <w:ind w:firstLine="0"/>
              <w:rPr>
                <w:rFonts w:eastAsia="MS Mincho"/>
              </w:rPr>
            </w:pPr>
            <w:r w:rsidRPr="00832F7C">
              <w:rPr>
                <w:rFonts w:eastAsia="MS Mincho"/>
                <w:i/>
                <w:iCs/>
              </w:rPr>
              <w:t>Notes:</w:t>
            </w:r>
            <w:r w:rsidRPr="00832F7C">
              <w:rPr>
                <w:rFonts w:eastAsia="MS Mincho"/>
              </w:rPr>
              <w:t xml:space="preserve"> CI = Confidence Interval. CR = Credibility Interval. PI = Prediction Interval. Although PIs were not reported in Vahey et al. (2015), where possible they were calculated in the verification attempts to see if they corresponded with the original CRs on the basis that the CRs could have been mislabelled. Cells shaded in grey match those reported in Vahey et al. (2015) within </w:t>
            </w:r>
            <w:r w:rsidRPr="00832F7C">
              <w:t>what can be accounted for by rounding or truncation (</w:t>
            </w:r>
            <w:r w:rsidRPr="00832F7C">
              <w:rPr>
                <w:rFonts w:eastAsia="MS Mincho"/>
              </w:rPr>
              <w:t>±.01</w:t>
            </w:r>
            <w:r w:rsidRPr="00832F7C">
              <w:t>)</w:t>
            </w:r>
            <w:r w:rsidRPr="00832F7C">
              <w:rPr>
                <w:rFonts w:eastAsia="MS Mincho"/>
              </w:rPr>
              <w:t>.</w:t>
            </w:r>
          </w:p>
          <w:p w:rsidR="00845FB9" w:rsidRPr="00832F7C" w:rsidP="000C7F5A" w14:paraId="699E9313" w14:textId="77777777">
            <w:pPr>
              <w:spacing w:line="240" w:lineRule="auto"/>
              <w:ind w:firstLine="0"/>
              <w:rPr>
                <w:rFonts w:eastAsia="MS Mincho"/>
              </w:rPr>
            </w:pPr>
            <w:r w:rsidRPr="00832F7C">
              <w:rPr>
                <w:rFonts w:eastAsia="MS Mincho"/>
              </w:rPr>
              <w:t xml:space="preserve">* This SPSS script contains multiple </w:t>
            </w:r>
            <w:r w:rsidRPr="00832F7C" w:rsidR="00D44D3B">
              <w:rPr>
                <w:rFonts w:eastAsia="MS Mincho"/>
              </w:rPr>
              <w:t>issues that prevent it from running</w:t>
            </w:r>
            <w:r w:rsidRPr="00832F7C">
              <w:rPr>
                <w:rFonts w:eastAsia="MS Mincho"/>
              </w:rPr>
              <w:t xml:space="preserve">. See main text for discussion.  </w:t>
            </w:r>
          </w:p>
          <w:p w:rsidR="00EF3810" w:rsidRPr="00832F7C" w:rsidP="000C7F5A" w14:paraId="037D2B34" w14:textId="77777777">
            <w:pPr>
              <w:spacing w:line="240" w:lineRule="auto"/>
              <w:ind w:firstLine="0"/>
              <w:rPr>
                <w:rFonts w:eastAsia="MS Mincho"/>
              </w:rPr>
            </w:pPr>
            <w:r w:rsidRPr="00832F7C">
              <w:rPr>
                <w:rFonts w:eastAsia="MS Mincho"/>
              </w:rPr>
              <w:t xml:space="preserve">** This verification attempt was performed on the speculative basis that perhaps Vahey et al. (2015) ran their meta-analysis on the 56 individual weighted effect sizes rather than than the 15 weighted average effect sizes. There is some mild alignment between the results of this analysis, but only on the assumption that Vahey et al. (2015) also confused their CIs with their CRs. Alignment is closer but still imperfect, i.e., </w:t>
            </w:r>
            <w:r w:rsidRPr="00832F7C" w:rsidR="00224644">
              <w:rPr>
                <w:rFonts w:eastAsia="MS Mincho"/>
              </w:rPr>
              <w:t xml:space="preserve">reported </w:t>
            </w:r>
            <m:oMath>
              <m:acc>
                <m:accPr>
                  <m:chr m:val="̅"/>
                  <m:ctrlPr>
                    <w:rPr>
                      <w:rFonts w:ascii="Cambria Math" w:eastAsia="MS Mincho" w:hAnsi="Cambria Math"/>
                    </w:rPr>
                  </m:ctrlPr>
                </m:accPr>
                <m:e>
                  <m:r>
                    <w:rPr>
                      <w:rFonts w:ascii="Cambria Math" w:eastAsia="MS Mincho" w:hAnsi="Cambria Math"/>
                    </w:rPr>
                    <m:t>r</m:t>
                  </m:r>
                </m:e>
              </m:acc>
              <m:r>
                <w:rPr>
                  <w:rFonts w:ascii="Cambria Math" w:eastAsia="MS Mincho" w:hAnsi="Cambria Math"/>
                </w:rPr>
                <m:t xml:space="preserve"> </m:t>
              </m:r>
            </m:oMath>
            <w:r w:rsidRPr="00832F7C" w:rsidR="00224644">
              <w:rPr>
                <w:rFonts w:eastAsia="MS Mincho"/>
              </w:rPr>
              <w:t xml:space="preserve">= .45, reclaculated </w:t>
            </w:r>
            <m:oMath>
              <m:acc>
                <m:accPr>
                  <m:chr m:val="̅"/>
                  <m:ctrlPr>
                    <w:rPr>
                      <w:rFonts w:ascii="Cambria Math" w:eastAsia="MS Mincho" w:hAnsi="Cambria Math"/>
                    </w:rPr>
                  </m:ctrlPr>
                </m:accPr>
                <m:e>
                  <m:r>
                    <w:rPr>
                      <w:rFonts w:ascii="Cambria Math" w:eastAsia="MS Mincho" w:hAnsi="Cambria Math"/>
                    </w:rPr>
                    <m:t>r</m:t>
                  </m:r>
                </m:e>
              </m:acc>
              <m:r>
                <w:rPr>
                  <w:rFonts w:ascii="Cambria Math" w:eastAsia="MS Mincho" w:hAnsi="Cambria Math"/>
                </w:rPr>
                <m:t xml:space="preserve"> </m:t>
              </m:r>
            </m:oMath>
            <w:r w:rsidRPr="00832F7C" w:rsidR="00224644">
              <w:rPr>
                <w:rFonts w:eastAsia="MS Mincho"/>
              </w:rPr>
              <w:t xml:space="preserve">= .48; </w:t>
            </w:r>
            <w:r w:rsidRPr="00832F7C">
              <w:rPr>
                <w:rFonts w:eastAsia="MS Mincho"/>
              </w:rPr>
              <w:t xml:space="preserve">reported CI = [.40, .54], </w:t>
            </w:r>
            <w:r w:rsidRPr="00832F7C" w:rsidR="00224644">
              <w:rPr>
                <w:rFonts w:eastAsia="MS Mincho"/>
              </w:rPr>
              <w:t xml:space="preserve">reclaculated </w:t>
            </w:r>
            <w:r w:rsidRPr="00832F7C">
              <w:rPr>
                <w:rFonts w:eastAsia="MS Mincho"/>
              </w:rPr>
              <w:t>CR = [.39, .57]; reported CR = [.23, .67[,</w:t>
            </w:r>
            <w:r w:rsidRPr="00832F7C" w:rsidR="00224644">
              <w:rPr>
                <w:rFonts w:eastAsia="MS Mincho"/>
              </w:rPr>
              <w:t xml:space="preserve">reclaculated </w:t>
            </w:r>
            <w:r w:rsidRPr="00832F7C">
              <w:rPr>
                <w:rFonts w:eastAsia="MS Mincho"/>
              </w:rPr>
              <w:t xml:space="preserve">CI = [.20, 74]. </w:t>
            </w:r>
          </w:p>
        </w:tc>
      </w:tr>
    </w:tbl>
    <w:p w:rsidR="009B4A0E" w:rsidRPr="00832F7C" w:rsidP="00D77465" w14:paraId="37E76994" w14:textId="77777777"/>
    <w:p w:rsidR="003C6701" w:rsidRPr="00832F7C" w:rsidP="00D77465" w14:paraId="43CA2B8E" w14:textId="77777777">
      <w:pPr>
        <w:sectPr w:rsidSect="00D77465">
          <w:pgSz w:w="16840" w:h="11900" w:orient="landscape"/>
          <w:pgMar w:top="1440" w:right="1440" w:bottom="1440" w:left="1440" w:header="709" w:footer="709" w:gutter="0"/>
          <w:cols w:space="340"/>
          <w:titlePg/>
          <w:docGrid w:linePitch="360"/>
          <w15:footnoteColumns w:val="1"/>
        </w:sectPr>
      </w:pPr>
    </w:p>
    <w:p w:rsidR="00993E5C" w:rsidRPr="00832F7C" w:rsidP="00974D7B" w14:paraId="4FB2E610" w14:textId="77777777">
      <w:pPr>
        <w:pStyle w:val="Heading3"/>
      </w:pPr>
      <w:r w:rsidRPr="00832F7C">
        <w:t xml:space="preserve">Verification </w:t>
      </w:r>
      <w:r w:rsidRPr="00832F7C">
        <w:t>attempt</w:t>
      </w:r>
      <w:r w:rsidRPr="00832F7C">
        <w:t xml:space="preserve"> 1</w:t>
      </w:r>
    </w:p>
    <w:p w:rsidR="001A1FD0" w:rsidRPr="00DD3EEC" w:rsidP="00DD3EEC" w14:paraId="15D76453" w14:textId="14231C31">
      <w:r w:rsidRPr="00832F7C">
        <w:t>The first verification attempt employed Field’s “</w:t>
      </w:r>
      <w:r w:rsidRPr="00832F7C">
        <w:t>h_s</w:t>
      </w:r>
      <w:r w:rsidRPr="00832F7C">
        <w:t xml:space="preserve"> </w:t>
      </w:r>
      <w:r w:rsidRPr="00832F7C">
        <w:t>syntax.sps</w:t>
      </w:r>
      <w:r w:rsidRPr="00832F7C">
        <w:t xml:space="preserve">” SPSS script. The default 80% Credibility Interval widths were changed to 95% to match what was reported by Vahey et al. (2015). One other key assumption was made </w:t>
      </w:r>
      <w:r w:rsidRPr="00832F7C">
        <w:t>in order to</w:t>
      </w:r>
      <w:r w:rsidRPr="00832F7C">
        <w:t xml:space="preserve"> allow the script to run. To take a step back, a </w:t>
      </w:r>
      <w:r w:rsidR="00C42A74">
        <w:t>Hunter and Schmidt</w:t>
      </w:r>
      <w:r w:rsidRPr="00832F7C">
        <w:t xml:space="preserve"> style meta-analysis is sometimes referred to as a form of psychometric meta-analysis because it typically involves de-attenuating the effect sizes based on the reliability of the measures that produced them </w:t>
      </w:r>
      <w:r w:rsidRPr="00832F7C">
        <w:fldChar w:fldCharType="begin"/>
      </w:r>
      <w:r w:rsidRPr="00832F7C">
        <w:instrText xml:space="preserve"> ADDIN ZOTERO_ITEM CSL_CITATION {"citationID":"DLZY0oSP","properties":{"formattedCitation":"(Field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rsidRPr="00832F7C">
        <w:fldChar w:fldCharType="separate"/>
      </w:r>
      <w:r w:rsidRPr="00832F7C">
        <w:rPr>
          <w:noProof/>
        </w:rPr>
        <w:t>(Field &amp; Gillett, 2010; Hunter &amp; Schmidt, 2004)</w:t>
      </w:r>
      <w:r w:rsidRPr="00832F7C">
        <w:fldChar w:fldCharType="end"/>
      </w:r>
      <w:r w:rsidRPr="00832F7C">
        <w:t>. For Field’s “</w:t>
      </w:r>
      <w:r w:rsidRPr="00832F7C">
        <w:t>h_s</w:t>
      </w:r>
      <w:r w:rsidRPr="00832F7C">
        <w:t xml:space="preserve"> </w:t>
      </w:r>
      <w:r w:rsidRPr="00832F7C">
        <w:t>syntax.sps</w:t>
      </w:r>
      <w:r w:rsidRPr="00832F7C">
        <w:t xml:space="preserve">” script to run it requires the researcher to provide reliability values for </w:t>
      </w:r>
      <w:r w:rsidRPr="00832F7C">
        <w:t>both of the measures</w:t>
      </w:r>
      <w:r w:rsidRPr="00832F7C">
        <w:t xml:space="preserve"> that produced each effect size. Partially missing values can be imputed via the mean, but at least some reliability values must be provided. However, Vahey et al. (2015) do not report any extracting or </w:t>
      </w:r>
      <w:r w:rsidRPr="00832F7C" w:rsidR="008806BD">
        <w:t xml:space="preserve">estimating reliabilities or deattenuating the effect sizes based on them, and no reliability data is available in their manuscript or supplementary materials. In the absence of other information, I set the reliability for all variables to 1.0 </w:t>
      </w:r>
      <w:r w:rsidRPr="00832F7C" w:rsidR="008806BD">
        <w:t>in order to</w:t>
      </w:r>
      <w:r w:rsidRPr="00832F7C" w:rsidR="008806BD">
        <w:t xml:space="preserve"> allow the script to run. </w:t>
      </w:r>
      <w:r w:rsidRPr="001A1FD0" w:rsidR="008806BD">
        <w:t xml:space="preserve">This verification attempt did not reproduce the original results for the point estimate, Confidence Interval, or Credibility Interval </w:t>
      </w:r>
      <w:r w:rsidRPr="001A1FD0">
        <w:t>(see Table 3).</w:t>
      </w:r>
    </w:p>
    <w:p w:rsidR="001A1FD0" w:rsidRPr="001A1FD0" w:rsidP="001A1FD0" w14:paraId="7C679743" w14:textId="77777777">
      <w:pPr>
        <w:rPr>
          <w:b/>
          <w:bCs/>
        </w:rPr>
      </w:pPr>
      <w:r w:rsidRPr="00102224">
        <w:rPr>
          <w:b/>
          <w:bCs/>
        </w:rPr>
        <w:t xml:space="preserve">Verification </w:t>
      </w:r>
      <w:r w:rsidRPr="00102224">
        <w:rPr>
          <w:b/>
          <w:bCs/>
        </w:rPr>
        <w:t>attempt</w:t>
      </w:r>
      <w:r w:rsidRPr="00102224">
        <w:rPr>
          <w:b/>
          <w:bCs/>
        </w:rPr>
        <w:t xml:space="preserve"> 2</w:t>
      </w:r>
    </w:p>
    <w:p w:rsidR="008806BD" w:rsidRPr="001A1FD0" w:rsidP="001A1FD0" w14:paraId="010E85CB" w14:textId="79819CC1">
      <w:pPr>
        <w:rPr>
          <w:b/>
          <w:bCs/>
        </w:rPr>
      </w:pPr>
      <w:r w:rsidRPr="00102224">
        <w:t>The second verification attempt employed Field’s “</w:t>
      </w:r>
      <w:r w:rsidRPr="00102224">
        <w:t>Meta_Basic_r.sps</w:t>
      </w:r>
      <w:r w:rsidRPr="00102224">
        <w:t xml:space="preserve">” script, which implements a Hedges’ style “basic” meta-analysis. I was unable to get this script to run in SPSS. </w:t>
      </w:r>
      <w:r w:rsidRPr="00102224">
        <w:rPr>
          <w:iCs/>
        </w:rPr>
        <w:t xml:space="preserve">It makes use of commands such as </w:t>
      </w:r>
      <w:r w:rsidRPr="00102224">
        <w:rPr>
          <w:iCs/>
        </w:rPr>
        <w:t>nrow</w:t>
      </w:r>
      <w:r w:rsidRPr="00102224">
        <w:rPr>
          <w:iCs/>
        </w:rPr>
        <w:t>(</w:t>
      </w:r>
      <w:r w:rsidRPr="00102224">
        <w:rPr>
          <w:iCs/>
        </w:rPr>
        <w:t xml:space="preserve">), </w:t>
      </w:r>
      <w:r w:rsidRPr="00102224">
        <w:rPr>
          <w:iCs/>
        </w:rPr>
        <w:t>csum</w:t>
      </w:r>
      <w:r w:rsidRPr="00102224">
        <w:rPr>
          <w:iCs/>
        </w:rPr>
        <w:t xml:space="preserve">(), </w:t>
      </w:r>
      <w:r w:rsidRPr="00102224">
        <w:rPr>
          <w:iCs/>
        </w:rPr>
        <w:t>sd</w:t>
      </w:r>
      <w:r w:rsidRPr="00102224">
        <w:rPr>
          <w:iCs/>
        </w:rPr>
        <w:t xml:space="preserve">(), and t(), which are apparently not SPSS commands. R does have similarly named functions, but the script employs these commands within lines of SPSS syntax. It does not appear that these commands were simply deprecated between versions of SPSS. It is unclear how these apparent errors in Field’s script have apparently not been publicly detected or corrected given they are still distributed on </w:t>
      </w:r>
      <w:r w:rsidRPr="00102224">
        <w:rPr>
          <w:iCs/>
        </w:rPr>
        <w:t xml:space="preserve">Field's website and Field &amp; Gillett (2010) continues to be cited (&gt;1,200 citations at the time of writing). </w:t>
      </w:r>
    </w:p>
    <w:p w:rsidR="008806BD" w:rsidRPr="00832F7C" w:rsidP="00974D7B" w14:paraId="252F69C8" w14:textId="77777777">
      <w:pPr>
        <w:pStyle w:val="Heading3"/>
      </w:pPr>
      <w:r w:rsidRPr="00832F7C">
        <w:t xml:space="preserve">Verification </w:t>
      </w:r>
      <w:r w:rsidRPr="00832F7C">
        <w:t>attempt</w:t>
      </w:r>
      <w:r w:rsidRPr="00832F7C">
        <w:t xml:space="preserve"> 3</w:t>
      </w:r>
    </w:p>
    <w:p w:rsidR="008806BD" w:rsidRPr="00FC4A19" w:rsidP="00FC4A19" w14:paraId="59CD3788" w14:textId="64DFED59">
      <w:pPr>
        <w:rPr>
          <w:iCs/>
        </w:rPr>
      </w:pPr>
      <w:r w:rsidRPr="00832F7C">
        <w:rPr>
          <w:iCs/>
        </w:rPr>
        <w:t>I then reimplemented the math specified in the “</w:t>
      </w:r>
      <w:r w:rsidRPr="00832F7C">
        <w:t>Meta_Basic_r.sps</w:t>
      </w:r>
      <w:r w:rsidRPr="00832F7C">
        <w:t>” and “</w:t>
      </w:r>
      <w:r w:rsidRPr="00832F7C">
        <w:t>h_s</w:t>
      </w:r>
      <w:r w:rsidRPr="00832F7C">
        <w:t xml:space="preserve"> </w:t>
      </w:r>
      <w:r w:rsidRPr="00832F7C">
        <w:t>syntax.sps</w:t>
      </w:r>
      <w:r w:rsidRPr="00832F7C">
        <w:t xml:space="preserve">” in R. I obtained identical results for the SPSS and R versions of the latter, providing some confidence that the reimplementation of the former was also accurate. One necessary alteration was made to the code: if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832F7C">
        <w:t xml:space="preserve"> was negative it was set to zero to produce a Credibility Interval width of 0. This correction was specified in “</w:t>
      </w:r>
      <w:r w:rsidRPr="00832F7C">
        <w:t>h_s</w:t>
      </w:r>
      <w:r w:rsidRPr="00832F7C">
        <w:t xml:space="preserve"> </w:t>
      </w:r>
      <w:r w:rsidRPr="00832F7C">
        <w:t>syntax.sps</w:t>
      </w:r>
      <w:r w:rsidRPr="00832F7C">
        <w:t>” but not “</w:t>
      </w:r>
      <w:r w:rsidRPr="00832F7C">
        <w:t>Meta_Basic_r.sps</w:t>
      </w:r>
      <w:r w:rsidRPr="00832F7C">
        <w:t xml:space="preserve">” – I merely applied it in both. Without this alternation, if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832F7C">
        <w:t xml:space="preserve"> was negative the script would fail to run. </w:t>
      </w:r>
    </w:p>
    <w:p w:rsidR="008806BD" w:rsidRPr="00832F7C" w:rsidP="00D77465" w14:paraId="30D83F6D" w14:textId="77777777">
      <w:pPr>
        <w:rPr>
          <w:iCs/>
        </w:rPr>
      </w:pPr>
      <w:r w:rsidRPr="00832F7C">
        <w:t xml:space="preserve">This verification attempt of the R implementation of the Hunter and </w:t>
      </w:r>
      <w:r w:rsidRPr="00832F7C">
        <w:t>Schimdt</w:t>
      </w:r>
      <w:r w:rsidRPr="00832F7C">
        <w:t xml:space="preserve"> style meta-analysis implemented in </w:t>
      </w:r>
      <w:r w:rsidRPr="00832F7C">
        <w:rPr>
          <w:iCs/>
        </w:rPr>
        <w:t>“</w:t>
      </w:r>
      <w:r w:rsidRPr="00832F7C">
        <w:t>Meta_Basic_r.sps</w:t>
      </w:r>
      <w:r w:rsidRPr="00832F7C">
        <w:t>” also did not reproduce the original results. The point estimate was off by only a small amount (</w:t>
      </w:r>
      <m:oMath>
        <m:acc>
          <m:accPr>
            <m:chr m:val="̅"/>
            <m:ctrlPr>
              <w:rPr>
                <w:rFonts w:ascii="Cambria Math" w:hAnsi="Cambria Math"/>
                <w:i/>
              </w:rPr>
            </m:ctrlPr>
          </m:accPr>
          <m:e>
            <m:r>
              <w:rPr>
                <w:rFonts w:ascii="Cambria Math" w:hAnsi="Cambria Math"/>
              </w:rPr>
              <m:t>r</m:t>
            </m:r>
          </m:e>
        </m:acc>
      </m:oMath>
      <w:r w:rsidRPr="00832F7C">
        <w:t xml:space="preserve"> = 0.01), although this is more than can be accounted for by common methods of rounding, although it could be obtained via (erroneous) truncation. However, the Confidence Intervals were nearly four times wider than the original results. In addition, the Credibility Intervals again had zero width (i.e.,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832F7C">
        <w:rPr>
          <w:iCs/>
        </w:rPr>
        <w:t xml:space="preserve"> was negative and interval width was therefore set to zero) and therefore greatly differed from the original results.</w:t>
      </w:r>
    </w:p>
    <w:p w:rsidR="008806BD" w:rsidRPr="00832F7C" w:rsidP="00974D7B" w14:paraId="730600C0" w14:textId="77777777">
      <w:pPr>
        <w:pStyle w:val="Heading3"/>
      </w:pPr>
      <w:r w:rsidRPr="00832F7C">
        <w:t xml:space="preserve">Verification </w:t>
      </w:r>
      <w:r w:rsidRPr="00832F7C">
        <w:t>attempt</w:t>
      </w:r>
      <w:r w:rsidRPr="00832F7C">
        <w:t xml:space="preserve"> 4</w:t>
      </w:r>
    </w:p>
    <w:p w:rsidR="008806BD" w:rsidRPr="00832F7C" w:rsidP="00D77465" w14:paraId="4857C2E1" w14:textId="3111A04C">
      <w:r w:rsidRPr="00832F7C">
        <w:t xml:space="preserve">A close reading of Field &amp; Gillet (2010) and </w:t>
      </w:r>
      <w:r w:rsidRPr="00832F7C">
        <w:rPr>
          <w:iCs/>
        </w:rPr>
        <w:t>“</w:t>
      </w:r>
      <w:r w:rsidRPr="00832F7C">
        <w:t>Meta_Basic_r.sps</w:t>
      </w:r>
      <w:r w:rsidRPr="00832F7C">
        <w:t xml:space="preserve">” revealed an inconsistency between them: </w:t>
      </w:r>
      <w:r w:rsidR="00C42A74">
        <w:t>Field and Gillett</w:t>
      </w:r>
      <w:r w:rsidRPr="00832F7C">
        <w:t xml:space="preserve"> state that Overton corrections should be applied to the individual correlations in the Hedges and </w:t>
      </w:r>
      <w:r w:rsidRPr="00832F7C">
        <w:t>colleagues</w:t>
      </w:r>
      <w:r w:rsidRPr="00832F7C">
        <w:t xml:space="preserve"> approach but not the Hunter and Schmidt approach. However, the SPSS script applies Overton corrections in both. I therefore removed this correction from my R implementation for attempt 4. This changed </w:t>
      </w:r>
      <w:r w:rsidRPr="00832F7C">
        <w:t xml:space="preserve">the results very little from attempt 3, and did not reproduce </w:t>
      </w:r>
      <w:r w:rsidR="00FC4A19">
        <w:t xml:space="preserve">the results reported in </w:t>
      </w:r>
      <w:r w:rsidRPr="00832F7C">
        <w:t xml:space="preserve">Vahey et al. (2015). </w:t>
      </w:r>
    </w:p>
    <w:p w:rsidR="008806BD" w:rsidRPr="00832F7C" w:rsidP="00974D7B" w14:paraId="69DC189D" w14:textId="77777777">
      <w:pPr>
        <w:pStyle w:val="Heading3"/>
      </w:pPr>
      <w:r w:rsidRPr="00832F7C">
        <w:t xml:space="preserve">Verification </w:t>
      </w:r>
      <w:r w:rsidRPr="00832F7C">
        <w:t>attempt</w:t>
      </w:r>
      <w:r w:rsidRPr="00832F7C">
        <w:t xml:space="preserve"> 5</w:t>
      </w:r>
    </w:p>
    <w:p w:rsidR="008806BD" w:rsidRPr="00832F7C" w:rsidP="00D77465" w14:paraId="3BA927EF" w14:textId="0DB08852">
      <w:r w:rsidRPr="00832F7C">
        <w:t xml:space="preserve">In order to try to obtain the original results, I then switched from using manual implementations of the equations reported in </w:t>
      </w:r>
      <w:r w:rsidR="00C42A74">
        <w:t>Field and Gillett</w:t>
      </w:r>
      <w:r w:rsidRPr="00832F7C">
        <w:t xml:space="preserve"> (2010) (i.e., their SPSS code or my translations into R) to instead using an established R package for meta-analyses: </w:t>
      </w:r>
      <w:r w:rsidRPr="00832F7C">
        <w:t>Viechtbauer’s</w:t>
      </w:r>
      <w:r w:rsidRPr="00832F7C">
        <w:t xml:space="preserve"> </w:t>
      </w:r>
      <w:r w:rsidRPr="00832F7C">
        <w:fldChar w:fldCharType="begin"/>
      </w:r>
      <w:r w:rsidRPr="00832F7C">
        <w:instrText xml:space="preserve"> ADDIN ZOTERO_ITEM CSL_CITATION {"citationID":"MKTdnzPc","properties":{"formattedCitation":"(2022)","plainCitation":"(2022)","noteIndex":0},"citationItems":[{"id":29101,"uris":["http://zotero.org/users/1687755/items/AXENKNNK"],"itemData":{"id":29101,"type":"webpage","title":"Hunter and Schmidt Method","URL":"https://www.metafor-project.org/doku.php/tips:hunter_schmidt_method","author":[{"family":"Viechtbauer","given":"Wolfgang"}],"accessed":{"date-parts":[["2024",7,30]]},"issued":{"date-parts":[["2022"]]}},"label":"page","suppress-author":true}],"schema":"https://github.com/citation-style-language/schema/raw/master/csl-citation.json"} </w:instrText>
      </w:r>
      <w:r w:rsidRPr="00832F7C">
        <w:fldChar w:fldCharType="separate"/>
      </w:r>
      <w:r w:rsidRPr="00832F7C">
        <w:t>(2022)</w:t>
      </w:r>
      <w:r w:rsidRPr="00832F7C">
        <w:fldChar w:fldCharType="end"/>
      </w:r>
      <w:r w:rsidRPr="00832F7C">
        <w:t xml:space="preserve"> implementation of a </w:t>
      </w:r>
      <w:r w:rsidR="00C42A74">
        <w:t>Hunter and Schmidt</w:t>
      </w:r>
      <w:r w:rsidRPr="00832F7C">
        <w:t xml:space="preserve"> style meta-analysis written using the metafor package </w:t>
      </w:r>
      <w:r w:rsidRPr="00832F7C">
        <w:fldChar w:fldCharType="begin"/>
      </w:r>
      <w:r w:rsidRPr="00832F7C">
        <w:instrText xml:space="preserve"> ADDIN ZOTERO_ITEM CSL_CITATION {"citationID":"XzGoTILX","properties":{"formattedCitation":"(Viechtbauer, 2010, 2024)","plainCitation":"(Viechtbauer, 2010, 2024)","noteIndex":0},"citationItems":[{"id":3775,"uris":["http://zotero.org/users/1687755/items/H4RMVYAU"],"itemData":{"id":3775,"type":"article-journal","abstract":"The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id":29100,"uris":["http://zotero.org/users/1687755/items/TUUVMC32"],"itemData":{"id":29100,"type":"software","abstract":"A comprehensive collection of functions for conducting meta-analyses in R. The package includes functions to calculate various effect sizes or outcome measures, fit equal-, fixed-, random-, and mixed-effects models to such data, carry out moderator and meta-regression analyses, and create various types of meta-analytical plots (e.g., forest, funnel, radial, L'Abbe, Baujat, bubble, and GOSH plots). For meta-analyses of binomial and person-time data, the package also provides functions that implement specialized methods, including the Mantel-Haenszel method, Peto's method, and a variety of suitable generalized linear (mixed-effects) models (i.e., mixed-effects logistic and Poisson regression models). Finally, the package provides functionality for fitting meta-analytic multivariate/multilevel models that account for non-independent sampling errors and/or true effects (e.g., due to the inclusion of multiple treatment studies, multiple endpoints, or other forms of clustering). Network meta-analyses and meta-analyses accounting for known correlation structures (e.g., due to phylogenetic relatedness) can also be conducted. An introduction to the package can be found in Viechtbauer (2010) &lt;doi:10.18637/jss.v036.i03&gt;.","license":"GPL-2 | GPL-3 [expanded from: GPL (≥ 2)]","source":"R-Packages","title":"metafor: Meta-Analysis Package for R","title-short":"metafor","URL":"https://CRAN.R-project.org/package=metafor","version":"4.6-0","author":[{"family":"Viechtbauer","given":"Wolfgang"}],"accessed":{"date-parts":[["2024",7,30]]},"issued":{"date-parts":[["2024",3,28]]}}}],"schema":"https://github.com/citation-style-language/schema/raw/master/csl-citation.json"} </w:instrText>
      </w:r>
      <w:r w:rsidRPr="00832F7C">
        <w:fldChar w:fldCharType="separate"/>
      </w:r>
      <w:r w:rsidRPr="00832F7C">
        <w:rPr>
          <w:noProof/>
        </w:rPr>
        <w:t>(Viechtbauer, 2010, 2024)</w:t>
      </w:r>
      <w:r w:rsidRPr="00832F7C">
        <w:fldChar w:fldCharType="end"/>
      </w:r>
      <w:r w:rsidRPr="00832F7C">
        <w:t xml:space="preserve">. This provided new avenues to attempt to reproduce the original results in a programming language and package I was more familiar with, allowing me to try a variety of variations on a given attempt more efficiently. </w:t>
      </w:r>
      <w:r w:rsidR="00C42A74">
        <w:t>Field and Gillett</w:t>
      </w:r>
      <w:r w:rsidRPr="00832F7C">
        <w:t xml:space="preserve">’s (2010) equations 2-5 were used to implement Credibility Intervals. In this attempt, the Confidence Intervals reported </w:t>
      </w:r>
      <w:r w:rsidR="00990C1D">
        <w:t>in</w:t>
      </w:r>
      <w:r w:rsidRPr="00832F7C">
        <w:t xml:space="preserve"> Vahey et al. (2015) were reproduced. However, the point estimate and Credibility Intervals again did not reproduce the original results and matched the results found in verification analyses 1 and 4, as well as being very close to 3. </w:t>
      </w:r>
    </w:p>
    <w:p w:rsidR="008806BD" w:rsidRPr="00832F7C" w:rsidP="00D77465" w14:paraId="636DE10D" w14:textId="50FAFD57">
      <w:r w:rsidRPr="00832F7C">
        <w:t xml:space="preserve">This verification </w:t>
      </w:r>
      <w:r w:rsidRPr="00832F7C">
        <w:t>attempt</w:t>
      </w:r>
      <w:r w:rsidRPr="00832F7C">
        <w:t xml:space="preserve"> also attempted to reproduce the original forest plot (Vahey et al., 2015, Figure 1), which was more feasible in R and metafor. It is useful to note that the original forest plot reported asymmetric Confidence Intervals around individual effect sizes. That is, the lower bounds are typically further from the point estimate than the upper bounds. This implies that some form of non-linear transformation was employed, such as a Fisher’s </w:t>
      </w:r>
      <w:r w:rsidRPr="00832F7C">
        <w:rPr>
          <w:i/>
          <w:iCs/>
        </w:rPr>
        <w:t>r</w:t>
      </w:r>
      <w:r w:rsidRPr="00832F7C">
        <w:t>-to-</w:t>
      </w:r>
      <w:r w:rsidRPr="00832F7C">
        <w:rPr>
          <w:i/>
          <w:iCs/>
        </w:rPr>
        <w:t>z</w:t>
      </w:r>
      <w:r w:rsidRPr="00832F7C">
        <w:t xml:space="preserve"> transformation. However, Vahey et al. (2015) d</w:t>
      </w:r>
      <w:r w:rsidR="00990C1D">
        <w:t>id</w:t>
      </w:r>
      <w:r w:rsidRPr="00832F7C">
        <w:t xml:space="preserve"> not report employing any transformations in their meta-analysis or forest plot. The forest plot associated with this verification attempt can be seen in Figure 3. Confidence Intervals around individual effect sizes were symmetric and therefore did not reproduce the original plot.</w:t>
      </w:r>
    </w:p>
    <w:p w:rsidR="008806BD" w:rsidRPr="00832F7C" w:rsidP="00974D7B" w14:paraId="2CCB1D53" w14:textId="77777777">
      <w:pPr>
        <w:pStyle w:val="Heading3"/>
      </w:pPr>
      <w:r w:rsidRPr="00832F7C">
        <w:t xml:space="preserve">Verification </w:t>
      </w:r>
      <w:r w:rsidRPr="00832F7C">
        <w:t>attempt</w:t>
      </w:r>
      <w:r w:rsidRPr="00832F7C">
        <w:t xml:space="preserve"> 6</w:t>
      </w:r>
    </w:p>
    <w:p w:rsidR="008806BD" w:rsidRPr="00832F7C" w:rsidP="00D77465" w14:paraId="0730D6BE" w14:textId="77777777">
      <w:r w:rsidRPr="00832F7C">
        <w:t xml:space="preserve">Next, I applied Fisher’s </w:t>
      </w:r>
      <w:r w:rsidRPr="00832F7C">
        <w:rPr>
          <w:i/>
          <w:iCs/>
        </w:rPr>
        <w:t>r</w:t>
      </w:r>
      <w:r w:rsidRPr="00832F7C">
        <w:t>-to-</w:t>
      </w:r>
      <w:r w:rsidRPr="00832F7C">
        <w:rPr>
          <w:i/>
          <w:iCs/>
        </w:rPr>
        <w:t>z</w:t>
      </w:r>
      <w:r w:rsidRPr="00832F7C">
        <w:t xml:space="preserve"> transformations to the individual effect sizes prior to meta-analysis and back transformations prior to reporting and plotting. The analysis was otherwise identical to the previous attempt. All estimated values were identical to attempt 5, therefore the original meta-analysis results were not reproduced. </w:t>
      </w:r>
    </w:p>
    <w:p w:rsidR="000C7F5A" w:rsidRPr="00832F7C" w:rsidP="000C7F5A" w14:paraId="212FE982" w14:textId="05AA54BA">
      <w:r w:rsidRPr="00832F7C">
        <w:t xml:space="preserve">However, the forest plot associated with this attempt did reproduce the Confidence Intervals around the individual effect sizes from </w:t>
      </w:r>
      <w:r w:rsidR="00990C1D">
        <w:t xml:space="preserve">the forest plot presented in </w:t>
      </w:r>
      <w:r w:rsidRPr="00832F7C">
        <w:t>Vahey et al. (2015</w:t>
      </w:r>
      <w:r w:rsidR="00990C1D">
        <w:t xml:space="preserve">, </w:t>
      </w:r>
      <w:r w:rsidRPr="00832F7C">
        <w:t>Figure 1</w:t>
      </w:r>
      <w:r w:rsidR="00990C1D">
        <w:t xml:space="preserve">; see also </w:t>
      </w:r>
      <w:r w:rsidRPr="00832F7C">
        <w:t xml:space="preserve">this manuscript’s Figures 1 and 3), suggesting that </w:t>
      </w:r>
      <w:r w:rsidR="002B41F9">
        <w:t xml:space="preserve">the analyses </w:t>
      </w:r>
      <w:r w:rsidRPr="00832F7C">
        <w:t xml:space="preserve">these transformations </w:t>
      </w:r>
      <w:r w:rsidR="002B41F9">
        <w:t>were employed</w:t>
      </w:r>
      <w:r w:rsidR="00D23A84">
        <w:t xml:space="preserve">, although </w:t>
      </w:r>
      <w:r w:rsidRPr="00832F7C">
        <w:t>not report</w:t>
      </w:r>
      <w:r w:rsidR="002B41F9">
        <w:t>ed in Vahey et al. (2015)</w:t>
      </w:r>
      <w:r w:rsidRPr="00832F7C">
        <w:t xml:space="preserve">. This under-reported data transformation also implies a second form of underreporting: Vahey et al. (2015) reported employing a </w:t>
      </w:r>
      <w:r w:rsidR="00C42A74">
        <w:t>Hunter and Schmidt</w:t>
      </w:r>
      <w:r w:rsidRPr="00832F7C">
        <w:t xml:space="preserve"> style meta-analysis, but this</w:t>
      </w:r>
      <w:r w:rsidRPr="00832F7C">
        <w:t xml:space="preserve"> implies that they diverged from this strategy by also applying Hedges style data transformations (in addition to not applying </w:t>
      </w:r>
      <w:r w:rsidR="00C42A74">
        <w:t>Hunter and Schmidt</w:t>
      </w:r>
      <w:r w:rsidRPr="00832F7C">
        <w:t xml:space="preserve"> style corrections for reliability). While this reproduction of the original individual effect sizes and their Confidence Intervals gets us one step closer to understanding the original analytic strategy, it nonetheless does not reproduce the meta-analysis results. </w:t>
      </w:r>
    </w:p>
    <w:p w:rsidR="00601B7B" w:rsidRPr="00832F7C" w:rsidP="000C7F5A" w14:paraId="3DF5C9CB" w14:textId="461DEA2E">
      <w:pPr>
        <w:sectPr w:rsidSect="00D77465">
          <w:pgSz w:w="11900" w:h="16840"/>
          <w:pgMar w:top="1440" w:right="1440" w:bottom="1440" w:left="1440" w:header="709" w:footer="709" w:gutter="0"/>
          <w:cols w:space="340"/>
          <w:titlePg/>
          <w:docGrid w:linePitch="360"/>
          <w15:footnoteColumns w:val="1"/>
        </w:sectPr>
      </w:pPr>
    </w:p>
    <w:p w:rsidR="00057A7F" w:rsidRPr="00832F7C" w:rsidP="00D77465" w14:paraId="194B371B" w14:textId="77777777">
      <w:pPr>
        <w:sectPr w:rsidSect="00D77465">
          <w:type w:val="continuous"/>
          <w:pgSz w:w="11900" w:h="16840"/>
          <w:pgMar w:top="1440" w:right="1440" w:bottom="1440" w:left="1440" w:header="709" w:footer="709" w:gutter="0"/>
          <w:cols w:space="340"/>
          <w:titlePg/>
          <w:docGrid w:linePitch="360"/>
          <w15:footnoteColumns w:val="1"/>
        </w:sectPr>
      </w:pPr>
    </w:p>
    <w:p w:rsidR="000C7F5A" w:rsidRPr="00832F7C" w14:paraId="27CBBC31" w14:textId="77777777">
      <w:pPr>
        <w:spacing w:line="240" w:lineRule="auto"/>
        <w:ind w:firstLine="0"/>
        <w:rPr>
          <w:b/>
          <w:bCs/>
        </w:rPr>
      </w:pPr>
      <w:r w:rsidRPr="00832F7C">
        <w:rPr>
          <w:b/>
          <w:bCs/>
        </w:rPr>
        <w:br w:type="page"/>
      </w:r>
    </w:p>
    <w:p w:rsidR="00D0718D" w:rsidRPr="00832F7C" w:rsidP="00D77465" w14:paraId="758DCFC9" w14:textId="18F91C9F">
      <w:r w:rsidRPr="00832F7C">
        <w:rPr>
          <w:b/>
          <w:bCs/>
        </w:rPr>
        <w:t xml:space="preserve">Figure </w:t>
      </w:r>
      <w:r w:rsidRPr="00832F7C" w:rsidR="00B21A2E">
        <w:rPr>
          <w:b/>
          <w:bCs/>
        </w:rPr>
        <w:t>3</w:t>
      </w:r>
      <w:r w:rsidRPr="00832F7C">
        <w:rPr>
          <w:b/>
          <w:bCs/>
        </w:rPr>
        <w:t xml:space="preserve">. </w:t>
      </w:r>
      <w:r w:rsidRPr="00832F7C">
        <w:t xml:space="preserve">Forest plot for </w:t>
      </w:r>
      <w:r w:rsidRPr="00832F7C" w:rsidR="001A4627">
        <w:t xml:space="preserve">meta-analysis </w:t>
      </w:r>
      <w:r w:rsidRPr="00832F7C">
        <w:t xml:space="preserve">verification attempt </w:t>
      </w:r>
      <w:r w:rsidRPr="00832F7C" w:rsidR="00C86BC8">
        <w:t>5</w:t>
      </w:r>
      <w:r w:rsidRPr="00832F7C">
        <w:t>.</w:t>
      </w:r>
    </w:p>
    <w:p w:rsidR="00D0718D" w:rsidRPr="00832F7C" w:rsidP="00D77465" w14:paraId="5C694F13" w14:textId="77777777">
      <w:r w:rsidRPr="00832F7C">
        <w:rPr>
          <w:noProof/>
        </w:rPr>
        <w:drawing>
          <wp:inline distT="0" distB="0" distL="0" distR="0">
            <wp:extent cx="4572000" cy="2743200"/>
            <wp:effectExtent l="0" t="0" r="0" b="0"/>
            <wp:docPr id="1715519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19359" name="Picture 1715519359"/>
                    <pic:cNvPicPr/>
                  </pic:nvPicPr>
                  <pic:blipFill>
                    <a:blip xmlns:r="http://schemas.openxmlformats.org/officeDocument/2006/relationships" r:embed="rId13"/>
                    <a:stretch>
                      <a:fillRect/>
                    </a:stretch>
                  </pic:blipFill>
                  <pic:spPr>
                    <a:xfrm>
                      <a:off x="0" y="0"/>
                      <a:ext cx="4621825" cy="2773095"/>
                    </a:xfrm>
                    <a:prstGeom prst="rect">
                      <a:avLst/>
                    </a:prstGeom>
                  </pic:spPr>
                </pic:pic>
              </a:graphicData>
            </a:graphic>
          </wp:inline>
        </w:drawing>
      </w:r>
    </w:p>
    <w:p w:rsidR="00D736B9" w:rsidRPr="00832F7C" w:rsidP="00D77465" w14:paraId="4F0B6BE3" w14:textId="77777777"/>
    <w:p w:rsidR="00D736B9" w:rsidRPr="00832F7C" w:rsidP="00D77465" w14:paraId="0436B118" w14:textId="77777777">
      <w:r w:rsidRPr="00832F7C">
        <w:rPr>
          <w:b/>
          <w:bCs/>
        </w:rPr>
        <w:t xml:space="preserve">Figure </w:t>
      </w:r>
      <w:r w:rsidRPr="00832F7C" w:rsidR="00B21A2E">
        <w:rPr>
          <w:b/>
          <w:bCs/>
        </w:rPr>
        <w:t>4</w:t>
      </w:r>
      <w:r w:rsidRPr="00832F7C">
        <w:rPr>
          <w:b/>
          <w:bCs/>
        </w:rPr>
        <w:t xml:space="preserve">. </w:t>
      </w:r>
      <w:r w:rsidRPr="00832F7C">
        <w:t xml:space="preserve">Forest plot for meta-analysis verification attempt </w:t>
      </w:r>
      <w:r w:rsidRPr="00832F7C" w:rsidR="00C86BC8">
        <w:t>6</w:t>
      </w:r>
      <w:r w:rsidRPr="00832F7C">
        <w:t>.</w:t>
      </w:r>
    </w:p>
    <w:p w:rsidR="00D736B9" w:rsidRPr="00832F7C" w:rsidP="00D77465" w14:paraId="4134A017" w14:textId="77777777">
      <w:r w:rsidRPr="00832F7C">
        <w:rPr>
          <w:noProof/>
        </w:rPr>
        <w:drawing>
          <wp:inline distT="0" distB="0" distL="0" distR="0">
            <wp:extent cx="4572000" cy="2743200"/>
            <wp:effectExtent l="0" t="0" r="0" b="0"/>
            <wp:docPr id="1054176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76775" name="Picture 1054176775"/>
                    <pic:cNvPicPr/>
                  </pic:nvPicPr>
                  <pic:blipFill>
                    <a:blip xmlns:r="http://schemas.openxmlformats.org/officeDocument/2006/relationships" r:embed="rId14"/>
                    <a:stretch>
                      <a:fillRect/>
                    </a:stretch>
                  </pic:blipFill>
                  <pic:spPr>
                    <a:xfrm>
                      <a:off x="0" y="0"/>
                      <a:ext cx="4623325" cy="2773995"/>
                    </a:xfrm>
                    <a:prstGeom prst="rect">
                      <a:avLst/>
                    </a:prstGeom>
                  </pic:spPr>
                </pic:pic>
              </a:graphicData>
            </a:graphic>
          </wp:inline>
        </w:drawing>
      </w:r>
    </w:p>
    <w:p w:rsidR="00D0718D" w:rsidRPr="00832F7C" w:rsidP="00D77465" w14:paraId="1AEE58F1" w14:textId="77777777">
      <w:pPr>
        <w:sectPr w:rsidSect="00D77465">
          <w:type w:val="continuous"/>
          <w:pgSz w:w="11900" w:h="16840"/>
          <w:pgMar w:top="1440" w:right="1440" w:bottom="1440" w:left="1440" w:header="709" w:footer="709" w:gutter="0"/>
          <w:cols w:space="340"/>
          <w:titlePg/>
          <w:docGrid w:linePitch="360"/>
          <w15:footnoteColumns w:val="1"/>
        </w:sectPr>
      </w:pPr>
    </w:p>
    <w:p w:rsidR="00093F1F" w:rsidRPr="00832F7C" w:rsidP="00D77465" w14:paraId="44D6CD13" w14:textId="77777777">
      <w:pPr>
        <w:sectPr w:rsidSect="00D77465">
          <w:type w:val="continuous"/>
          <w:pgSz w:w="11900" w:h="16840"/>
          <w:pgMar w:top="1440" w:right="1440" w:bottom="1440" w:left="1440" w:header="709" w:footer="709" w:gutter="0"/>
          <w:cols w:space="340"/>
          <w:titlePg/>
          <w:docGrid w:linePitch="360"/>
          <w15:footnoteColumns w:val="1"/>
        </w:sectPr>
      </w:pPr>
    </w:p>
    <w:p w:rsidR="00093F1F" w:rsidRPr="00832F7C" w:rsidP="00D77465" w14:paraId="7F861C3A" w14:textId="77777777"/>
    <w:p w:rsidR="00093F1F" w:rsidRPr="00832F7C" w:rsidP="00D77465" w14:paraId="56F5E477" w14:textId="77777777">
      <w:pPr>
        <w:sectPr w:rsidSect="00D77465">
          <w:type w:val="continuous"/>
          <w:pgSz w:w="11900" w:h="16840"/>
          <w:pgMar w:top="1440" w:right="1440" w:bottom="1440" w:left="1440" w:header="709" w:footer="709" w:gutter="0"/>
          <w:cols w:space="340"/>
          <w:titlePg/>
          <w:docGrid w:linePitch="360"/>
          <w15:footnoteColumns w:val="1"/>
        </w:sectPr>
      </w:pPr>
    </w:p>
    <w:p w:rsidR="000C7F5A" w:rsidRPr="00832F7C" w14:paraId="1A47E9DD" w14:textId="77777777">
      <w:pPr>
        <w:spacing w:line="240" w:lineRule="auto"/>
        <w:ind w:firstLine="0"/>
      </w:pPr>
      <w:r w:rsidRPr="00832F7C">
        <w:br w:type="page"/>
      </w:r>
    </w:p>
    <w:p w:rsidR="000C5BDB" w:rsidRPr="00832F7C" w:rsidP="00974D7B" w14:paraId="1841ECDA" w14:textId="77777777">
      <w:pPr>
        <w:pStyle w:val="Heading3"/>
      </w:pPr>
      <w:r w:rsidRPr="00832F7C">
        <w:t>Summar</w:t>
      </w:r>
      <w:r w:rsidRPr="00832F7C" w:rsidR="00987DC7">
        <w:t xml:space="preserve">y </w:t>
      </w:r>
      <w:r w:rsidRPr="00832F7C" w:rsidR="009B1C88">
        <w:t>of attempts</w:t>
      </w:r>
    </w:p>
    <w:p w:rsidR="006504BD" w:rsidP="006504BD" w14:paraId="6200BE1E" w14:textId="77777777">
      <w:r w:rsidRPr="00832F7C">
        <w:t>A large</w:t>
      </w:r>
      <w:r w:rsidRPr="00832F7C" w:rsidR="007F7517">
        <w:t>r</w:t>
      </w:r>
      <w:r w:rsidRPr="00832F7C">
        <w:t xml:space="preserve"> number of small variations on the attempts that are reported here were also tried. For example, alternative values for reliability estimates, and not </w:t>
      </w:r>
      <w:r w:rsidRPr="00832F7C">
        <w:t>back-transforming</w:t>
      </w:r>
      <w:r w:rsidRPr="00832F7C">
        <w:t xml:space="preserve"> the </w:t>
      </w:r>
      <w:r w:rsidRPr="00832F7C">
        <w:rPr>
          <w:i/>
          <w:iCs/>
        </w:rPr>
        <w:t>z</w:t>
      </w:r>
      <w:r w:rsidRPr="00832F7C">
        <w:t xml:space="preserve"> values </w:t>
      </w:r>
      <w:r w:rsidRPr="00832F7C" w:rsidR="000D4325">
        <w:t xml:space="preserve">back to </w:t>
      </w:r>
      <w:r w:rsidRPr="00832F7C" w:rsidR="000D4325">
        <w:rPr>
          <w:i/>
          <w:iCs/>
        </w:rPr>
        <w:t>r</w:t>
      </w:r>
      <w:r w:rsidRPr="00832F7C" w:rsidR="000D4325">
        <w:t xml:space="preserve"> values</w:t>
      </w:r>
      <w:r w:rsidRPr="00832F7C">
        <w:t xml:space="preserve">. I also tried </w:t>
      </w:r>
      <w:r w:rsidRPr="00832F7C" w:rsidR="00903996">
        <w:t>several</w:t>
      </w:r>
      <w:r w:rsidRPr="00832F7C">
        <w:t xml:space="preserve"> </w:t>
      </w:r>
      <w:r w:rsidRPr="00832F7C" w:rsidR="00E63B38">
        <w:t xml:space="preserve">other </w:t>
      </w:r>
      <w:r w:rsidRPr="00832F7C">
        <w:t>purposeful mistakes, such as miscalculating Credibility Intervals based on plausible mathematical and coding errors. No attempt successfully reproduced the originally reported results.</w:t>
      </w:r>
      <w:r>
        <w:t xml:space="preserve"> </w:t>
      </w:r>
    </w:p>
    <w:p w:rsidR="00710E09" w:rsidRPr="00832F7C" w:rsidP="006504BD" w14:paraId="058AADE8" w14:textId="34BA2D24">
      <w:r w:rsidRPr="00832F7C">
        <w:t>Confidence Interval</w:t>
      </w:r>
      <w:r w:rsidRPr="00832F7C" w:rsidR="002353CA">
        <w:t xml:space="preserve">s around individual effect sizes in the </w:t>
      </w:r>
      <w:r w:rsidRPr="00832F7C" w:rsidR="00E0308B">
        <w:t xml:space="preserve">original </w:t>
      </w:r>
      <w:r w:rsidRPr="00832F7C" w:rsidR="002353CA">
        <w:t xml:space="preserve">forest plot were only reproduced when Fisher’s </w:t>
      </w:r>
      <w:r w:rsidRPr="00832F7C" w:rsidR="002353CA">
        <w:rPr>
          <w:i/>
          <w:iCs/>
        </w:rPr>
        <w:t>r</w:t>
      </w:r>
      <w:r w:rsidRPr="00832F7C" w:rsidR="002353CA">
        <w:t>-to-</w:t>
      </w:r>
      <w:r w:rsidRPr="00832F7C" w:rsidR="002353CA">
        <w:rPr>
          <w:i/>
          <w:iCs/>
        </w:rPr>
        <w:t>z</w:t>
      </w:r>
      <w:r w:rsidRPr="00832F7C" w:rsidR="002353CA">
        <w:t xml:space="preserve"> transformations were applied (verification attempt </w:t>
      </w:r>
      <w:r w:rsidRPr="00832F7C" w:rsidR="00C86BC8">
        <w:t>6</w:t>
      </w:r>
      <w:r w:rsidRPr="00832F7C" w:rsidR="002353CA">
        <w:t>) and not when they weren</w:t>
      </w:r>
      <w:r w:rsidR="006504BD">
        <w:t>’</w:t>
      </w:r>
      <w:r w:rsidRPr="00832F7C" w:rsidR="002353CA">
        <w:t xml:space="preserve">t (verification attempts </w:t>
      </w:r>
      <w:r w:rsidRPr="00832F7C" w:rsidR="00C82E8B">
        <w:t>1-3</w:t>
      </w:r>
      <w:r w:rsidRPr="00832F7C" w:rsidR="002353CA">
        <w:t xml:space="preserve">). </w:t>
      </w:r>
      <w:r w:rsidRPr="00832F7C">
        <w:t xml:space="preserve">Meta-analysis </w:t>
      </w:r>
      <w:r w:rsidRPr="00832F7C">
        <w:t>C</w:t>
      </w:r>
      <w:r w:rsidRPr="00832F7C">
        <w:t xml:space="preserve">onfidence </w:t>
      </w:r>
      <w:r w:rsidRPr="00832F7C">
        <w:t>I</w:t>
      </w:r>
      <w:r w:rsidRPr="00832F7C">
        <w:t>ntervals were only reproduced when putting Field’s SPSS scripts aside and reconstructing the analyses in R using the metafor package. This is difficult to account for. Credibility Intervals could not be reproduced in any attempt. Indeed, all verification attempts in both SPSS and R, whether using Field’s mathematical solutions or metafor’s, returned CRs with widths of 0. The only exceptions to this were situations where I made purposeful errors.</w:t>
      </w:r>
      <w:r w:rsidRPr="00832F7C" w:rsidR="00C77A87">
        <w:t xml:space="preserve"> It remains unclear how </w:t>
      </w:r>
      <w:r w:rsidR="00D646C2">
        <w:t xml:space="preserve">the Credibility Intervals reported in </w:t>
      </w:r>
      <w:r w:rsidRPr="00832F7C" w:rsidR="00C77A87">
        <w:t xml:space="preserve">Vahey et al. (2015) </w:t>
      </w:r>
      <w:r w:rsidR="00D646C2">
        <w:t xml:space="preserve">were </w:t>
      </w:r>
      <w:r w:rsidRPr="00832F7C" w:rsidR="00C77A87">
        <w:t xml:space="preserve">produced. </w:t>
      </w:r>
    </w:p>
    <w:p w:rsidR="00625E20" w:rsidRPr="00832F7C" w:rsidP="00625E20" w14:paraId="4405BBCD" w14:textId="39E86CAE">
      <w:r w:rsidRPr="00832F7C">
        <w:t xml:space="preserve">Lastly, </w:t>
      </w:r>
      <w:r w:rsidRPr="00832F7C">
        <w:t>with regard to</w:t>
      </w:r>
      <w:r w:rsidRPr="00832F7C">
        <w:t xml:space="preserve"> the point estimate of the meta-analytic effect size, I noted previously in the “Issues with the meta-analysis results” section that the original </w:t>
      </w:r>
      <w:r w:rsidRPr="00832F7C" w:rsidR="002C28D0">
        <w:t xml:space="preserve">meta-analysis point estimate is incompatible with the reported Confidence Intervals. Interestingly, if we assume that (a) the originally reported point estimate is incorrectly reported but the Confidence Intervals are correctly reported, and (b) that the Confidence Intervals are symmetrical, this </w:t>
      </w:r>
      <w:r w:rsidRPr="00832F7C" w:rsidR="002C28D0">
        <w:t>would</w:t>
      </w:r>
      <w:r w:rsidRPr="00832F7C" w:rsidR="002C28D0">
        <w:t xml:space="preserve"> imply that a correct point estimate of .47 (i.e., at the halfway point between the intervals). A point estimate of .47 combined with Confidence Intervals of [.40, .54] was reproduced in verification attempts</w:t>
      </w:r>
      <w:r w:rsidRPr="00832F7C" w:rsidR="00F45E46">
        <w:t xml:space="preserve"> 5 and 6 using metafor</w:t>
      </w:r>
      <w:r w:rsidRPr="00832F7C" w:rsidR="002C28D0">
        <w:t xml:space="preserve">. </w:t>
      </w:r>
      <w:r w:rsidRPr="00832F7C" w:rsidR="00EC09FF">
        <w:t xml:space="preserve">However, this does not imply that the original results are merely the result of a typo in the point estimate, as (a) the Credibility Intervals in verification attempts 3 and 4 are very different from the original </w:t>
      </w:r>
      <w:r w:rsidRPr="00832F7C" w:rsidR="00EC09FF">
        <w:t xml:space="preserve">results, and (b) more confusingly, these results were produced only by Viechtbauer’s (2022) implementation of the analysis in R and metafor, but not using the scripts that </w:t>
      </w:r>
      <w:r w:rsidR="00F67A68">
        <w:t xml:space="preserve">the first author of </w:t>
      </w:r>
      <w:r w:rsidRPr="00832F7C" w:rsidR="00EC09FF">
        <w:t xml:space="preserve">Vahey et al. (2015) </w:t>
      </w:r>
      <w:r w:rsidR="00F67A68">
        <w:t>reported that he used</w:t>
      </w:r>
      <w:r w:rsidRPr="00832F7C" w:rsidR="00EC09FF">
        <w:t>.</w:t>
      </w:r>
      <w:r w:rsidRPr="00832F7C" w:rsidR="0086020D">
        <w:t xml:space="preserve"> Therefore, it remains unclear how </w:t>
      </w:r>
      <w:r w:rsidR="00AC2DB4">
        <w:t xml:space="preserve">the results of </w:t>
      </w:r>
      <w:r w:rsidRPr="00832F7C" w:rsidR="0086020D">
        <w:t xml:space="preserve">Vahey et al. (2015) </w:t>
      </w:r>
      <w:r w:rsidR="00AC2DB4">
        <w:t xml:space="preserve">were </w:t>
      </w:r>
      <w:r w:rsidRPr="00832F7C" w:rsidR="0086020D">
        <w:t>obtained</w:t>
      </w:r>
      <w:r w:rsidRPr="00832F7C" w:rsidR="00877E70">
        <w:t>, or even which mistakes if any g</w:t>
      </w:r>
      <w:r w:rsidR="00596A69">
        <w:t xml:space="preserve">ave </w:t>
      </w:r>
      <w:r w:rsidRPr="00832F7C" w:rsidR="00877E70">
        <w:t>rise to the</w:t>
      </w:r>
      <w:r w:rsidR="00596A69">
        <w:t xml:space="preserve"> </w:t>
      </w:r>
      <w:r w:rsidRPr="00832F7C" w:rsidR="00877E70">
        <w:t>reported results.</w:t>
      </w:r>
    </w:p>
    <w:p w:rsidR="00697E83" w:rsidRPr="00832F7C" w:rsidP="00625E20" w14:paraId="5327A12E" w14:textId="2212BDBD">
      <w:pPr>
        <w:pStyle w:val="Heading2"/>
      </w:pPr>
      <w:r w:rsidRPr="00832F7C">
        <w:t>Weighted a</w:t>
      </w:r>
      <w:r w:rsidRPr="00832F7C" w:rsidR="00B95E95">
        <w:t>verage effect sizes</w:t>
      </w:r>
      <w:r w:rsidRPr="00832F7C" w:rsidR="007E5FD2">
        <w:t xml:space="preserve"> </w:t>
      </w:r>
    </w:p>
    <w:p w:rsidR="00F73DA2" w:rsidRPr="00832F7C" w:rsidP="00D77465" w14:paraId="325F52BE" w14:textId="7542406A">
      <w:r w:rsidRPr="00832F7C">
        <w:t>In order to</w:t>
      </w:r>
      <w:r w:rsidRPr="00832F7C">
        <w:t xml:space="preserve"> </w:t>
      </w:r>
      <w:r w:rsidRPr="00832F7C" w:rsidR="008C347B">
        <w:t xml:space="preserve">attempt to retrace the steps involved in the original </w:t>
      </w:r>
      <w:r w:rsidRPr="00832F7C">
        <w:t xml:space="preserve">analysis, I then noted that </w:t>
      </w:r>
      <w:r w:rsidRPr="00832F7C" w:rsidR="00697E83">
        <w:t xml:space="preserve">Vahey </w:t>
      </w:r>
      <w:r w:rsidRPr="00832F7C">
        <w:t xml:space="preserve">et al. (2015) </w:t>
      </w:r>
      <w:r w:rsidRPr="00832F7C" w:rsidR="00697E83">
        <w:t xml:space="preserve">reported that the </w:t>
      </w:r>
      <w:r w:rsidRPr="00832F7C" w:rsidR="007A6740">
        <w:t xml:space="preserve">15 </w:t>
      </w:r>
      <w:r w:rsidRPr="00832F7C" w:rsidR="00697E83">
        <w:t xml:space="preserve">weighted average effect sizes used in </w:t>
      </w:r>
      <w:r w:rsidR="00C9628A">
        <w:t xml:space="preserve">the </w:t>
      </w:r>
      <w:r w:rsidRPr="00832F7C" w:rsidR="00697E83">
        <w:t xml:space="preserve">meta-analysis were calculated from </w:t>
      </w:r>
      <w:r w:rsidRPr="00832F7C" w:rsidR="007A6740">
        <w:t xml:space="preserve">46 </w:t>
      </w:r>
      <w:r w:rsidRPr="00832F7C" w:rsidR="00697E83">
        <w:t xml:space="preserve">individual effect sizes and </w:t>
      </w:r>
      <w:r w:rsidRPr="00832F7C" w:rsidR="00FA3C97">
        <w:t>degrees of freedom</w:t>
      </w:r>
      <w:r w:rsidRPr="00832F7C" w:rsidR="00697E83">
        <w:t xml:space="preserve"> </w:t>
      </w:r>
      <w:r w:rsidRPr="00832F7C">
        <w:t>taken from 15 studies. Vahey et al. (2015) report</w:t>
      </w:r>
      <w:r w:rsidRPr="00832F7C" w:rsidR="00C315F6">
        <w:t>ed</w:t>
      </w:r>
      <w:r w:rsidRPr="00832F7C">
        <w:t xml:space="preserve"> the individual effect sizes and degrees of freedom in</w:t>
      </w:r>
      <w:r w:rsidRPr="00832F7C" w:rsidR="00697E83">
        <w:t xml:space="preserve"> </w:t>
      </w:r>
      <w:r w:rsidR="0074265E">
        <w:t>the</w:t>
      </w:r>
      <w:r w:rsidRPr="00832F7C" w:rsidR="00697E83">
        <w:t xml:space="preserve"> supplementary materials</w:t>
      </w:r>
      <w:r w:rsidR="0074265E">
        <w:t xml:space="preserve"> for that article</w:t>
      </w:r>
      <w:r w:rsidRPr="00832F7C" w:rsidR="00697E83">
        <w:t xml:space="preserve">. I </w:t>
      </w:r>
      <w:r w:rsidRPr="00832F7C" w:rsidR="00C315F6">
        <w:t xml:space="preserve">therefore </w:t>
      </w:r>
      <w:r w:rsidRPr="00832F7C" w:rsidR="00697E83">
        <w:t xml:space="preserve">attempted to verify </w:t>
      </w:r>
      <w:r w:rsidRPr="00832F7C" w:rsidR="00C315F6">
        <w:t xml:space="preserve">the weighted averages </w:t>
      </w:r>
      <w:r w:rsidRPr="00832F7C" w:rsidR="00697E83">
        <w:t xml:space="preserve">by recalculating </w:t>
      </w:r>
      <w:r w:rsidRPr="00832F7C" w:rsidR="00C315F6">
        <w:t xml:space="preserve">them using </w:t>
      </w:r>
      <w:r w:rsidR="00026328">
        <w:t xml:space="preserve">the strategy reported in </w:t>
      </w:r>
      <w:r w:rsidRPr="00832F7C" w:rsidR="005354BD">
        <w:t xml:space="preserve">Vahey et </w:t>
      </w:r>
      <w:r w:rsidRPr="00832F7C" w:rsidR="005354BD">
        <w:t>al</w:t>
      </w:r>
      <w:r w:rsidRPr="00832F7C" w:rsidR="00FA3C97">
        <w:t>'s</w:t>
      </w:r>
      <w:r w:rsidRPr="00832F7C" w:rsidR="00FA3C97">
        <w:t xml:space="preserve"> (2015) of weighting by degrees of freedom</w:t>
      </w:r>
      <w:r w:rsidRPr="00832F7C" w:rsidR="00697E83">
        <w:t xml:space="preserve">. </w:t>
      </w:r>
      <w:r w:rsidRPr="00832F7C" w:rsidR="00B95E95">
        <w:t xml:space="preserve">Results were not </w:t>
      </w:r>
      <w:r w:rsidRPr="00832F7C" w:rsidR="00002C55">
        <w:t xml:space="preserve">fully </w:t>
      </w:r>
      <w:r w:rsidRPr="00832F7C" w:rsidR="00B95E95">
        <w:t>computationally reproducible</w:t>
      </w:r>
      <w:r w:rsidRPr="00832F7C" w:rsidR="0033061C">
        <w:t xml:space="preserve">: </w:t>
      </w:r>
      <w:r w:rsidRPr="00832F7C" w:rsidR="00B95E95">
        <w:t xml:space="preserve">2 of 15 (13%) </w:t>
      </w:r>
      <w:r w:rsidRPr="00832F7C" w:rsidR="0033061C">
        <w:t xml:space="preserve">recomputed weighted averages differed from those reported in </w:t>
      </w:r>
      <w:r w:rsidRPr="00832F7C" w:rsidR="005354BD">
        <w:t>Vahey et al.’s</w:t>
      </w:r>
      <w:r w:rsidRPr="00832F7C" w:rsidR="0033061C">
        <w:t xml:space="preserve"> forest plot</w:t>
      </w:r>
      <w:r w:rsidRPr="00832F7C" w:rsidR="00B95E95">
        <w:t xml:space="preserve">. </w:t>
      </w:r>
      <w:r w:rsidRPr="00832F7C" w:rsidR="008B53FE">
        <w:t>On the one hand, t</w:t>
      </w:r>
      <w:r w:rsidRPr="00832F7C" w:rsidR="00B95E95">
        <w:t>he magnitudes of the differences were small (</w:t>
      </w:r>
      <m:oMath>
        <m:r>
          <m:rPr>
            <m:sty m:val="p"/>
          </m:rPr>
          <w:rPr>
            <w:rFonts w:ascii="Cambria Math" w:hAnsi="Cambria Math"/>
          </w:rPr>
          <m:t>Δ</m:t>
        </m:r>
        <m:acc>
          <m:accPr>
            <m:chr m:val="̅"/>
            <m:ctrlPr>
              <w:rPr>
                <w:rFonts w:ascii="Cambria Math" w:hAnsi="Cambria Math"/>
                <w:i/>
              </w:rPr>
            </m:ctrlPr>
          </m:accPr>
          <m:e>
            <m:r>
              <w:rPr>
                <w:rFonts w:ascii="Cambria Math" w:hAnsi="Cambria Math"/>
              </w:rPr>
              <m:t>r</m:t>
            </m:r>
          </m:e>
        </m:acc>
      </m:oMath>
      <w:r w:rsidRPr="00832F7C" w:rsidR="00C73A84">
        <w:t xml:space="preserve"> </w:t>
      </w:r>
      <w:r w:rsidRPr="00832F7C" w:rsidR="00B95E95">
        <w:t xml:space="preserve"> = -.02 and .05).</w:t>
      </w:r>
      <w:r w:rsidRPr="00832F7C" w:rsidR="007C71A5">
        <w:t xml:space="preserve"> </w:t>
      </w:r>
      <w:r w:rsidRPr="00832F7C" w:rsidR="008B53FE">
        <w:t xml:space="preserve">On the other hand, given the simplicity of these calculations, </w:t>
      </w:r>
      <w:r w:rsidRPr="00832F7C" w:rsidR="001B7C79">
        <w:t>the discrepancy is difficult to understand</w:t>
      </w:r>
      <w:r w:rsidRPr="00832F7C" w:rsidR="008B53FE">
        <w:t>.</w:t>
      </w:r>
      <w:r w:rsidRPr="00832F7C" w:rsidR="00103A1D">
        <w:t xml:space="preserve"> Both instances with discrepancies came from articles whose first authors were co-authors of Vahey et al. (2015)</w:t>
      </w:r>
      <w:r w:rsidRPr="00832F7C" w:rsidR="00466231">
        <w:t>, suggesting that they were not unfamiliar with the original studies.</w:t>
      </w:r>
    </w:p>
    <w:p w:rsidR="00B879CC" w:rsidRPr="00832F7C" w:rsidP="00D77465" w14:paraId="0DF609E9" w14:textId="77777777">
      <w:pPr>
        <w:pStyle w:val="Heading2"/>
      </w:pPr>
      <w:r w:rsidRPr="00832F7C">
        <w:t>I</w:t>
      </w:r>
      <w:r w:rsidRPr="00832F7C" w:rsidR="00B95E95">
        <w:t xml:space="preserve">ndividual effect sizes </w:t>
      </w:r>
    </w:p>
    <w:p w:rsidR="002B663E" w:rsidRPr="00832F7C" w:rsidP="00D77465" w14:paraId="32E6DCAD" w14:textId="77777777">
      <w:r w:rsidRPr="00832F7C">
        <w:t xml:space="preserve">Next, I attempted to retrace the next step involved in the original analysis: the extraction of effect sizes from original articles. This involves (a) the </w:t>
      </w:r>
      <w:r w:rsidRPr="00832F7C" w:rsidR="00835CAA">
        <w:t xml:space="preserve">correct </w:t>
      </w:r>
      <w:r w:rsidRPr="00832F7C">
        <w:t>application of inclusion criteria</w:t>
      </w:r>
      <w:r w:rsidRPr="00832F7C" w:rsidR="0002030D">
        <w:t xml:space="preserve"> in terms of correct inclusions and the absence of incorrect omissions</w:t>
      </w:r>
      <w:r w:rsidRPr="00832F7C">
        <w:t>, and (</w:t>
      </w:r>
      <w:r w:rsidRPr="00832F7C" w:rsidR="00835CAA">
        <w:t>b</w:t>
      </w:r>
      <w:r w:rsidRPr="00832F7C">
        <w:t>) the extraction and conversion of effect sizes.</w:t>
      </w:r>
    </w:p>
    <w:p w:rsidR="00A64263" w:rsidRPr="00832F7C" w:rsidP="00974D7B" w14:paraId="5DACB90E" w14:textId="77777777">
      <w:pPr>
        <w:pStyle w:val="Heading3"/>
      </w:pPr>
      <w:r w:rsidRPr="00832F7C">
        <w:t>Assessment of incorrect inclusion</w:t>
      </w:r>
      <w:r w:rsidRPr="00832F7C" w:rsidR="007E6922">
        <w:t>s</w:t>
      </w:r>
    </w:p>
    <w:p w:rsidR="00A42C2C" w:rsidRPr="00832F7C" w:rsidP="00D77465" w14:paraId="4644309E" w14:textId="30BF84CB">
      <w:r w:rsidRPr="00832F7C">
        <w:t xml:space="preserve">Lakens et al. (2016) </w:t>
      </w:r>
      <w:r w:rsidRPr="00832F7C" w:rsidR="00526746">
        <w:t>argued that</w:t>
      </w:r>
      <w:r w:rsidRPr="00832F7C">
        <w:t xml:space="preserve"> </w:t>
      </w:r>
      <w:r w:rsidRPr="00832F7C" w:rsidR="00526746">
        <w:t>“</w:t>
      </w:r>
      <w:r w:rsidRPr="00832F7C">
        <w:t>incorrect inclusion</w:t>
      </w:r>
      <w:r w:rsidRPr="00832F7C" w:rsidR="00526746">
        <w:t>”</w:t>
      </w:r>
      <w:r w:rsidRPr="00832F7C">
        <w:t xml:space="preserve"> </w:t>
      </w:r>
      <w:r w:rsidRPr="00832F7C" w:rsidR="00526746">
        <w:t xml:space="preserve">is </w:t>
      </w:r>
      <w:r w:rsidRPr="00832F7C">
        <w:t>a common type</w:t>
      </w:r>
      <w:r w:rsidRPr="00832F7C" w:rsidR="005C7269">
        <w:t xml:space="preserve"> </w:t>
      </w:r>
      <w:r w:rsidRPr="00832F7C">
        <w:t>of error in meta-analy</w:t>
      </w:r>
      <w:r w:rsidRPr="00832F7C" w:rsidR="004B19F2">
        <w:t>sis</w:t>
      </w:r>
      <w:r w:rsidRPr="00832F7C" w:rsidR="002E34D5">
        <w:t xml:space="preserve">. That is, the </w:t>
      </w:r>
      <w:r w:rsidRPr="00832F7C" w:rsidR="00605CE0">
        <w:t xml:space="preserve">inclusion of effect sizes </w:t>
      </w:r>
      <w:r w:rsidRPr="00832F7C" w:rsidR="005E6648">
        <w:t xml:space="preserve">that do not meet the inclusion criteria. Vahey et al. (2015) stated that the purpose of </w:t>
      </w:r>
      <w:r w:rsidR="00A1578B">
        <w:t>the</w:t>
      </w:r>
      <w:r w:rsidRPr="00832F7C" w:rsidR="005E6648">
        <w:t xml:space="preserve"> meta-analysis was to </w:t>
      </w:r>
      <w:r w:rsidRPr="00832F7C" w:rsidR="005E6648">
        <w:rPr>
          <w:i/>
          <w:iCs/>
        </w:rPr>
        <w:t>“quantify how much IRAP effects from clinically relevant responding co-vary with corresponding clinically relevant criterion variables"</w:t>
      </w:r>
      <w:r w:rsidRPr="00832F7C" w:rsidR="005E6648">
        <w:t xml:space="preserve"> (p.60). Their inclusion criterion was that </w:t>
      </w:r>
      <w:r w:rsidRPr="00832F7C" w:rsidR="005E6648">
        <w:rPr>
          <w:i/>
          <w:iCs/>
        </w:rPr>
        <w:t xml:space="preserve">“the IRAP and criterion variables must have been deemed to target some aspect of a condition included in a major psychiatric diagnostic scheme such as the Diagnostic and Statistical Manual of Mental Disorders (DSM-5, 2013) … The authors decided whether the responses measured by a given IRAP trial-type should co-vary with a specific criterion variable by consulting the relevant empirical literature.” </w:t>
      </w:r>
      <w:r w:rsidRPr="00832F7C" w:rsidR="005E6648">
        <w:t>(p.60).</w:t>
      </w:r>
      <w:r w:rsidRPr="00832F7C" w:rsidR="0035720E">
        <w:t xml:space="preserve"> </w:t>
      </w:r>
      <w:r w:rsidRPr="00832F7C" w:rsidR="00971ED4">
        <w:t xml:space="preserve">Unfortunately, neither the original article nor its supplementary materials provided data for each extracted effect size regarding which specific </w:t>
      </w:r>
      <w:r w:rsidRPr="00832F7C" w:rsidR="00A22D26">
        <w:t>clinical condition was targeted by the IRAP and the criterion variable</w:t>
      </w:r>
      <w:r w:rsidRPr="00832F7C" w:rsidR="00971ED4">
        <w:t xml:space="preserve">, or </w:t>
      </w:r>
      <w:r w:rsidRPr="00832F7C" w:rsidR="00A22D26">
        <w:t xml:space="preserve">the </w:t>
      </w:r>
      <w:r w:rsidRPr="00832F7C" w:rsidR="00271DC8">
        <w:t>“</w:t>
      </w:r>
      <w:r w:rsidRPr="00832F7C" w:rsidR="00A22D26">
        <w:t>specific empirical literature</w:t>
      </w:r>
      <w:r w:rsidRPr="00832F7C" w:rsidR="00271DC8">
        <w:t>”</w:t>
      </w:r>
      <w:r w:rsidRPr="00832F7C" w:rsidR="00A22D26">
        <w:t xml:space="preserve"> that Vahey et al. (2015) used to justify the inclusion of each criterion. </w:t>
      </w:r>
    </w:p>
    <w:p w:rsidR="00454184" w:rsidRPr="00832F7C" w:rsidP="00D77465" w14:paraId="629BC290" w14:textId="4D3AD7D2">
      <w:r w:rsidRPr="00832F7C">
        <w:t xml:space="preserve">Nonetheless, </w:t>
      </w:r>
      <w:r w:rsidR="00A1578B">
        <w:t xml:space="preserve">the </w:t>
      </w:r>
      <w:r w:rsidRPr="00832F7C" w:rsidR="0035720E">
        <w:t xml:space="preserve">inclusion criterion </w:t>
      </w:r>
      <w:r w:rsidR="00A1578B">
        <w:t xml:space="preserve">stated in </w:t>
      </w:r>
      <w:r w:rsidRPr="00832F7C" w:rsidR="00A1578B">
        <w:t>Vahey et al</w:t>
      </w:r>
      <w:r w:rsidR="00A1578B">
        <w:t>.</w:t>
      </w:r>
      <w:r w:rsidRPr="00832F7C" w:rsidR="00A1578B">
        <w:t xml:space="preserve"> (2015) </w:t>
      </w:r>
      <w:r w:rsidRPr="00832F7C" w:rsidR="0035720E">
        <w:t>required that effects referred to covariation between an IRAP and an external clinically relevant criterion variable</w:t>
      </w:r>
      <w:r w:rsidRPr="00832F7C" w:rsidR="003A7B3D">
        <w:t xml:space="preserve">, consistent with the </w:t>
      </w:r>
      <w:r w:rsidRPr="00832F7C" w:rsidR="0035720E">
        <w:t xml:space="preserve">APA Dictionary of Psychology </w:t>
      </w:r>
      <w:r w:rsidRPr="00832F7C" w:rsidR="003A7B3D">
        <w:t xml:space="preserve">definition of </w:t>
      </w:r>
      <w:r w:rsidRPr="00832F7C" w:rsidR="0035720E">
        <w:t xml:space="preserve">criterion validity </w:t>
      </w:r>
      <w:r w:rsidRPr="00832F7C" w:rsidR="00B45502">
        <w:fldChar w:fldCharType="begin"/>
      </w:r>
      <w:r w:rsidRPr="00832F7C" w:rsidR="00B45502">
        <w:instrText xml:space="preserve"> ADDIN ZOTERO_ITEM CSL_CITATION {"citationID":"E7WmNBFx","properties":{"formattedCitation":"(American Psychological Association, 2024)","plainCitation":"(American Psychological Association, 2024)","noteIndex":0},"citationItems":[{"id":29103,"uris":["http://zotero.org/users/1687755/items/ZUCAU6T6"],"itemData":{"id":29103,"type":"webpage","abstract":"A trusted reference in the field of psychology, offering more than 25,000 clear and authoritative entries.","language":"en","title":"APA Dictionary of Psychology","URL":"https://dictionary.apa.org/criterion-validity","author":[{"literal":"American Psychological Association"}],"accessed":{"date-parts":[["2024",7,30]]},"issued":{"date-parts":[["2024"]]}}}],"schema":"https://github.com/citation-style-language/schema/raw/master/csl-citation.json"} </w:instrText>
      </w:r>
      <w:r w:rsidRPr="00832F7C" w:rsidR="00B45502">
        <w:fldChar w:fldCharType="separate"/>
      </w:r>
      <w:r w:rsidRPr="00832F7C" w:rsidR="00B45502">
        <w:rPr>
          <w:noProof/>
        </w:rPr>
        <w:t>(American Psychological Association, 2024)</w:t>
      </w:r>
      <w:r w:rsidRPr="00832F7C" w:rsidR="00B45502">
        <w:fldChar w:fldCharType="end"/>
      </w:r>
      <w:r w:rsidRPr="00832F7C" w:rsidR="0035720E">
        <w:t>.</w:t>
      </w:r>
      <w:r w:rsidRPr="00832F7C" w:rsidR="00A42C2C">
        <w:t xml:space="preserve"> </w:t>
      </w:r>
      <w:r w:rsidRPr="00832F7C">
        <w:t xml:space="preserve">Using the descriptions in </w:t>
      </w:r>
      <w:r w:rsidRPr="00832F7C" w:rsidR="00A42C2C">
        <w:t>Vahey et al.’s (2015)</w:t>
      </w:r>
      <w:r w:rsidRPr="00832F7C">
        <w:t xml:space="preserve"> supplementary materials</w:t>
      </w:r>
      <w:r w:rsidRPr="00832F7C" w:rsidR="002506A8">
        <w:t>,</w:t>
      </w:r>
      <w:r w:rsidRPr="00832F7C">
        <w:t xml:space="preserve"> and with reference to the original papers, the individual effect sizes were </w:t>
      </w:r>
      <w:r w:rsidRPr="00832F7C" w:rsidR="0073469D">
        <w:t>re-evaluated</w:t>
      </w:r>
      <w:r w:rsidRPr="00832F7C">
        <w:t xml:space="preserve"> against </w:t>
      </w:r>
      <w:r w:rsidR="006017E5">
        <w:t>the original</w:t>
      </w:r>
      <w:r w:rsidRPr="00832F7C">
        <w:t xml:space="preserve"> inclusion criterion of </w:t>
      </w:r>
      <w:r w:rsidRPr="00832F7C" w:rsidR="00C41C74">
        <w:t xml:space="preserve">covariance between an </w:t>
      </w:r>
      <w:r w:rsidRPr="00832F7C">
        <w:t xml:space="preserve">IRAP and a second external variable. </w:t>
      </w:r>
      <w:r w:rsidRPr="00832F7C" w:rsidR="005E599F">
        <w:t xml:space="preserve">While the clinical relevance of specific effects might be more subjective, the involvement of a criterion variable other than the IRAP can be assessed objectively. Worryingly, </w:t>
      </w:r>
      <w:r w:rsidRPr="00832F7C" w:rsidR="004666D2">
        <w:t>23 of the 56 effect sizes (41%)</w:t>
      </w:r>
      <w:r w:rsidRPr="00832F7C" w:rsidR="005E599F">
        <w:t xml:space="preserve"> </w:t>
      </w:r>
      <w:r w:rsidR="00537B53">
        <w:t xml:space="preserve">included </w:t>
      </w:r>
      <w:r w:rsidRPr="00832F7C" w:rsidR="005E599F">
        <w:t>Vahey et al. (2015)</w:t>
      </w:r>
      <w:r w:rsidRPr="00832F7C" w:rsidR="004666D2">
        <w:t xml:space="preserve"> were found to involve no external variable (i.e., they </w:t>
      </w:r>
      <w:r w:rsidRPr="00832F7C" w:rsidR="005E599F">
        <w:t xml:space="preserve">refer only to </w:t>
      </w:r>
      <w:r w:rsidRPr="00832F7C" w:rsidR="004666D2">
        <w:t>a reaction time differential between the IRAP block types</w:t>
      </w:r>
      <w:r w:rsidRPr="00832F7C" w:rsidR="005E599F">
        <w:t xml:space="preserve">, i.e. from a one-sample </w:t>
      </w:r>
      <w:r w:rsidRPr="00832F7C" w:rsidR="005E599F">
        <w:rPr>
          <w:i/>
          <w:iCs/>
        </w:rPr>
        <w:t>t</w:t>
      </w:r>
      <w:r w:rsidRPr="00832F7C" w:rsidR="005E599F">
        <w:t>-test</w:t>
      </w:r>
      <w:r w:rsidRPr="00832F7C" w:rsidR="004666D2">
        <w:t>)</w:t>
      </w:r>
      <w:r w:rsidRPr="00832F7C" w:rsidR="00C41C74">
        <w:t xml:space="preserve">, and were therefore not suitable </w:t>
      </w:r>
      <w:r w:rsidRPr="00832F7C" w:rsidR="00C41C74">
        <w:t xml:space="preserve">to be included in a meta-analysis of the IRAP’s criterion validity. </w:t>
      </w:r>
      <w:r w:rsidRPr="00832F7C" w:rsidR="003E7022">
        <w:t xml:space="preserve">A large </w:t>
      </w:r>
      <w:r w:rsidRPr="00832F7C" w:rsidR="003E7022">
        <w:t xml:space="preserve">degree of incorrect inclusion error was therefore detected in </w:t>
      </w:r>
      <w:r w:rsidR="006F5749">
        <w:t xml:space="preserve">the effect sizes included in </w:t>
      </w:r>
      <w:r w:rsidRPr="00832F7C" w:rsidR="003E7022">
        <w:t>Vahey et al. (2015).</w:t>
      </w:r>
    </w:p>
    <w:p w:rsidR="00D154BD" w:rsidRPr="00832F7C" w:rsidP="00D77465" w14:paraId="35693575" w14:textId="1F64F08B">
      <w:r w:rsidRPr="00832F7C">
        <w:t>An exploratory, non-preregistered Welch</w:t>
      </w:r>
      <w:r w:rsidR="00C42A74">
        <w:t>’</w:t>
      </w:r>
      <w:r w:rsidRPr="00832F7C">
        <w:t xml:space="preserve">s independent </w:t>
      </w:r>
      <w:r w:rsidRPr="00832F7C">
        <w:rPr>
          <w:i/>
          <w:iCs/>
        </w:rPr>
        <w:t>t</w:t>
      </w:r>
      <w:r w:rsidRPr="00832F7C">
        <w:t xml:space="preserve">-test was used to test for differences in means between the individual effect sizes (on the </w:t>
      </w:r>
      <w:r w:rsidRPr="00832F7C">
        <w:rPr>
          <w:i/>
          <w:iCs/>
        </w:rPr>
        <w:t>r</w:t>
      </w:r>
      <w:r w:rsidRPr="00832F7C">
        <w:t xml:space="preserve"> scale) reported in the </w:t>
      </w:r>
      <w:r w:rsidR="001B053C">
        <w:t xml:space="preserve">supplementary materials for </w:t>
      </w:r>
      <w:r w:rsidRPr="00832F7C">
        <w:t xml:space="preserve">Vahey et al. (2015). Erroneously included effect sizes that did not actually involve a criterion variable were found to be larger (mean </w:t>
      </w:r>
      <w:r w:rsidRPr="00832F7C">
        <w:rPr>
          <w:i/>
          <w:iCs/>
        </w:rPr>
        <w:t>r</w:t>
      </w:r>
      <w:r w:rsidRPr="00832F7C">
        <w:t xml:space="preserve"> = .59) than those that did (mean </w:t>
      </w:r>
      <w:r w:rsidRPr="00832F7C">
        <w:rPr>
          <w:i/>
          <w:iCs/>
        </w:rPr>
        <w:t>r</w:t>
      </w:r>
      <w:r w:rsidRPr="00832F7C">
        <w:t xml:space="preserve"> = .41), </w:t>
      </w:r>
      <w:r w:rsidRPr="00832F7C">
        <w:rPr>
          <w:i/>
          <w:iCs/>
        </w:rPr>
        <w:t>t</w:t>
      </w:r>
      <w:r w:rsidRPr="00832F7C">
        <w:t>(</w:t>
      </w:r>
      <w:r w:rsidRPr="00832F7C">
        <w:t xml:space="preserve">41.14) = 4.70, </w:t>
      </w:r>
      <w:r w:rsidRPr="00832F7C">
        <w:rPr>
          <w:i/>
          <w:iCs/>
        </w:rPr>
        <w:t>p</w:t>
      </w:r>
      <w:r w:rsidRPr="00832F7C">
        <w:t xml:space="preserve"> = .00003.</w:t>
      </w:r>
      <w:r w:rsidRPr="00832F7C" w:rsidR="003B4E92">
        <w:t xml:space="preserve"> As such, the inappropriate inclusion of these non-criterion effect sizes served to include larger effect sizes.</w:t>
      </w:r>
    </w:p>
    <w:p w:rsidR="00E95A1C" w:rsidRPr="00832F7C" w:rsidP="00D77465" w14:paraId="7948BFF3" w14:textId="049E5C28">
      <w:pPr>
        <w:rPr>
          <w:lang w:val="en-IE"/>
        </w:rPr>
      </w:pPr>
      <w:r w:rsidRPr="00832F7C">
        <w:t>It is worth noting that this is not the only form of inclusion criterion violation that was possible. While I did not attempt to examine it systematically given the potential for subjectivity, it is also worth noting that the “clinical focus” of criterion variables was unclear for several included effects. Vahey et al. (2015) state</w:t>
      </w:r>
      <w:r w:rsidR="00002FEB">
        <w:t>d</w:t>
      </w:r>
      <w:r w:rsidRPr="00832F7C">
        <w:t xml:space="preserve"> on page 60: </w:t>
      </w:r>
      <w:r w:rsidRPr="00832F7C">
        <w:rPr>
          <w:i/>
          <w:iCs/>
        </w:rPr>
        <w:t xml:space="preserve">“To be included within the current meta-analysis a given statistical effect must have described the co-variation of an IRAP effect with a corresponding </w:t>
      </w:r>
      <w:r w:rsidRPr="00832F7C">
        <w:rPr>
          <w:i/>
          <w:iCs/>
        </w:rPr>
        <w:t>clinically-focused</w:t>
      </w:r>
      <w:r w:rsidRPr="00832F7C">
        <w:rPr>
          <w:i/>
          <w:iCs/>
        </w:rPr>
        <w:t xml:space="preserve"> criterion variable. To qualify as </w:t>
      </w:r>
      <w:r w:rsidRPr="00832F7C">
        <w:rPr>
          <w:i/>
          <w:iCs/>
        </w:rPr>
        <w:t>clinically-focused</w:t>
      </w:r>
      <w:r w:rsidRPr="00832F7C">
        <w:rPr>
          <w:i/>
          <w:iCs/>
        </w:rPr>
        <w:t xml:space="preserve">, the IRAP and criterion variables must have been deemed to target some aspect of a condition included in a major psychiatric diagnostic scheme such as the Diagnostic and Statistical Manual of Mental Disorders (DSM-5, 2013).” </w:t>
      </w:r>
      <w:r w:rsidRPr="00832F7C">
        <w:t>Following, this definition, it is unclear how effect</w:t>
      </w:r>
      <w:r w:rsidRPr="00832F7C" w:rsidR="008853DB">
        <w:t>s</w:t>
      </w:r>
      <w:r w:rsidRPr="00832F7C">
        <w:t xml:space="preserve"> such as </w:t>
      </w:r>
      <w:r w:rsidRPr="00832F7C" w:rsidR="008853DB">
        <w:t xml:space="preserve">Vahey et al.’s </w:t>
      </w:r>
      <w:r w:rsidRPr="00832F7C" w:rsidR="008853DB">
        <w:fldChar w:fldCharType="begin"/>
      </w:r>
      <w:r w:rsidRPr="00832F7C" w:rsidR="008853DB">
        <w:instrText xml:space="preserve"> ADDIN ZOTERO_ITEM CSL_CITATION {"citationID":"KoS9YVJq","properties":{"formattedCitation":"(2009)","plainCitation":"(2009)","noteIndex":0},"citationItems":[{"id":219,"uris":["http://zotero.org/users/1687755/items/FKKC7AG6"],"itemData":{"id":219,"type":"article-journal","container-title":"The Psychological Record","issue":"3","page":"371–388","source":"Google Scholar","title":"A first test of the Implicit Relational Assessment Procedure (IRAP) as a measure of self-esteem: Irish prisoner groups and university students.","title-short":"A first test of the Implicit Relational Assessment Procedure (IRAP) as a measure of self-esteem","volume":"59","author":[{"family":"Vahey","given":"Nigel A."},{"family":"Barnes-Holmes","given":"Dermot"},{"family":"Barnes-Holmes","given":"Yvonne"},{"family":"Stewart","given":"Ian"}],"issued":{"date-parts":[["2009"]]}},"label":"page","suppress-author":true}],"schema":"https://github.com/citation-style-language/schema/raw/master/csl-citation.json"} </w:instrText>
      </w:r>
      <w:r w:rsidRPr="00832F7C" w:rsidR="008853DB">
        <w:fldChar w:fldCharType="separate"/>
      </w:r>
      <w:r w:rsidRPr="00832F7C" w:rsidR="008853DB">
        <w:rPr>
          <w:noProof/>
        </w:rPr>
        <w:t>(2009)</w:t>
      </w:r>
      <w:r w:rsidRPr="00832F7C" w:rsidR="008853DB">
        <w:fldChar w:fldCharType="end"/>
      </w:r>
      <w:r w:rsidRPr="00832F7C" w:rsidR="008853DB">
        <w:t xml:space="preserve"> </w:t>
      </w:r>
      <w:r w:rsidRPr="00832F7C">
        <w:t>differences on a self-esteem IRAP between “</w:t>
      </w:r>
      <w:r w:rsidRPr="00832F7C">
        <w:rPr>
          <w:lang w:val="en-IE"/>
        </w:rPr>
        <w:t xml:space="preserve">mainstream prisoners versus undergraduates and open area prisoners” (from their Supplementary Materials) were clearly linked to a psychiatric condition. First, being a prisoner is not a psychiatric condition. Second, </w:t>
      </w:r>
      <w:r w:rsidRPr="00832F7C" w:rsidR="00096798">
        <w:rPr>
          <w:lang w:val="en-IE"/>
        </w:rPr>
        <w:t xml:space="preserve">to clarify Vahey et al.’s (2015) own description: </w:t>
      </w:r>
      <w:r w:rsidRPr="00832F7C">
        <w:rPr>
          <w:lang w:val="en-IE"/>
        </w:rPr>
        <w:t xml:space="preserve">the extracted effect does not refer to differences between students and prisoners, but a three-way ANOVA main effect driven by (a) mainstream prisoners </w:t>
      </w:r>
      <w:r w:rsidR="00EE30BA">
        <w:rPr>
          <w:lang w:val="en-IE"/>
        </w:rPr>
        <w:t xml:space="preserve">on the one hand </w:t>
      </w:r>
      <w:r w:rsidRPr="00832F7C">
        <w:rPr>
          <w:lang w:val="en-IE"/>
        </w:rPr>
        <w:t>vs. (b) undergraduates and open area prisoners</w:t>
      </w:r>
      <w:r w:rsidR="00EE30BA">
        <w:rPr>
          <w:lang w:val="en-IE"/>
        </w:rPr>
        <w:t xml:space="preserve"> on the other</w:t>
      </w:r>
      <w:r w:rsidRPr="00832F7C" w:rsidR="00096798">
        <w:rPr>
          <w:lang w:val="en-IE"/>
        </w:rPr>
        <w:t>. Vahey et al. (2009) provided a</w:t>
      </w:r>
      <w:r w:rsidR="00584F09">
        <w:rPr>
          <w:lang w:val="en-IE"/>
        </w:rPr>
        <w:t xml:space="preserve"> post hoc</w:t>
      </w:r>
      <w:r w:rsidRPr="00832F7C" w:rsidR="00096798">
        <w:rPr>
          <w:lang w:val="en-IE"/>
        </w:rPr>
        <w:t xml:space="preserve"> explanation for these effects in terms of the differential amenities provided to the </w:t>
      </w:r>
      <w:r w:rsidRPr="00832F7C" w:rsidR="00096798">
        <w:rPr>
          <w:lang w:val="en-IE"/>
        </w:rPr>
        <w:t>different prisoner groups, i.e., their explanation for this effect is not rooted in any psychiatric condition</w:t>
      </w:r>
      <w:r w:rsidR="000D31B3">
        <w:rPr>
          <w:lang w:val="en-IE"/>
        </w:rPr>
        <w:t>, contrary to the inclusion criteria.</w:t>
      </w:r>
    </w:p>
    <w:p w:rsidR="00B923AB" w:rsidRPr="00832F7C" w:rsidP="00974D7B" w14:paraId="358CDA46" w14:textId="77777777">
      <w:pPr>
        <w:pStyle w:val="Heading3"/>
      </w:pPr>
      <w:r w:rsidRPr="00832F7C">
        <w:t>Assessment of incorrect exclusions</w:t>
      </w:r>
    </w:p>
    <w:p w:rsidR="004949E1" w:rsidP="00D77465" w14:paraId="422EC54C" w14:textId="5BA44828">
      <w:r w:rsidRPr="00832F7C">
        <w:t xml:space="preserve">In addition to incorrect inclusions, it is equally plausible that effect sizes that </w:t>
      </w:r>
      <w:r w:rsidRPr="00832F7C" w:rsidR="00D52134">
        <w:t xml:space="preserve">would have </w:t>
      </w:r>
      <w:r w:rsidRPr="00832F7C">
        <w:t xml:space="preserve">met inclusion criteria were erroneously not included. </w:t>
      </w:r>
      <w:r w:rsidRPr="00832F7C" w:rsidR="001B6334">
        <w:t>I therefore re-</w:t>
      </w:r>
      <w:r w:rsidRPr="00832F7C" w:rsidR="00F17E87">
        <w:t>e</w:t>
      </w:r>
      <w:r w:rsidRPr="00832F7C" w:rsidR="001B6334">
        <w:t xml:space="preserve">xamined </w:t>
      </w:r>
      <w:r w:rsidRPr="00832F7C">
        <w:t xml:space="preserve">the same 15 articles </w:t>
      </w:r>
      <w:r w:rsidR="00D64CBF">
        <w:t>included in</w:t>
      </w:r>
      <w:r w:rsidRPr="00832F7C">
        <w:t xml:space="preserve"> Vahey et al. (2015)</w:t>
      </w:r>
      <w:r w:rsidRPr="00832F7C" w:rsidR="001B6334">
        <w:t xml:space="preserve"> and searched for other effect sizes that met </w:t>
      </w:r>
      <w:r w:rsidR="00D64CBF">
        <w:t>the original</w:t>
      </w:r>
      <w:r w:rsidRPr="00832F7C" w:rsidR="001B6334">
        <w:t xml:space="preserve"> inclusion criteria</w:t>
      </w:r>
      <w:r w:rsidRPr="00832F7C">
        <w:t xml:space="preserve">. </w:t>
      </w:r>
      <w:r w:rsidR="00D64CBF">
        <w:t xml:space="preserve">Note that this does not represent an endorsement of those criteria, it was merely an assessment of the correct application of the original criteria. </w:t>
      </w:r>
      <w:r>
        <w:t>This reextracted data is then used to conduct a new meta-analysis</w:t>
      </w:r>
      <w:r>
        <w:t>. A</w:t>
      </w:r>
      <w:r>
        <w:t>s I discuss later</w:t>
      </w:r>
      <w:r>
        <w:t xml:space="preserve">, this too does not represent an endorsement of its results (e.g., </w:t>
      </w:r>
      <w:r w:rsidR="00AD3BBE">
        <w:t>as</w:t>
      </w:r>
      <w:r>
        <w:t xml:space="preserve"> a valid estimate of the IRAP’s criterion validity), but rather it was conducted to illustrate the compound impact of the errors on the </w:t>
      </w:r>
      <w:r>
        <w:t>final results</w:t>
      </w:r>
      <w:r>
        <w:t xml:space="preserve"> reported in Vahey et al. (2015).</w:t>
      </w:r>
    </w:p>
    <w:p w:rsidR="00FC6F4E" w:rsidRPr="00832F7C" w:rsidP="00D77465" w14:paraId="779E82BF" w14:textId="74F6FC02">
      <w:r w:rsidRPr="00832F7C">
        <w:t>Following</w:t>
      </w:r>
      <w:r w:rsidR="007F4BEB">
        <w:t xml:space="preserve"> the method described in</w:t>
      </w:r>
      <w:r w:rsidRPr="00832F7C">
        <w:t xml:space="preserve"> Vahey et al. (2015), extractions were not limited to effect sizes reported in the articles, but also considered ones implied by the reported analyses</w:t>
      </w:r>
      <w:r w:rsidRPr="00832F7C" w:rsidR="009D1C09">
        <w:t xml:space="preserve"> (e.g., correlations where only the statistically significant estimates were reported)</w:t>
      </w:r>
      <w:r w:rsidRPr="00832F7C">
        <w:t xml:space="preserve">. Where necessary, </w:t>
      </w:r>
      <w:r w:rsidRPr="00832F7C" w:rsidR="00DC50FB">
        <w:t xml:space="preserve">I contacted the authors of the individual articles </w:t>
      </w:r>
      <w:r w:rsidRPr="00832F7C">
        <w:t xml:space="preserve">to obtain additional </w:t>
      </w:r>
      <w:r w:rsidRPr="00832F7C" w:rsidR="00DC50FB">
        <w:t>estimates or data</w:t>
      </w:r>
      <w:r w:rsidRPr="00832F7C">
        <w:t>. For example, if non-significant correlations were reported as merely “other correlations were non-significant”, these effect sizes were obtained where possible. Two independent raters rated each effect for clinical relevance using Vahey</w:t>
      </w:r>
      <w:r w:rsidRPr="00832F7C" w:rsidR="00D0309F">
        <w:t xml:space="preserve"> et al.</w:t>
      </w:r>
      <w:r w:rsidRPr="00832F7C" w:rsidR="00312C6B">
        <w:t>’</w:t>
      </w:r>
      <w:r w:rsidRPr="00832F7C" w:rsidR="00D0309F">
        <w:t>s (2015)</w:t>
      </w:r>
      <w:r w:rsidRPr="00832F7C">
        <w:t xml:space="preserve"> </w:t>
      </w:r>
      <w:r w:rsidRPr="00832F7C" w:rsidR="00C82775">
        <w:t>criteria</w:t>
      </w:r>
      <w:r w:rsidRPr="00832F7C">
        <w:t>. Agreement was found in 90% of cases (Cohen’s Kappa = 0.8</w:t>
      </w:r>
      <w:r w:rsidRPr="00832F7C" w:rsidR="002D29C7">
        <w:t>7</w:t>
      </w:r>
      <w:r w:rsidRPr="00832F7C">
        <w:t xml:space="preserve">, </w:t>
      </w:r>
      <w:r w:rsidRPr="00832F7C">
        <w:rPr>
          <w:i/>
        </w:rPr>
        <w:t>p</w:t>
      </w:r>
      <w:r w:rsidRPr="00832F7C">
        <w:t xml:space="preserve"> &lt; .001). As in Vahey et al. (2015), if either rater originally rated the effect as clinically relevant then it was included. </w:t>
      </w:r>
    </w:p>
    <w:p w:rsidR="00625E20" w:rsidRPr="007756AB" w:rsidP="007756AB" w14:paraId="288F9D94" w14:textId="16BAE711">
      <w:r w:rsidRPr="00832F7C">
        <w:t xml:space="preserve">308 effect sizes were originally extracted. 53 were excluded as non-criterion effect sizes. 99 more were excluded as non-clinically relevant. This left 156 effect sizes for meta-analysis, compared to </w:t>
      </w:r>
      <w:r w:rsidRPr="00832F7C" w:rsidR="00786A29">
        <w:t xml:space="preserve">the 33 included </w:t>
      </w:r>
      <w:r w:rsidR="00517647">
        <w:t>in</w:t>
      </w:r>
      <w:r w:rsidRPr="00832F7C" w:rsidR="00786A29">
        <w:t xml:space="preserve"> </w:t>
      </w:r>
      <w:r w:rsidRPr="00832F7C">
        <w:t>Vahey et al. (2015)</w:t>
      </w:r>
      <w:r w:rsidRPr="00832F7C" w:rsidR="00786A29">
        <w:t xml:space="preserve">, </w:t>
      </w:r>
      <w:r w:rsidRPr="00832F7C" w:rsidR="007A42D1">
        <w:t xml:space="preserve">after </w:t>
      </w:r>
      <w:r w:rsidRPr="00832F7C" w:rsidR="00786A29">
        <w:t xml:space="preserve">I </w:t>
      </w:r>
      <w:r w:rsidRPr="00832F7C" w:rsidR="007A42D1">
        <w:t>exclud</w:t>
      </w:r>
      <w:r w:rsidRPr="00832F7C" w:rsidR="00786A29">
        <w:t xml:space="preserve">ed the </w:t>
      </w:r>
      <w:r w:rsidRPr="00832F7C" w:rsidR="007A42D1">
        <w:t>23 non-criterion effects</w:t>
      </w:r>
      <w:r w:rsidRPr="00832F7C" w:rsidR="00786A29">
        <w:t xml:space="preserve"> (</w:t>
      </w:r>
      <w:r w:rsidRPr="00832F7C" w:rsidR="007A42D1">
        <w:t>as discussed previously)</w:t>
      </w:r>
      <w:r w:rsidRPr="00832F7C">
        <w:t xml:space="preserve">. </w:t>
      </w:r>
      <w:r w:rsidRPr="00832F7C" w:rsidR="00786A29">
        <w:t xml:space="preserve">This suggests that Vahey may have failed to </w:t>
      </w:r>
      <w:r w:rsidRPr="00832F7C" w:rsidR="00786A29">
        <w:t xml:space="preserve">include 85.3% of the effect sizes that met their inclusion criteria, representing a </w:t>
      </w:r>
      <w:r w:rsidRPr="00832F7C" w:rsidR="00646821">
        <w:t xml:space="preserve">potentially </w:t>
      </w:r>
      <w:r w:rsidRPr="00832F7C" w:rsidR="00786A29">
        <w:t xml:space="preserve">serious source of incorrect non-inclusion error. </w:t>
      </w:r>
      <w:r w:rsidRPr="00832F7C">
        <w:t xml:space="preserve">Note that these </w:t>
      </w:r>
      <w:r w:rsidRPr="00832F7C" w:rsidR="00AA2718">
        <w:t>extractions</w:t>
      </w:r>
      <w:r w:rsidRPr="00832F7C">
        <w:t xml:space="preserve"> </w:t>
      </w:r>
      <w:r w:rsidR="00517647">
        <w:t>were</w:t>
      </w:r>
      <w:r w:rsidRPr="00832F7C">
        <w:t xml:space="preserve"> not exhaustive: </w:t>
      </w:r>
      <w:r w:rsidR="00933E13">
        <w:t>a small number of</w:t>
      </w:r>
      <w:r w:rsidRPr="00832F7C">
        <w:t xml:space="preserve"> authors of original studies who </w:t>
      </w:r>
      <w:r w:rsidRPr="00832F7C" w:rsidR="00A84EE3">
        <w:t xml:space="preserve">were reported as having </w:t>
      </w:r>
      <w:r w:rsidRPr="00832F7C">
        <w:t xml:space="preserve">replied to Vahey </w:t>
      </w:r>
      <w:r w:rsidRPr="00832F7C" w:rsidR="00A84EE3">
        <w:t>et al.’s (2015)</w:t>
      </w:r>
      <w:r w:rsidRPr="00832F7C">
        <w:t xml:space="preserve"> requests for additional information did not reply to </w:t>
      </w:r>
      <w:r w:rsidRPr="00832F7C" w:rsidR="007D03FD">
        <w:t>my requests, perhaps due to the passage of time the ‘half-life’ of data</w:t>
      </w:r>
      <w:r w:rsidRPr="00832F7C">
        <w:t xml:space="preserve">. These effect sizes were converted to Pearson’s </w:t>
      </w:r>
      <w:r w:rsidRPr="00832F7C">
        <w:rPr>
          <w:i/>
          <w:iCs/>
        </w:rPr>
        <w:t>r</w:t>
      </w:r>
      <w:r w:rsidRPr="00832F7C">
        <w:t xml:space="preserve"> for </w:t>
      </w:r>
      <w:r w:rsidRPr="00832F7C" w:rsidR="00793532">
        <w:t xml:space="preserve">use in a new </w:t>
      </w:r>
      <w:r w:rsidRPr="00832F7C">
        <w:t>meta-analysis</w:t>
      </w:r>
      <w:r w:rsidRPr="00832F7C" w:rsidR="00C944BA">
        <w:t xml:space="preserve"> that I discuss later</w:t>
      </w:r>
      <w:r w:rsidRPr="00832F7C">
        <w:t xml:space="preserve">. The specific methods of conversion are </w:t>
      </w:r>
      <w:r w:rsidRPr="00832F7C" w:rsidR="005D27AC">
        <w:t>documented</w:t>
      </w:r>
      <w:r w:rsidRPr="00832F7C">
        <w:t xml:space="preserve"> in the supplementary materials. </w:t>
      </w:r>
    </w:p>
    <w:p w:rsidR="00D85790" w:rsidRPr="00832F7C" w:rsidP="00974D7B" w14:paraId="194A14D2" w14:textId="4FB0F6F1">
      <w:pPr>
        <w:pStyle w:val="Heading3"/>
      </w:pPr>
      <w:r w:rsidRPr="00832F7C">
        <w:t>Selection bias</w:t>
      </w:r>
    </w:p>
    <w:p w:rsidR="009C30F9" w:rsidRPr="00832F7C" w:rsidP="00D77465" w14:paraId="0F55FA89" w14:textId="725AA779">
      <w:r w:rsidRPr="00832F7C">
        <w:t xml:space="preserve">The high rate of inappropriate inclusions and inappropriate non-inclusions raises questions about whether these choices were random or suffered from </w:t>
      </w:r>
      <w:r w:rsidRPr="00832F7C" w:rsidR="00FA5778">
        <w:t xml:space="preserve">some form of </w:t>
      </w:r>
      <w:r w:rsidRPr="00832F7C" w:rsidR="00CA1945">
        <w:t>selection bias</w:t>
      </w:r>
      <w:r w:rsidRPr="00832F7C" w:rsidR="00FA5778">
        <w:t xml:space="preserve">, for example, </w:t>
      </w:r>
      <w:r w:rsidRPr="00832F7C" w:rsidR="00CA1945">
        <w:t xml:space="preserve">the </w:t>
      </w:r>
      <w:r w:rsidRPr="00832F7C">
        <w:t>differential inclusion of effect sizes</w:t>
      </w:r>
      <w:r w:rsidRPr="00832F7C" w:rsidR="00FA5778">
        <w:t xml:space="preserve"> dependent on their magnitude</w:t>
      </w:r>
      <w:r w:rsidRPr="00832F7C" w:rsidR="00EB2876">
        <w:t xml:space="preserve"> or statistical significance</w:t>
      </w:r>
      <w:r w:rsidRPr="00832F7C">
        <w:t xml:space="preserve">. </w:t>
      </w:r>
      <w:r w:rsidRPr="00832F7C" w:rsidR="00D154BD">
        <w:t>While not examined systematically</w:t>
      </w:r>
      <w:r w:rsidRPr="00832F7C" w:rsidR="003B4E92">
        <w:t xml:space="preserve"> due to time constraints, </w:t>
      </w:r>
      <w:r w:rsidRPr="00832F7C" w:rsidR="00D154BD">
        <w:t xml:space="preserve">examples of </w:t>
      </w:r>
      <w:r w:rsidRPr="00832F7C" w:rsidR="00CA1945">
        <w:t xml:space="preserve">potential bias </w:t>
      </w:r>
      <w:r w:rsidRPr="00832F7C" w:rsidR="00EB59A6">
        <w:t>can be found</w:t>
      </w:r>
      <w:r w:rsidRPr="00832F7C" w:rsidR="003B4E92">
        <w:t xml:space="preserve">. </w:t>
      </w:r>
      <w:r w:rsidRPr="00832F7C" w:rsidR="000463AA">
        <w:t xml:space="preserve">For example, </w:t>
      </w:r>
      <w:r w:rsidRPr="00832F7C" w:rsidR="003B4E92">
        <w:t xml:space="preserve">Vahey et al. (2015) included six correlations extracted from Carpenter et al.’s </w:t>
      </w:r>
      <w:r w:rsidRPr="00832F7C" w:rsidR="003B4E92">
        <w:fldChar w:fldCharType="begin"/>
      </w:r>
      <w:r w:rsidRPr="00832F7C" w:rsidR="003B4E92">
        <w:instrText xml:space="preserve"> ADDIN ZOTERO_ITEM CSL_CITATION {"citationID":"2jBjmChj","properties":{"formattedCitation":"(2012)","plainCitation":"(2012)","noteIndex":0},"citationItems":[{"id":1709,"uris":["http://zotero.org/users/1687755/items/UIAR4PQN"],"itemData":{"id":1709,"type":"article-journal","container-title":"The American Journal of Drug and Alcohol Abuse","DOI":"10.3109/00952990.2011.643986","ISSN":"0095-2990, 1097-9891","issue":"2","language":"en","page":"146-154","source":"CrossRef","title":"Measures of Attentional Bias and Relational Responding Are Associated with Behavioral Treatment Outcome for Cocaine Dependence","volume":"38","author":[{"family":"Carpenter","given":"Kenneth M."},{"family":"Martinez","given":"Diana"},{"family":"Vadhan","given":"Nehal P."},{"family":"Barnes-Holmes","given":"Dermot"},{"family":"Nunes","given":"Edward V."}],"issued":{"date-parts":[["2012",3]]}},"label":"page","suppress-author":true}],"schema":"https://github.com/citation-style-language/schema/raw/master/csl-citation.json"} </w:instrText>
      </w:r>
      <w:r w:rsidRPr="00832F7C" w:rsidR="003B4E92">
        <w:fldChar w:fldCharType="separate"/>
      </w:r>
      <w:r w:rsidRPr="00832F7C" w:rsidR="003B4E92">
        <w:rPr>
          <w:noProof/>
        </w:rPr>
        <w:t>(2012)</w:t>
      </w:r>
      <w:r w:rsidRPr="00832F7C" w:rsidR="003B4E92">
        <w:fldChar w:fldCharType="end"/>
      </w:r>
      <w:r w:rsidRPr="00832F7C" w:rsidR="003B4E92">
        <w:t xml:space="preserve"> Table 2 that refer to correlations between three treatment variables (voucher earnings in therapy, percent of visits attended, and percent of cocaine-negative urine tests) and three of the IRAP’s trial types (i.e., with cocaine-positive, with cocaine-negative, and no-cocaine negative). These correlations have an average of </w:t>
      </w:r>
      <w:r w:rsidRPr="00832F7C" w:rsidR="003B4E92">
        <w:rPr>
          <w:i/>
          <w:iCs/>
        </w:rPr>
        <w:t>r</w:t>
      </w:r>
      <w:r w:rsidRPr="00832F7C" w:rsidR="003B4E92">
        <w:t xml:space="preserve"> = .45.</w:t>
      </w:r>
      <w:r w:rsidRPr="00832F7C" w:rsidR="00F65C49">
        <w:t xml:space="preserve"> However, </w:t>
      </w:r>
      <w:r w:rsidRPr="00832F7C" w:rsidR="00D5198D">
        <w:t xml:space="preserve">other </w:t>
      </w:r>
      <w:r w:rsidRPr="00832F7C" w:rsidR="00F65C49">
        <w:t xml:space="preserve">correlations </w:t>
      </w:r>
      <w:r w:rsidRPr="00832F7C" w:rsidR="00D5198D">
        <w:t xml:space="preserve">reported in the sample table that appeared to meet the inclusion criteria </w:t>
      </w:r>
      <w:r w:rsidRPr="00832F7C" w:rsidR="00D5198D">
        <w:t>were not included</w:t>
      </w:r>
      <w:r w:rsidRPr="00832F7C" w:rsidR="00D5198D">
        <w:t xml:space="preserve"> (i.e., correlations </w:t>
      </w:r>
      <w:r w:rsidRPr="00832F7C" w:rsidR="00D5198D">
        <w:t>between the criterion variables and the IRAP’s fourth trial type</w:t>
      </w:r>
      <w:r w:rsidRPr="00832F7C" w:rsidR="00D5198D">
        <w:t xml:space="preserve">: </w:t>
      </w:r>
      <w:r w:rsidRPr="00832F7C" w:rsidR="00D5198D">
        <w:t xml:space="preserve">no cocaine-positive). </w:t>
      </w:r>
      <w:r w:rsidRPr="00832F7C" w:rsidR="00D5198D">
        <w:t xml:space="preserve">These excluded correlations </w:t>
      </w:r>
      <w:r w:rsidRPr="00832F7C" w:rsidR="00D5198D">
        <w:t>were much smaller (</w:t>
      </w:r>
      <w:r w:rsidRPr="00832F7C" w:rsidR="00D5198D">
        <w:rPr>
          <w:i/>
          <w:iCs/>
        </w:rPr>
        <w:t>r</w:t>
      </w:r>
      <w:r w:rsidRPr="00832F7C" w:rsidR="00D5198D">
        <w:t>s</w:t>
      </w:r>
      <w:r w:rsidRPr="00832F7C" w:rsidR="00D5198D">
        <w:t xml:space="preserve"> = .03, .19, and .19; mean </w:t>
      </w:r>
      <w:r w:rsidRPr="00832F7C" w:rsidR="00D5198D">
        <w:rPr>
          <w:i/>
          <w:iCs/>
        </w:rPr>
        <w:t>r</w:t>
      </w:r>
      <w:r w:rsidRPr="00832F7C" w:rsidR="00D5198D">
        <w:t xml:space="preserve"> = .13)</w:t>
      </w:r>
      <w:r w:rsidRPr="00832F7C" w:rsidR="00F65C49">
        <w:t xml:space="preserve">. </w:t>
      </w:r>
    </w:p>
    <w:p w:rsidR="00D154BD" w:rsidRPr="00832F7C" w:rsidP="00D77465" w14:paraId="23D666D5" w14:textId="757EABD5">
      <w:r w:rsidRPr="00832F7C">
        <w:t>Similarly, putting aside the issue of a lack of a criterion variable for a moment, Vahey et al. (2015) include</w:t>
      </w:r>
      <w:r w:rsidRPr="00832F7C" w:rsidR="00053439">
        <w:t>d</w:t>
      </w:r>
      <w:r w:rsidRPr="00832F7C">
        <w:t xml:space="preserve"> four effect sizes from Dawson et al. </w:t>
      </w:r>
      <w:r w:rsidRPr="00832F7C">
        <w:fldChar w:fldCharType="begin"/>
      </w:r>
      <w:r w:rsidRPr="00832F7C" w:rsidR="00E77251">
        <w:instrText xml:space="preserve"> ADDIN ZOTERO_ITEM CSL_CITATION {"citationID":"4bbSql1W","properties":{"formattedCitation":"(2009)","plainCitation":"(2009)","noteIndex":0},"citationItems":[{"id":2001,"uris":["http://zotero.org/users/1687755/items/BU8NABVS"],"itemData":{"id":2001,"type":"article-journal","container-title":"Sexual Abuse: A Journal of Research and Treatment","DOI":"10.1177/1079063208326928","ISSN":"1079-0632","issue":"1","language":"en","page":"57-75","source":"CrossRef","title":"Assessing the implicit beliefs of sexual offenders using the Implicit Relational Assessment Procedure: A first study","title-short":"Assessing the Implicit Beliefs of Sexual Offenders Using the Implicit Relational Assessment Procedure","volume":"21","author":[{"family":"Dawson","given":"D. L."},{"family":"Barnes-Holmes","given":"D."},{"family":"Gresswell","given":"D. M."},{"family":"Hart","given":"A. J."},{"family":"Gore","given":"N. J."}],"issued":{"date-parts":[["2009",3,1]]}},"label":"page","suppress-author":true}],"schema":"https://github.com/citation-style-language/schema/raw/master/csl-citation.json"} </w:instrText>
      </w:r>
      <w:r w:rsidRPr="00832F7C">
        <w:fldChar w:fldCharType="separate"/>
      </w:r>
      <w:r w:rsidRPr="00832F7C">
        <w:rPr>
          <w:noProof/>
        </w:rPr>
        <w:t>(2009)</w:t>
      </w:r>
      <w:r w:rsidRPr="00832F7C">
        <w:fldChar w:fldCharType="end"/>
      </w:r>
      <w:r w:rsidRPr="00832F7C">
        <w:t xml:space="preserve"> that were derived from the magnitude of the effect on each of the four IRAP trial-types in the non-sex offenders group. However, </w:t>
      </w:r>
      <w:r w:rsidRPr="00832F7C" w:rsidR="00B5554C">
        <w:t xml:space="preserve">the analysis did not </w:t>
      </w:r>
      <w:r w:rsidRPr="00832F7C">
        <w:t xml:space="preserve">include </w:t>
      </w:r>
      <w:r w:rsidRPr="00832F7C" w:rsidR="00123ACA">
        <w:t xml:space="preserve">four </w:t>
      </w:r>
      <w:r w:rsidRPr="00832F7C" w:rsidR="00B5554C">
        <w:t xml:space="preserve">additional </w:t>
      </w:r>
      <w:r w:rsidRPr="00832F7C">
        <w:t xml:space="preserve">effects associated with the sex </w:t>
      </w:r>
      <w:r w:rsidRPr="00832F7C">
        <w:t>offenders</w:t>
      </w:r>
      <w:r w:rsidRPr="00832F7C">
        <w:t xml:space="preserve"> group, despite </w:t>
      </w:r>
      <w:r w:rsidRPr="00832F7C" w:rsidR="00D13673">
        <w:t>that group</w:t>
      </w:r>
      <w:r w:rsidRPr="00832F7C">
        <w:t xml:space="preserve"> arguably being of greater clinical relevance. Inspection of Dawson et al.’s (2009) Figure 2 demonstrates that the four non-included effect sizes are all much smaller than the included ones.</w:t>
      </w:r>
      <w:r w:rsidRPr="00832F7C" w:rsidR="007B041D">
        <w:t xml:space="preserve"> Extraction of the means from the plot using </w:t>
      </w:r>
      <w:r w:rsidRPr="00832F7C" w:rsidR="007B041D">
        <w:t>WebPlotDigitizer</w:t>
      </w:r>
      <w:r w:rsidRPr="00832F7C" w:rsidR="007B041D">
        <w:t xml:space="preserve"> </w:t>
      </w:r>
      <w:r w:rsidRPr="00832F7C" w:rsidR="007B041D">
        <w:fldChar w:fldCharType="begin"/>
      </w:r>
      <w:r w:rsidRPr="00832F7C" w:rsidR="007B041D">
        <w:instrText xml:space="preserve"> ADDIN ZOTERO_ITEM CSL_CITATION {"citationID":"M3TlZYcX","properties":{"formattedCitation":"(Marin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rsidRPr="00832F7C" w:rsidR="007B041D">
        <w:fldChar w:fldCharType="separate"/>
      </w:r>
      <w:r w:rsidRPr="00832F7C" w:rsidR="007B041D">
        <w:rPr>
          <w:noProof/>
        </w:rPr>
        <w:t>(Marin et al., 2017)</w:t>
      </w:r>
      <w:r w:rsidRPr="00832F7C" w:rsidR="007B041D">
        <w:fldChar w:fldCharType="end"/>
      </w:r>
      <w:r w:rsidRPr="00832F7C" w:rsidR="007B041D">
        <w:t xml:space="preserve"> demonstrated that the means for the effects included in the meta-analysis (.62, .63, .56, .58; </w:t>
      </w:r>
      <w:r w:rsidRPr="00832F7C" w:rsidR="002158B6">
        <w:t>mean</w:t>
      </w:r>
      <w:r w:rsidRPr="00832F7C" w:rsidR="007B041D">
        <w:t xml:space="preserve"> = .59) were twice as large </w:t>
      </w:r>
      <w:r w:rsidRPr="00832F7C" w:rsidR="00900048">
        <w:t xml:space="preserve">on average </w:t>
      </w:r>
      <w:r w:rsidRPr="00832F7C" w:rsidR="007B041D">
        <w:t xml:space="preserve">as the ones that were not (.54, .00, .31, .29; </w:t>
      </w:r>
      <w:r w:rsidRPr="00832F7C" w:rsidR="002158B6">
        <w:t>mean</w:t>
      </w:r>
      <w:r w:rsidRPr="00832F7C" w:rsidR="007B041D">
        <w:t xml:space="preserve"> = .28).</w:t>
      </w:r>
    </w:p>
    <w:p w:rsidR="001B7D5B" w:rsidRPr="00832F7C" w:rsidP="00F0228F" w14:paraId="533911BF" w14:textId="6DD96961">
      <w:r w:rsidRPr="00832F7C">
        <w:t xml:space="preserve">Another example can be found in </w:t>
      </w:r>
      <w:r w:rsidRPr="00832F7C" w:rsidR="000426EF">
        <w:t>the</w:t>
      </w:r>
      <w:r w:rsidRPr="00832F7C">
        <w:t xml:space="preserve"> inclusion of two effect sizes from Vahey et al. </w:t>
      </w:r>
      <w:r w:rsidRPr="00832F7C">
        <w:fldChar w:fldCharType="begin"/>
      </w:r>
      <w:r w:rsidRPr="00832F7C">
        <w:instrText xml:space="preserve"> ADDIN ZOTERO_ITEM CSL_CITATION {"citationID":"RyTkiZU0","properties":{"formattedCitation":"(2010)","plainCitation":"(2010)","noteIndex":0},"citationItems":[{"id":2054,"uris":["http://zotero.org/users/1687755/items/2WJNEUQX"],"itemData":{"id":2054,"type":"article-journal","container-title":"International Journal of Psychology and Psychological Therapy","issue":"3","page":"453–474","source":"Google Scholar","title":"Measuring adolescents’ smoking-related social identity preferences with the Implicit Relational Assessment Procedure (IRAP) for the first time: A starting point that explains later IRAP evolutions","title-short":"Measuring adolescents’ smoking-related social identity preferences with the Implicit Relational Assessment Procedure (IRAP) for the first time","volume":"10","author":[{"family":"Vahey","given":"Nigel A."},{"family":"Boles","given":"Shawn"},{"family":"Barnes-Holmes","given":"Dermot"}],"issued":{"date-parts":[["2010"]]}},"label":"page","suppress-author":true}],"schema":"https://github.com/citation-style-language/schema/raw/master/csl-citation.json"} </w:instrText>
      </w:r>
      <w:r w:rsidRPr="00832F7C">
        <w:fldChar w:fldCharType="separate"/>
      </w:r>
      <w:r w:rsidRPr="00832F7C">
        <w:rPr>
          <w:noProof/>
        </w:rPr>
        <w:t>(2010)</w:t>
      </w:r>
      <w:r w:rsidRPr="00832F7C">
        <w:fldChar w:fldCharType="end"/>
      </w:r>
      <w:r w:rsidRPr="00832F7C">
        <w:t xml:space="preserve"> that were derived from the magnitude of the IRAP effect in the smokers group (</w:t>
      </w:r>
      <w:r w:rsidRPr="00832F7C">
        <w:rPr>
          <w:i/>
          <w:iCs/>
        </w:rPr>
        <w:t>r</w:t>
      </w:r>
      <w:r w:rsidRPr="00832F7C">
        <w:t xml:space="preserve"> = .89 and .55</w:t>
      </w:r>
      <w:r w:rsidRPr="00832F7C" w:rsidR="00C65185">
        <w:t xml:space="preserve">). </w:t>
      </w:r>
      <w:r w:rsidRPr="00832F7C">
        <w:t xml:space="preserve">However, inspection of </w:t>
      </w:r>
      <w:r w:rsidR="00CA45D3">
        <w:t xml:space="preserve">Table 3 in </w:t>
      </w:r>
      <w:r w:rsidRPr="00832F7C">
        <w:t xml:space="preserve">Vahey et al. (2010) demonstrates that six other effects were not </w:t>
      </w:r>
      <w:r w:rsidRPr="00832F7C" w:rsidR="00555731">
        <w:t>included</w:t>
      </w:r>
      <w:r w:rsidRPr="00832F7C">
        <w:t xml:space="preserve">, all of which are much smaller than the included ones. </w:t>
      </w:r>
      <w:r w:rsidRPr="00832F7C" w:rsidR="0069675F">
        <w:t xml:space="preserve">Vahey et al.’s (2010) </w:t>
      </w:r>
      <w:r w:rsidRPr="00832F7C">
        <w:t xml:space="preserve">Table 3 reports only means and not </w:t>
      </w:r>
      <w:r w:rsidRPr="00832F7C">
        <w:t>SDs</w:t>
      </w:r>
      <w:r w:rsidRPr="00832F7C">
        <w:t xml:space="preserve"> so it is not possible to recalculate correlations without additional information, but the means used in the included effects were 0.21 and 0.34, whereas the six non-included means ranged from 0.00 to 0.07.</w:t>
      </w:r>
      <w:r w:rsidR="00F0228F">
        <w:t xml:space="preserve"> </w:t>
      </w:r>
      <w:r w:rsidRPr="00832F7C" w:rsidR="000067D6">
        <w:t>These examples</w:t>
      </w:r>
      <w:r w:rsidR="003E7BB7">
        <w:t xml:space="preserve"> </w:t>
      </w:r>
      <w:r w:rsidRPr="00832F7C" w:rsidR="000067D6">
        <w:t xml:space="preserve">suggest that </w:t>
      </w:r>
      <w:r w:rsidRPr="00832F7C" w:rsidR="00FC766B">
        <w:t xml:space="preserve">the effect sizes employed in </w:t>
      </w:r>
      <w:r w:rsidRPr="00832F7C" w:rsidR="000067D6">
        <w:t xml:space="preserve">Vahey et al. (2015) </w:t>
      </w:r>
      <w:r w:rsidRPr="00832F7C" w:rsidR="00FC766B">
        <w:t xml:space="preserve">suffer </w:t>
      </w:r>
      <w:r w:rsidRPr="00832F7C" w:rsidR="005D6255">
        <w:t>from selection bias</w:t>
      </w:r>
      <w:r w:rsidR="003E7BB7">
        <w:t xml:space="preserve"> for larger effect sizes. These examples are </w:t>
      </w:r>
      <w:r w:rsidRPr="00832F7C" w:rsidR="003E7BB7">
        <w:t>illustrative rather than comprehensive,</w:t>
      </w:r>
      <w:r w:rsidR="003E7BB7">
        <w:t xml:space="preserve"> on the basis</w:t>
      </w:r>
      <w:r w:rsidR="00582E9A">
        <w:t xml:space="preserve"> that these verifications were time-consuming and, in combination with the other issues found, the results of Vahey et al. (2015) are already severely undermined.</w:t>
      </w:r>
    </w:p>
    <w:p w:rsidR="004112F6" w:rsidRPr="00832F7C" w:rsidP="00974D7B" w14:paraId="02BA5BD2" w14:textId="1EFFB7C0">
      <w:pPr>
        <w:pStyle w:val="Heading3"/>
      </w:pPr>
      <w:r w:rsidRPr="00832F7C">
        <w:t>Assessment of erroneous calculation</w:t>
      </w:r>
    </w:p>
    <w:p w:rsidR="004112F6" w:rsidRPr="00832F7C" w:rsidP="005E2603" w14:paraId="294309EB" w14:textId="4EA0E455">
      <w:r w:rsidRPr="00832F7C">
        <w:t xml:space="preserve">Erroneous calculation refers to errors made in the transposition, conversion, or reporting of effect sizes. This can involve using the incorrect formula to convert effect sizes, treating Standard Errors if they are Standard Deviations, and other errors. Previous work has shown that such errors are unfortunately common in published meta-analyses </w:t>
      </w:r>
      <w:r w:rsidRPr="00832F7C">
        <w:fldChar w:fldCharType="begin"/>
      </w:r>
      <w:r w:rsidRPr="00832F7C">
        <w:instrText xml:space="preserve"> ADDIN ZOTERO_ITEM CSL_CITATION {"citationID":"cI4PTkpK","properties":{"formattedCitation":"(e.g., G\\uc0\\u248{}tzsche et al., 2007; Maassen et al., 2020)","plainCitation":"(e.g., Gøtzsche et al., 2007;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832F7C">
        <w:fldChar w:fldCharType="separate"/>
      </w:r>
      <w:r w:rsidRPr="00832F7C">
        <w:t>(e.g., Gøtzsche et al., 2007; Maassen et al., 2020)</w:t>
      </w:r>
      <w:r w:rsidRPr="00832F7C">
        <w:fldChar w:fldCharType="end"/>
      </w:r>
      <w:r w:rsidRPr="00832F7C">
        <w:t xml:space="preserve">. </w:t>
      </w:r>
      <w:r w:rsidR="00264450">
        <w:t>T</w:t>
      </w:r>
      <w:r w:rsidRPr="00832F7C">
        <w:t>he supplementary materials</w:t>
      </w:r>
      <w:r w:rsidR="00264450">
        <w:t xml:space="preserve"> </w:t>
      </w:r>
      <w:r w:rsidR="005A56B1">
        <w:t xml:space="preserve">for </w:t>
      </w:r>
      <w:r w:rsidRPr="00832F7C">
        <w:t xml:space="preserve">Vahey et al. (2015) provide explanations and references for how individual effect sizes were converted to Pearson's </w:t>
      </w:r>
      <w:r w:rsidRPr="00832F7C">
        <w:rPr>
          <w:i/>
          <w:iCs/>
        </w:rPr>
        <w:t>r</w:t>
      </w:r>
      <w:r w:rsidRPr="00832F7C">
        <w:t xml:space="preserve">. However, inspection of those explanations revealed at least one error: 2 of the </w:t>
      </w:r>
      <w:r w:rsidRPr="00832F7C">
        <w:t xml:space="preserve">effect sizes were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832F7C">
        <w:t xml:space="preserve"> effect sizes taken from ANOVAs, which Vahey et al. (2015) stated that they “equated the relevant statistic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832F7C">
        <w:t xml:space="preserve">] with </w:t>
      </w:r>
      <w:r w:rsidRPr="00832F7C">
        <w:rPr>
          <w:i/>
          <w:iCs/>
        </w:rPr>
        <w:t>r</w:t>
      </w:r>
      <w:r w:rsidRPr="00832F7C">
        <w:rPr>
          <w:vertAlign w:val="superscript"/>
        </w:rPr>
        <w:t>2</w:t>
      </w:r>
      <w:r w:rsidRPr="00832F7C">
        <w:t xml:space="preserve"> therefore obtaining </w:t>
      </w:r>
      <w:r w:rsidRPr="00832F7C">
        <w:rPr>
          <w:i/>
          <w:iCs/>
        </w:rPr>
        <w:t>r</w:t>
      </w:r>
      <w:r w:rsidRPr="00832F7C">
        <w:t xml:space="preserve"> using the square root function”. However, this conflates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832F7C">
        <w:t xml:space="preserve"> with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832F7C">
        <w:t xml:space="preserve">: as a partialized effect size,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832F7C">
        <w:t xml:space="preserve"> cannot be converted to </w:t>
      </w:r>
      <w:r w:rsidRPr="00832F7C">
        <w:rPr>
          <w:i/>
          <w:iCs/>
        </w:rPr>
        <w:t>r</w:t>
      </w:r>
      <w:r w:rsidRPr="00832F7C">
        <w:t>, and therefore these conversions are erroneous.</w:t>
      </w:r>
      <w:r w:rsidR="005E2603">
        <w:t xml:space="preserve"> </w:t>
      </w:r>
      <w:r w:rsidRPr="00832F7C">
        <w:t>A comprehensive assessment of the reproducibility of the conversions of the individual effect sizes to Pearson</w:t>
      </w:r>
      <w:r w:rsidRPr="00832F7C" w:rsidR="00E03E24">
        <w:t>’</w:t>
      </w:r>
      <w:r w:rsidRPr="00832F7C">
        <w:t xml:space="preserve">s </w:t>
      </w:r>
      <w:r w:rsidRPr="00832F7C">
        <w:rPr>
          <w:i/>
          <w:iCs/>
        </w:rPr>
        <w:t>r</w:t>
      </w:r>
      <w:r w:rsidRPr="00832F7C">
        <w:t xml:space="preserve"> was not performed on the basis that the above assessments had already determined these effect sizes to contain several errors (e.g. related to incorrect inclusion).</w:t>
      </w:r>
    </w:p>
    <w:p w:rsidR="009F3291" w:rsidRPr="00832F7C" w:rsidP="00D77465" w14:paraId="0BE050AB" w14:textId="77777777">
      <w:pPr>
        <w:pStyle w:val="Heading2"/>
      </w:pPr>
      <w:r w:rsidRPr="00832F7C">
        <w:t>Issues in the publication bias analyses</w:t>
      </w:r>
    </w:p>
    <w:p w:rsidR="009F3291" w:rsidRPr="00832F7C" w:rsidP="00657F8B" w14:paraId="488D7F5D" w14:textId="4D2E596D">
      <w:r w:rsidRPr="00832F7C">
        <w:t>Vahey et al. (2015) reported employing tests of funnel plot asymmetry</w:t>
      </w:r>
      <w:r w:rsidRPr="00832F7C" w:rsidR="006E596E">
        <w:t>,</w:t>
      </w:r>
      <w:r w:rsidRPr="00832F7C">
        <w:t xml:space="preserve"> a sensitivity analysis based on selection models</w:t>
      </w:r>
      <w:r w:rsidRPr="00832F7C" w:rsidR="00A20645">
        <w:t xml:space="preserve"> </w:t>
      </w:r>
      <w:r w:rsidRPr="00832F7C" w:rsidR="00750F28">
        <w:fldChar w:fldCharType="begin"/>
      </w:r>
      <w:r w:rsidRPr="00832F7C" w:rsidR="00750F28">
        <w:instrText xml:space="preserve"> ADDIN ZOTERO_ITEM CSL_CITATION {"citationID":"VIVEQ6nW","properties":{"formattedCitation":"(Vevea &amp; Woods, 2005)","plainCitation":"(Vevea &amp; Woods, 2005)","noteIndex":0},"citationItems":[{"id":143,"uris":["http://zotero.org/users/1687755/items/DDQNW8RT"],"itemData":{"id":143,"type":"article-journal","abstract":"Publication bias, sometimes known as the \"file-drawer problem\" or \"funnel-plot asymmetry,\" is common in empirical research. The authors review the implications of publication bias for quantitative research synthesis (meta-analysis) and describe existing techniques for detecting and correcting it. A new approach is proposed that is suitable for application to meta-analytic data sets that are too small for the application of existing methods. The model estimates parameters relevant to fixed-effects, mixed-effects or random-effects meta-analysis contingent on a hypothetical pattern of bias that is fixed independently of the data. The authors illustrate this approach for sensitivity analysis using 3 data sets adapted from a commonly cited reference work on research synthesis (H. M. Cooper &amp; L. V. Hedges, 1994).","container-title":"Psychological Methods","DOI":"10.1037/1082-989X.10.4.428","ISSN":"1082-989X","issue":"4","journalAbbreviation":"Psychol Methods","language":"eng","note":"PMID: 16392998","page":"428-443","source":"PubMed","title":"Publication bias in research synthesis: sensitivity analysis using a priori weight functions","title-short":"Publication bias in research synthesis","volume":"10","author":[{"family":"Vevea","given":"Jack L."},{"family":"Woods","given":"Carol M."}],"issued":{"date-parts":[["2005",12]]}}}],"schema":"https://github.com/citation-style-language/schema/raw/master/csl-citation.json"} </w:instrText>
      </w:r>
      <w:r w:rsidRPr="00832F7C" w:rsidR="00750F28">
        <w:fldChar w:fldCharType="separate"/>
      </w:r>
      <w:r w:rsidRPr="00832F7C" w:rsidR="00750F28">
        <w:rPr>
          <w:noProof/>
        </w:rPr>
        <w:t>(Vevea &amp; Woods, 2005)</w:t>
      </w:r>
      <w:r w:rsidRPr="00832F7C" w:rsidR="00750F28">
        <w:fldChar w:fldCharType="end"/>
      </w:r>
      <w:r w:rsidRPr="00832F7C" w:rsidR="009F4032">
        <w:t xml:space="preserve">, and Kendall’s </w:t>
      </w:r>
      <m:oMath>
        <m:r>
          <w:rPr>
            <w:rFonts w:ascii="Cambria Math" w:hAnsi="Cambria Math"/>
          </w:rPr>
          <m:t>τ</m:t>
        </m:r>
      </m:oMath>
      <w:r w:rsidRPr="00832F7C" w:rsidR="009F4032">
        <w:t xml:space="preserve"> Rank Correlation Test </w:t>
      </w:r>
      <w:r w:rsidRPr="00832F7C" w:rsidR="009F4032">
        <w:fldChar w:fldCharType="begin"/>
      </w:r>
      <w:r w:rsidRPr="00832F7C" w:rsidR="009F4032">
        <w:instrText xml:space="preserve"> ADDIN ZOTERO_ITEM CSL_CITATION {"citationID":"Eq4WG4pp","properties":{"formattedCitation":"(e.g., Egger et al., 1997)","plainCitation":"(e.g., Egger et al., 1997)","noteIndex":0},"citationItems":[{"id":29152,"uris":["http://zotero.org/users/1687755/items/IGYQNWEV"],"itemData":{"id":29152,"type":"article-journal","abstract":"Objective: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meta-analyses.\n\nDesign: Medline search to identify pairs consisting of a meta-analysis and a single large trial (concordance of results was assumed if effects were in the same direction and the meta-analytic estimate was within 30% of the trial); analysis of funnel plots from 37 meta-analyses identified from a hand search of four leading general medicine journals 1993-6 and 38 meta-analyses from the second 1996 issue of the Cochrane Database of Systematic Reviews .\n\nMain outcome measure: Degree of funnel plot asymmetry as measured by the intercept from regression of standard normal deviates against precision.\n\nResults: In the eight pairs of meta-analysis and large trial that were identified (five from cardiovascular medicine, one from diabetic medicine, one from geriatric medicine, one from perinatal medicine) there were four concordant and four discordant pairs. In all cases discordance was due to meta-analyses showing larger effects. Funnel plot asymmetry was present in three out of four discordant pairs but in none of concordant pairs. In 14 (38%) journal meta-analyses and 5 (13%) Cochrane reviews, funnel plot asymmetry indicated that there was bias.\n\nConclusions: A simple analysis of funnel plots provides a useful test for the likely presence of bias in meta-analyses, but as the capacity to detect bias will be limited when meta-analyses are based on a limited number of small trials the results from such analyses should be treated with considerable caution.\n\n#### Key messages","DOI":"10.1136/bmj.315.7109.629","language":"en","license":"© 1997 BMJ Publishing Group Ltd.","note":"publisher: British Medical Journal Publishing Group\nsection: Paper","source":"www.bmj.com","title":"Bias in meta-analysis detected by a simple, graphical test","URL":"https://www.bmj.com/content/315/7109/629","author":[{"family":"Egger","given":"Matthias"},{"family":"Smith","given":"George Davey"},{"family":"Schneider","given":"Martin"},{"family":"Minder","given":"Christoph"}],"accessed":{"date-parts":[["2024",8,1]]},"issued":{"date-parts":[["1997",9,13]]}},"label":"page","prefix":"e.g., "}],"schema":"https://github.com/citation-style-language/schema/raw/master/csl-citation.json"} </w:instrText>
      </w:r>
      <w:r w:rsidRPr="00832F7C" w:rsidR="009F4032">
        <w:fldChar w:fldCharType="separate"/>
      </w:r>
      <w:r w:rsidRPr="00832F7C" w:rsidR="009F4032">
        <w:rPr>
          <w:noProof/>
        </w:rPr>
        <w:t>(e.g., Egger et al., 1997)</w:t>
      </w:r>
      <w:r w:rsidRPr="00832F7C" w:rsidR="009F4032">
        <w:fldChar w:fldCharType="end"/>
      </w:r>
      <w:r w:rsidRPr="00832F7C" w:rsidR="009F4032">
        <w:t>.</w:t>
      </w:r>
      <w:r w:rsidRPr="00832F7C" w:rsidR="00461B7E">
        <w:t xml:space="preserve"> </w:t>
      </w:r>
      <w:r w:rsidRPr="00832F7C" w:rsidR="008147ED">
        <w:t xml:space="preserve">While I did not attempt to systematically verify the results of all of these, two points are worth highlighting here. </w:t>
      </w:r>
      <w:r w:rsidRPr="00832F7C">
        <w:t xml:space="preserve">First, </w:t>
      </w:r>
      <w:r w:rsidR="007E641E">
        <w:t xml:space="preserve">the conclusions reported in </w:t>
      </w:r>
      <w:r w:rsidRPr="00832F7C">
        <w:t xml:space="preserve">Vahey et al. (2015) </w:t>
      </w:r>
      <w:r w:rsidR="007E641E">
        <w:t xml:space="preserve">were that </w:t>
      </w:r>
      <w:r w:rsidRPr="00832F7C">
        <w:t xml:space="preserve">“the current meta-analysis was not subject to publication bias” (p. 62). </w:t>
      </w:r>
      <w:r w:rsidRPr="00832F7C" w:rsidR="00035BB1">
        <w:t xml:space="preserve">However, this falls into a statistical fallacy that is common in original research: non-significant </w:t>
      </w:r>
      <w:r w:rsidRPr="00832F7C" w:rsidR="00035BB1">
        <w:rPr>
          <w:i/>
          <w:iCs/>
        </w:rPr>
        <w:t>p</w:t>
      </w:r>
      <w:r w:rsidRPr="00832F7C" w:rsidR="00035BB1">
        <w:t xml:space="preserve"> values should not be interpreted as evidence for the null hypothesis, only failure to reject the alternative hypothesis</w:t>
      </w:r>
      <w:r w:rsidRPr="00832F7C" w:rsidR="00455DB6">
        <w:t xml:space="preserve"> </w:t>
      </w:r>
      <w:r w:rsidRPr="00832F7C" w:rsidR="00455DB6">
        <w:fldChar w:fldCharType="begin"/>
      </w:r>
      <w:r w:rsidRPr="00832F7C" w:rsidR="00807283">
        <w:instrText xml:space="preserve"> ADDIN ZOTERO_ITEM CSL_CITATION {"citationID":"dTZiIWGX","properties":{"formattedCitation":"(Aczel et al., 2018; Greenland et al., 2016)","plainCitation":"(Aczel et al., 2018; Greenland et al., 2016)","noteIndex":0},"citationItems":[{"id":4247,"uris":["http://zotero.org/users/1687755/items/U47BB932"],"itemData":{"id":4247,"type":"article-journal","abstract":"In the traditional statistical framework, nonsignificant results leave researchers in a state of suspended disbelief. In this study, we examined, empirically, the treatment and evidential impact of nonsignificant results. Our specific goals were twofold: to explore how psychologists interpret and communicate nonsignificant results and to assess how much these results constitute evidence in favor of the null hypothesis. First, we examined all nonsignificant findings mentioned in the abstracts of the 2015 volumes of Psychonomic Bulletin &amp; Review, Journal of Experimental Psychology: General, and Psychological Science (N = 137). In 72% of these cases, nonsignificant results were misinterpreted, in that the authors inferred that the effect was absent. Second, a Bayes factor reanalysis revealed that fewer than 5% of the nonsignificant findings provided strong evidence (i.e., BF01 &gt; 10) in favor of the null hypothesis over the alternative hypothesis. We recommend that researchers expand their statistical tool kit in order to correctly interpret nonsignificant results and to be able to evaluate the evidence for and against the null hypothesis.","container-title":"Advances in Methods and Practices in Psychological Science","DOI":"10.1177/2515245918773742","ISSN":"2515-2459","issue":"3","journalAbbreviation":"Advances in Methods and Practices in Psychological Science","language":"en","page":"357-366","source":"SAGE Journals","title":"Quantifying Support for the Null Hypothesis in Psychology: An Empirical Investigation","title-short":"Quantifying Support for the Null Hypothesis in Psychology","volume":"1","author":[{"family":"Aczel","given":"Balazs"},{"family":"Palfi","given":"Bence"},{"family":"Szollosi","given":"Aba"},{"family":"Kovacs","given":"Marton"},{"family":"Szaszi","given":"Barnabas"},{"family":"Szecsi","given":"Peter"},{"family":"Zrubka","given":"Mark"},{"family":"Gronau","given":"Quentin F."},{"family":"Bergh","given":"Don","non-dropping-particle":"van den"},{"family":"Wagenmakers","given":"Eric-Jan"}],"issued":{"date-parts":[["2018",9,1]]}}},{"id":2851,"uris":["http://zotero.org/users/1687755/items/TT6Z26C4"],"itemData":{"id":2851,"type":"article-journal","container-title":"European Journal of Epidemiology","DOI":"10.1007/s10654-016-0149-3","ISSN":"0393-2990, 1573-7284","issue":"4","language":"en","page":"337-350","source":"CrossRef","title":"Statistical tests, P values, confidence intervals, and power: a guide to misinterpretations","title-short":"Statistical tests, P values, confidence intervals, and power","volume":"31","author":[{"family":"Greenland","given":"Sander"},{"family":"Senn","given":"Stephen J."},{"family":"Rothman","given":"Kenneth J."},{"family":"Carlin","given":"John B."},{"family":"Poole","given":"Charles"},{"family":"Goodman","given":"Steven N."},{"family":"Altman","given":"Douglas G."}],"issued":{"date-parts":[["2016",4]]}}}],"schema":"https://github.com/citation-style-language/schema/raw/master/csl-citation.json"} </w:instrText>
      </w:r>
      <w:r w:rsidRPr="00832F7C" w:rsidR="00455DB6">
        <w:fldChar w:fldCharType="separate"/>
      </w:r>
      <w:r w:rsidRPr="00832F7C" w:rsidR="00807283">
        <w:rPr>
          <w:noProof/>
        </w:rPr>
        <w:t>(Aczel et al., 2018; Greenland et al., 2016)</w:t>
      </w:r>
      <w:r w:rsidRPr="00832F7C" w:rsidR="00455DB6">
        <w:fldChar w:fldCharType="end"/>
      </w:r>
      <w:r w:rsidRPr="00832F7C" w:rsidR="00035BB1">
        <w:t>.</w:t>
      </w:r>
      <w:r w:rsidRPr="00832F7C" w:rsidR="00455DB6">
        <w:t xml:space="preserve"> </w:t>
      </w:r>
      <w:r w:rsidRPr="00832F7C" w:rsidR="00035BB1">
        <w:t xml:space="preserve">Put differently, the absence of evidence is not the same as evidence of absence. </w:t>
      </w:r>
      <w:r w:rsidRPr="00832F7C" w:rsidR="00122EDC">
        <w:t>This is especially important in the context of meta-analysis bias tests which frequently have very low power</w:t>
      </w:r>
      <w:r w:rsidRPr="00832F7C" w:rsidR="008E7711">
        <w:t xml:space="preserve"> </w:t>
      </w:r>
      <w:r w:rsidRPr="00832F7C" w:rsidR="008E7711">
        <w:fldChar w:fldCharType="begin"/>
      </w:r>
      <w:r w:rsidRPr="00832F7C" w:rsidR="008E7711">
        <w:instrText xml:space="preserve"> ADDIN ZOTERO_ITEM CSL_CITATION {"citationID":"A89fpj4s","properties":{"formattedCitation":"(R\\uc0\\u252{}cker et al., 2011; Sterne et al., 2000)","plainCitation":"(Rücker et al., 2011; Sterne et al., 2000)","noteIndex":0},"citationItems":[{"id":29159,"uris":["http://zotero.org/users/1687755/items/8S6398CX"],"itemData":{"id":29159,"type":"article-journal","abstract":"Publication bias and related types of small-study effects threaten the validity of systematic reviews. The existence of small-study effects has been demonstrated in empirical studies. Small-study effects are graphically diagnosed by inspection of the funnel plot. Though observed funnel plot asymmetry cannot be easily linked to a specific reason, tests based on funnel plot asymmetry have been proposed. Beyond a vast range of funnel plot tests, there exist several methods for adjusting treatment effect estimates for these biases. In this article, we consider the trim-and-fill method, the Copas selection model, and more recent regression-based approaches. The methods are exemplified using a meta-analysis from the literature and compared in a simulation study, based on binary response data. They are also applied to a large set of meta-analyses. Some fundamental differences between the approaches are discussed. An assumption common to the trim-and-fill method and the Copas selection model is that the small-study effect is caused by selection. The trim-and-fill method corresponds to an unknown implicit model generated by the symmetry assumption, whereas the Copas selection model is a parametric statistical model. However, it requires a sensitivity analysis. Regression-based approaches are easier to implement and not based on a specific selection model. Both simulations and applications suggest that in the presence of strong selection both the trim-and-fill method and the Copas selection model may not fully eliminate bias, while regression-based approaches seem to be a promising alternative.","container-title":"Biometrical Journal","DOI":"10.1002/bimj.201000151","ISSN":"1521-4036","issue":"2","language":"en","license":"Copyright © 2011 WILEY-VCH Verlag GmbH &amp; Co. KGaA, Weinheim","note":"_eprint: https://onlinelibrary.wiley.com/doi/pdf/10.1002/bimj.201000151","page":"351-368","source":"Wiley Online Library","title":"Detecting and adjusting for small-study effects in meta-analysis","volume":"53","author":[{"family":"Rücker","given":"Gerta"},{"family":"Carpenter","given":"James R."},{"family":"Schwarzer","given":"Guido"}],"issued":{"date-parts":[["2011"]]}}},{"id":29161,"uris":["http://zotero.org/users/1687755/items/CCG4VQKT"],"itemData":{"id":29161,"type":"article-journal","abstract":"Publication and selection biases in meta-analysis are more likely to affect small studies, which also tend to be of lower methodological quality. This may lead to “small-study effects,” where the smaller studies in a meta-analysis show larger treatment effects. Small-study effects may also arise because of between-trial heterogeneity. Statistical tests for small-study effects have been proposed, but their validity has been questioned. A set of typical meta-analyses containing 5, 10, 20, and 30 trials was defined based on the characteristics of 78 published meta-analyses identified in a hand search of eight journals from 1993 to 1997. Simulations were performed to assess the power of a weighted regression method and a rank correlation test in the presence of no bias, moderate bias or severe bias. We based evidence of small-study effects on P &lt; 0.1. The power to detect bias increased with increasing numbers of trials. The rank correlation test was less powerful than the regression method. For example, assuming a control group event rate of 20% and no treatment effect, moderate bias was detected with the regression test in 13.7%, 23.5%, 40.1% and 51.6% of meta-analyses with 5, 10, 20 and 30 trials. The corresponding figures for the correlation test were 8.5%, 14.7%, 20.4% and 26.0%, respectively. Severe bias was detected with the regression method in 23.5%, 56.1%, 88.3% and 95.9% of meta-anlyses with 5, 10, 20 and 30 trials, as compared to 11.9%, 31.1%, 45.3% and 65.4% with the correlation test. Similar results were obtained in simulations incorporating moderate treatment effects. However the regression method gave false-positive rates which were too high in some situations (large treatment effects, or few events per trial, or all trials of similar sizes). Using the regression method, evidence of small-study effects was present in 21 (26.9%) of the 78 published meta-analyses. Tests for small-study effects should routinely be performed in meta-analysis. Their power is however limited, particularly for moderate amounts of bias or meta-analyses based on a small number of small studies. When evidence of small-study effects is found, careful consideration should be given to possible explanations for these in the reporting of the meta-analysis.","container-title":"Journal of Clinical Epidemiology","DOI":"10.1016/S0895-4356(00)00242-0","ISSN":"0895-4356","issue":"11","journalAbbreviation":"Journal of Clinical Epidemiology","page":"1119-1129","source":"ScienceDirect","title":"Publication and related bias in meta-analysis: Power of statistical tests and prevalence in the literature","title-short":"Publication and related bias in meta-analysis","volume":"53","author":[{"family":"Sterne","given":"Jonathan A. C"},{"family":"Gavaghan","given":"David"},{"family":"Egger","given":"Matthias"}],"issued":{"date-parts":[["2000",11,1]]}}}],"schema":"https://github.com/citation-style-language/schema/raw/master/csl-citation.json"} </w:instrText>
      </w:r>
      <w:r w:rsidRPr="00832F7C" w:rsidR="008E7711">
        <w:fldChar w:fldCharType="separate"/>
      </w:r>
      <w:r w:rsidRPr="00832F7C" w:rsidR="008E7711">
        <w:t>(Rücker et al., 2011; Sterne et al., 2000)</w:t>
      </w:r>
      <w:r w:rsidRPr="00832F7C" w:rsidR="008E7711">
        <w:fldChar w:fldCharType="end"/>
      </w:r>
      <w:r w:rsidRPr="00832F7C" w:rsidR="00122EDC">
        <w:t>, as is the case her</w:t>
      </w:r>
      <w:r w:rsidRPr="00832F7C" w:rsidR="00725437">
        <w:t>e</w:t>
      </w:r>
      <w:r w:rsidRPr="00832F7C" w:rsidR="00122EDC">
        <w:t xml:space="preserve">. </w:t>
      </w:r>
      <w:r w:rsidRPr="00832F7C" w:rsidR="00035BB1">
        <w:t xml:space="preserve">The correct interpretation of </w:t>
      </w:r>
      <w:r w:rsidRPr="00832F7C" w:rsidR="00122EDC">
        <w:t xml:space="preserve">such non-significant results is that no evidence of bias was obtained rather than evidence of no bias. This </w:t>
      </w:r>
      <w:r w:rsidRPr="00832F7C" w:rsidR="00455DB6">
        <w:t xml:space="preserve">difference in wording may seem subtle at </w:t>
      </w:r>
      <w:r w:rsidRPr="00832F7C" w:rsidR="00FA3255">
        <w:t>first but</w:t>
      </w:r>
      <w:r w:rsidRPr="00832F7C" w:rsidR="00455DB6">
        <w:t xml:space="preserve"> represents a fundamentally different </w:t>
      </w:r>
      <w:r w:rsidRPr="00832F7C" w:rsidR="00794292">
        <w:t xml:space="preserve">and stronger </w:t>
      </w:r>
      <w:r w:rsidRPr="00832F7C" w:rsidR="00455DB6">
        <w:t>claim.</w:t>
      </w:r>
      <w:r w:rsidRPr="00832F7C" w:rsidR="00794292">
        <w:t xml:space="preserve"> There are few areas of research where publication bias and </w:t>
      </w:r>
      <w:r w:rsidRPr="00832F7C" w:rsidR="00794292">
        <w:rPr>
          <w:i/>
          <w:iCs/>
        </w:rPr>
        <w:t>p</w:t>
      </w:r>
      <w:r w:rsidRPr="00832F7C" w:rsidR="00794292">
        <w:t>-hacking</w:t>
      </w:r>
      <w:r w:rsidRPr="00832F7C" w:rsidR="00ED2533">
        <w:t xml:space="preserve"> </w:t>
      </w:r>
      <w:r w:rsidRPr="00832F7C" w:rsidR="00794292">
        <w:t xml:space="preserve">could reasonably be assumed to be completely absent. As such, direct evidence for this null </w:t>
      </w:r>
      <w:r w:rsidRPr="00832F7C" w:rsidR="00794292">
        <w:t xml:space="preserve">effect would need to be strong to dismiss the presence of bias as a plausible default assumption. </w:t>
      </w:r>
    </w:p>
    <w:p w:rsidR="00455DB6" w:rsidRPr="00832F7C" w:rsidP="00D77465" w14:paraId="775BEBA6" w14:textId="0A9B974C">
      <w:r w:rsidRPr="00832F7C">
        <w:t xml:space="preserve">Second, </w:t>
      </w:r>
      <w:r w:rsidRPr="00832F7C" w:rsidR="00B50FEB">
        <w:t xml:space="preserve">bias tests can allude to rigor or objectivity that might obscure other sources of information about whether bias is truly present. It is worth noting that 8 of the 11 (73%) articles used in the meta-analysis were co-authored by at least one author of Vahey et al. (2015). </w:t>
      </w:r>
      <w:r w:rsidRPr="00832F7C" w:rsidR="00220BB9">
        <w:t>The authors of Vahey et al. (2015) therefore had direct knowledge of whether there was a file drawer of unpublished studies</w:t>
      </w:r>
      <w:r w:rsidRPr="00832F7C" w:rsidR="00273E29">
        <w:t xml:space="preserve"> (or indeed any other source of bias)</w:t>
      </w:r>
      <w:r w:rsidRPr="00832F7C" w:rsidR="00220BB9">
        <w:t xml:space="preserve">, but they do not </w:t>
      </w:r>
      <w:r w:rsidRPr="00832F7C" w:rsidR="005D591A">
        <w:t xml:space="preserve">consider </w:t>
      </w:r>
      <w:r w:rsidRPr="00832F7C" w:rsidR="00220BB9">
        <w:t>this</w:t>
      </w:r>
      <w:r w:rsidRPr="00832F7C" w:rsidR="005D591A">
        <w:t xml:space="preserve"> in their estimation of bias</w:t>
      </w:r>
      <w:r w:rsidRPr="00832F7C" w:rsidR="00220BB9">
        <w:t xml:space="preserve">. </w:t>
      </w:r>
      <w:r w:rsidRPr="00832F7C" w:rsidR="002B7E60">
        <w:t>My own compilation of unpublished IRAP studies suggests that there are at least 6 unpublished PhD theses with clinically relevant IRAP studies, most of which came from Barnes-Holmes's research group</w:t>
      </w:r>
      <w:r w:rsidRPr="00832F7C" w:rsidR="007831AF">
        <w:t xml:space="preserve"> </w:t>
      </w:r>
      <w:r w:rsidRPr="00832F7C" w:rsidR="007831AF">
        <w:fldChar w:fldCharType="begin"/>
      </w:r>
      <w:r w:rsidRPr="00832F7C" w:rsidR="007831AF">
        <w:instrText xml:space="preserve"> ADDIN ZOTERO_ITEM CSL_CITATION {"citationID":"2Aqioz4X","properties":{"formattedCitation":"(Hussey &amp; Drake, 2022)","plainCitation":"(Hussey &amp; Drake, 2022)","noteIndex":0},"citationItems":[{"id":29166,"uris":["http://zotero.org/users/1687755/items/RN233WHD"],"itemData":{"id":29166,"type":"article-journal","abstract":"Hosted on the Open Science Framework","language":"en","note":"publisher: OSF","source":"osf.io","title":"The IRAP File-Drawer: A repository of unpublished studies using the Implicit Relational Assessment Procedure","title-short":"The IRAP File-Drawer","URL":"https://osf.io/g4qsu/","author":[{"family":"Hussey","given":"Ian"},{"family":"Drake","given":"Chad E."}],"accessed":{"date-parts":[["2024",8,1]]},"issued":{"date-parts":[["2022"]]}}}],"schema":"https://github.com/citation-style-language/schema/raw/master/csl-citation.json"} </w:instrText>
      </w:r>
      <w:r w:rsidRPr="00832F7C" w:rsidR="007831AF">
        <w:fldChar w:fldCharType="separate"/>
      </w:r>
      <w:r w:rsidRPr="00832F7C" w:rsidR="007831AF">
        <w:rPr>
          <w:noProof/>
        </w:rPr>
        <w:t>(Hussey &amp; Drake, 2022)</w:t>
      </w:r>
      <w:r w:rsidRPr="00832F7C" w:rsidR="007831AF">
        <w:fldChar w:fldCharType="end"/>
      </w:r>
      <w:r w:rsidRPr="00832F7C" w:rsidR="002B7E60">
        <w:t xml:space="preserve">. </w:t>
      </w:r>
      <w:r w:rsidRPr="00832F7C" w:rsidR="003D01B6">
        <w:t xml:space="preserve">Reporting quantitative tests of publication bias without also reporting </w:t>
      </w:r>
      <w:r w:rsidRPr="00832F7C" w:rsidR="003D01B6">
        <w:rPr>
          <w:i/>
          <w:iCs/>
        </w:rPr>
        <w:t>prima facie</w:t>
      </w:r>
      <w:r w:rsidRPr="00832F7C" w:rsidR="003D01B6">
        <w:t xml:space="preserve"> evidence of publication bias from one</w:t>
      </w:r>
      <w:r w:rsidR="00AB07B5">
        <w:t>’</w:t>
      </w:r>
      <w:r w:rsidRPr="00832F7C" w:rsidR="003D01B6">
        <w:t>s own research group ignores important evidence</w:t>
      </w:r>
      <w:r w:rsidRPr="00832F7C" w:rsidR="005B2B9F">
        <w:t xml:space="preserve"> and does so in a way that is biased toward enhancing the </w:t>
      </w:r>
      <w:r w:rsidRPr="00832F7C" w:rsidR="00856724">
        <w:t xml:space="preserve">apparent </w:t>
      </w:r>
      <w:r w:rsidRPr="00832F7C" w:rsidR="005B2B9F">
        <w:t>criterion validity of the measure</w:t>
      </w:r>
      <w:r w:rsidRPr="00832F7C" w:rsidR="008305D8">
        <w:t>.</w:t>
      </w:r>
      <w:r w:rsidRPr="00832F7C" w:rsidR="00986FBB">
        <w:t xml:space="preserve"> </w:t>
      </w:r>
    </w:p>
    <w:p w:rsidR="004112F6" w:rsidRPr="00D93911" w:rsidP="00D93911" w14:paraId="1C6C297B" w14:textId="4309B688">
      <w:pPr>
        <w:pStyle w:val="Heading2"/>
      </w:pPr>
      <w:r w:rsidRPr="00D93911">
        <w:t>Corrected meta-analysis and power analyses</w:t>
      </w:r>
      <w:r w:rsidRPr="00D93911" w:rsidR="00B03471">
        <w:t xml:space="preserve"> to illustrate the compound impact of the issues</w:t>
      </w:r>
    </w:p>
    <w:p w:rsidR="00657F8B" w:rsidRPr="0081135C" w:rsidP="00D77465" w14:paraId="17F37291" w14:textId="77777777">
      <w:r w:rsidRPr="00832F7C">
        <w:t>In order to</w:t>
      </w:r>
      <w:r w:rsidRPr="00832F7C">
        <w:t xml:space="preserve"> understand the compound impact of the various errors on the conclusions of the meta-analysis, I fitted a new meta-analysis to the 156 effect sizes re-extracted from the original articles. I </w:t>
      </w:r>
      <w:r w:rsidRPr="0081135C">
        <w:t xml:space="preserve">then used the meta-analysis effect results to calculate new power analyses. </w:t>
      </w:r>
      <w:r w:rsidRPr="0081135C" w:rsidR="00B03471">
        <w:t>Importantly, the purpose of this new meta-analysis was not to present its results as a more accurate estimate of the IRAP’s criterion validity, but rather to illustrate the compound impact of the various errors that were outlined above on the meta-estimate.</w:t>
      </w:r>
      <w:r w:rsidRPr="0081135C" w:rsidR="00FA6B89">
        <w:t xml:space="preserve"> I return to this point in the discussion.</w:t>
      </w:r>
      <w:r w:rsidRPr="0081135C" w:rsidR="00B03471">
        <w:t xml:space="preserve"> </w:t>
      </w:r>
    </w:p>
    <w:p w:rsidR="004E47BB" w:rsidRPr="00832F7C" w:rsidP="00657F8B" w14:paraId="58D8A7F5" w14:textId="7D8C2114">
      <w:r w:rsidRPr="0081135C">
        <w:t>T</w:t>
      </w:r>
      <w:r w:rsidRPr="0081135C" w:rsidR="001D6214">
        <w:t xml:space="preserve">he </w:t>
      </w:r>
      <w:r w:rsidRPr="0081135C" w:rsidR="00000000">
        <w:t xml:space="preserve">method </w:t>
      </w:r>
      <w:r w:rsidRPr="0081135C">
        <w:t>employed</w:t>
      </w:r>
      <w:r>
        <w:t xml:space="preserve"> </w:t>
      </w:r>
      <w:r w:rsidRPr="00832F7C" w:rsidR="00000000">
        <w:t xml:space="preserve">of dealing with the non-independence of multiple effect sizes </w:t>
      </w:r>
      <w:r w:rsidRPr="00832F7C" w:rsidR="001D6214">
        <w:t xml:space="preserve">taken from the same study in Vahey et al. (2015) </w:t>
      </w:r>
      <w:r w:rsidRPr="00832F7C" w:rsidR="00000000">
        <w:t xml:space="preserve">was to average </w:t>
      </w:r>
      <w:r>
        <w:t xml:space="preserve">those effect sizes at the article level. However, </w:t>
      </w:r>
      <w:r w:rsidR="007D4FD4">
        <w:t xml:space="preserve">best practices for meta-analyses argue </w:t>
      </w:r>
      <w:r w:rsidRPr="00832F7C" w:rsidR="00000000">
        <w:t xml:space="preserve">that it is more appropriate to model </w:t>
      </w:r>
      <w:r w:rsidRPr="00832F7C" w:rsidR="00000000">
        <w:t xml:space="preserve">these dependencies using three-level meta-analyses (i.e., multi-level meta-analyses: Van den Noortgate et al. 2013). A multi-level random effect meta-analysis with random intercepts for study was therefore employed. I employed the metafor packages’ default settings of a Restricted Maximum Likelihood estimator function and weighting by inverse variance (i.e., rather than </w:t>
      </w:r>
      <w:r w:rsidRPr="00832F7C" w:rsidR="00000000">
        <w:rPr>
          <w:i/>
          <w:iCs/>
        </w:rPr>
        <w:t>N</w:t>
      </w:r>
      <w:r w:rsidRPr="00832F7C" w:rsidR="00000000">
        <w:t xml:space="preserve">, given that inverse variance is a better estimate of precision and represents the contemporary standard). </w:t>
      </w:r>
    </w:p>
    <w:p w:rsidR="004E47BB" w:rsidRPr="00832F7C" w:rsidP="00657F8B" w14:paraId="39C2393B" w14:textId="401C0910">
      <w:r w:rsidRPr="00832F7C">
        <w:t xml:space="preserve">Results demonstrated a meta effect size </w:t>
      </w:r>
      <m:oMath>
        <m:acc>
          <m:accPr>
            <m:chr m:val="̅"/>
            <m:ctrlPr>
              <w:rPr>
                <w:rFonts w:ascii="Cambria Math" w:hAnsi="Cambria Math"/>
                <w:i/>
              </w:rPr>
            </m:ctrlPr>
          </m:accPr>
          <m:e>
            <m:r>
              <w:rPr>
                <w:rFonts w:ascii="Cambria Math" w:hAnsi="Cambria Math"/>
              </w:rPr>
              <m:t>r</m:t>
            </m:r>
          </m:e>
        </m:acc>
      </m:oMath>
      <w:r w:rsidRPr="00832F7C">
        <w:t xml:space="preserve"> = .22, 95% CI [.15, .29], 95% CR [.22, .22], 95% PI [-.01, .42] (see Figure 4 for forest plot). Based on the non-overlap of their Confidence Intervals, this estimate is significantly smaller than the effect size reported by Vahey et al. (2015), i.e., </w:t>
      </w:r>
      <m:oMath>
        <m:acc>
          <m:accPr>
            <m:chr m:val="̅"/>
            <m:ctrlPr>
              <w:rPr>
                <w:rFonts w:ascii="Cambria Math" w:hAnsi="Cambria Math"/>
                <w:i/>
              </w:rPr>
            </m:ctrlPr>
          </m:accPr>
          <m:e>
            <m:r>
              <w:rPr>
                <w:rFonts w:ascii="Cambria Math" w:hAnsi="Cambria Math"/>
              </w:rPr>
              <m:t>r</m:t>
            </m:r>
          </m:e>
        </m:acc>
      </m:oMath>
      <w:r w:rsidRPr="00832F7C">
        <w:t xml:space="preserve"> = .45, 95% CI [.40, .54], 95% CR [.23, .67]). Table 1 contains the new power analyses based on this meta-effect size. As can be seen from the table, sample sizes are substantially larger than those recommended </w:t>
      </w:r>
      <w:r w:rsidR="00264108">
        <w:t>in</w:t>
      </w:r>
      <w:r w:rsidRPr="00832F7C">
        <w:t xml:space="preserve"> Vahey et al. (2015). For example, whereas the original abstract includes the recommendation that IRAP studies should employ “</w:t>
      </w:r>
      <w:r w:rsidRPr="00832F7C">
        <w:rPr>
          <w:i/>
          <w:iCs/>
        </w:rPr>
        <w:t>N</w:t>
      </w:r>
      <w:r w:rsidRPr="00832F7C">
        <w:t xml:space="preserve"> of [at least] 29 to 37”, the update numbers for the same tests are </w:t>
      </w:r>
      <w:r w:rsidRPr="00832F7C">
        <w:rPr>
          <w:i/>
          <w:iCs/>
        </w:rPr>
        <w:t>N</w:t>
      </w:r>
      <w:r w:rsidRPr="00832F7C">
        <w:t xml:space="preserve">s of at least 126 to 273. Power analyses for the more common and less liberal two-sided test for Pearson’s </w:t>
      </w:r>
      <w:r w:rsidRPr="00832F7C">
        <w:rPr>
          <w:i/>
          <w:iCs/>
        </w:rPr>
        <w:t>r</w:t>
      </w:r>
      <w:r w:rsidRPr="00832F7C">
        <w:t xml:space="preserve"> correlations would require </w:t>
      </w:r>
      <w:r w:rsidRPr="00832F7C">
        <w:rPr>
          <w:i/>
          <w:iCs/>
        </w:rPr>
        <w:t>N</w:t>
      </w:r>
      <w:r w:rsidRPr="00832F7C">
        <w:t xml:space="preserve">s of at least 160 to 346. </w:t>
      </w:r>
      <w:r w:rsidRPr="0081135C" w:rsidR="00D5339D">
        <w:t>Again, it is important to note that I do not endorse these estimates for the purposes of sample size planning, I present them here only to illustrate the compound impact of the errors detected in the results presented in Vahey et al. (2015).</w:t>
      </w:r>
      <w:r w:rsidR="00D5339D">
        <w:t xml:space="preserve"> </w:t>
      </w:r>
    </w:p>
    <w:p w:rsidR="00032ADB" w:rsidRPr="00832F7C" w:rsidP="00D77465" w14:paraId="6B1A716F" w14:textId="77777777"/>
    <w:p w:rsidR="00032ADB" w:rsidRPr="00832F7C" w:rsidP="00D77465" w14:paraId="707EA9D4" w14:textId="77777777">
      <w:pPr>
        <w:rPr>
          <w:b/>
          <w:bCs/>
        </w:rPr>
      </w:pPr>
      <w:r w:rsidRPr="00832F7C">
        <w:br w:type="column"/>
      </w:r>
      <w:r w:rsidRPr="00832F7C">
        <w:rPr>
          <w:b/>
          <w:bCs/>
        </w:rPr>
        <w:t xml:space="preserve">Figure 5. </w:t>
      </w:r>
      <w:r w:rsidRPr="00832F7C">
        <w:t>Forest plot for the new meta-analysis.</w:t>
      </w:r>
    </w:p>
    <w:p w:rsidR="00D5488E" w:rsidRPr="00832F7C" w:rsidP="00625E20" w14:paraId="0CB77921" w14:textId="716D90B4">
      <w:pPr>
        <w:ind w:firstLine="0"/>
        <w:jc w:val="center"/>
      </w:pPr>
      <w:r w:rsidRPr="00832F7C">
        <w:rPr>
          <w:noProof/>
        </w:rPr>
        <w:drawing>
          <wp:inline distT="0" distB="0" distL="0" distR="0">
            <wp:extent cx="1674254" cy="8160816"/>
            <wp:effectExtent l="0" t="0" r="2540" b="0"/>
            <wp:docPr id="1538480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80369" name="Picture 1538480369"/>
                    <pic:cNvPicPr/>
                  </pic:nvPicPr>
                  <pic:blipFill>
                    <a:blip xmlns:r="http://schemas.openxmlformats.org/officeDocument/2006/relationships" r:embed="rId15"/>
                    <a:stretch>
                      <a:fillRect/>
                    </a:stretch>
                  </pic:blipFill>
                  <pic:spPr>
                    <a:xfrm>
                      <a:off x="0" y="0"/>
                      <a:ext cx="1712431" cy="8346902"/>
                    </a:xfrm>
                    <a:prstGeom prst="rect">
                      <a:avLst/>
                    </a:prstGeom>
                  </pic:spPr>
                </pic:pic>
              </a:graphicData>
            </a:graphic>
          </wp:inline>
        </w:drawing>
      </w:r>
    </w:p>
    <w:p w:rsidR="00B95E95" w:rsidP="00D77465" w14:paraId="75AE9B96" w14:textId="77777777">
      <w:pPr>
        <w:pStyle w:val="Heading1"/>
      </w:pPr>
      <w:r w:rsidRPr="00832F7C">
        <w:t>Discussion</w:t>
      </w:r>
    </w:p>
    <w:p w:rsidR="00F24EA3" w:rsidRPr="00832F7C" w:rsidP="005F6E05" w14:paraId="2BDEE3BE" w14:textId="2062B8E0">
      <w:r w:rsidRPr="00832F7C">
        <w:t xml:space="preserve">The results </w:t>
      </w:r>
      <w:r w:rsidRPr="00832F7C" w:rsidR="00ED4354">
        <w:t xml:space="preserve">of Vahey et al. (2015) </w:t>
      </w:r>
      <w:r w:rsidRPr="00832F7C">
        <w:t xml:space="preserve">could not be verified at </w:t>
      </w:r>
      <w:r w:rsidRPr="00832F7C" w:rsidR="009D1517">
        <w:t>several</w:t>
      </w:r>
      <w:r w:rsidRPr="00832F7C">
        <w:t xml:space="preserve"> different stages </w:t>
      </w:r>
      <w:r w:rsidRPr="00832F7C" w:rsidR="009D1517">
        <w:t xml:space="preserve">of the data extraction and </w:t>
      </w:r>
      <w:r w:rsidRPr="00832F7C">
        <w:t>analysis</w:t>
      </w:r>
      <w:r w:rsidRPr="00832F7C" w:rsidR="00802D88">
        <w:t xml:space="preserve">, </w:t>
      </w:r>
      <w:r w:rsidRPr="00832F7C" w:rsidR="00751E40">
        <w:t>and</w:t>
      </w:r>
      <w:r w:rsidRPr="00832F7C" w:rsidR="00802D88">
        <w:t xml:space="preserve"> multiple errors </w:t>
      </w:r>
      <w:r w:rsidRPr="00832F7C" w:rsidR="00751E40">
        <w:t>and</w:t>
      </w:r>
      <w:r w:rsidRPr="00832F7C" w:rsidR="00802D88">
        <w:t xml:space="preserve"> </w:t>
      </w:r>
      <w:r w:rsidRPr="00832F7C" w:rsidR="005C6FA5">
        <w:t xml:space="preserve">internal </w:t>
      </w:r>
      <w:r w:rsidRPr="00832F7C" w:rsidR="00802D88">
        <w:t xml:space="preserve">discrepancies </w:t>
      </w:r>
      <w:r w:rsidRPr="00832F7C" w:rsidR="00751E40">
        <w:t xml:space="preserve">were </w:t>
      </w:r>
      <w:r w:rsidRPr="00832F7C" w:rsidR="00802D88">
        <w:t>detected</w:t>
      </w:r>
      <w:r w:rsidRPr="00832F7C">
        <w:t xml:space="preserve">. </w:t>
      </w:r>
      <w:r w:rsidRPr="00832F7C" w:rsidR="00AB2048">
        <w:t xml:space="preserve">The </w:t>
      </w:r>
      <w:r w:rsidRPr="00832F7C" w:rsidR="00EA7DFA">
        <w:t xml:space="preserve">original article’s </w:t>
      </w:r>
      <w:r w:rsidRPr="00832F7C" w:rsidR="00AB2048">
        <w:t xml:space="preserve">inclusion and exclusion criteria were not </w:t>
      </w:r>
      <w:r w:rsidRPr="00832F7C" w:rsidR="000A1DC4">
        <w:t xml:space="preserve">consistently </w:t>
      </w:r>
      <w:r w:rsidRPr="00832F7C" w:rsidR="00AB2048">
        <w:t>applied</w:t>
      </w:r>
      <w:r w:rsidRPr="00832F7C" w:rsidR="00E93CCC">
        <w:t>: m</w:t>
      </w:r>
      <w:r w:rsidRPr="00832F7C" w:rsidR="00AB2048">
        <w:t xml:space="preserve">any effects that met </w:t>
      </w:r>
      <w:r w:rsidR="00FE5843">
        <w:t xml:space="preserve">the </w:t>
      </w:r>
      <w:r w:rsidRPr="00832F7C" w:rsidR="00AB2048">
        <w:t xml:space="preserve">inclusion criteria were not </w:t>
      </w:r>
      <w:r w:rsidRPr="00832F7C" w:rsidR="00BD1219">
        <w:t>included. C</w:t>
      </w:r>
      <w:r w:rsidRPr="00832F7C" w:rsidR="00AB2048">
        <w:t xml:space="preserve">onversely, many effects that were included did not meet inclusion criteria, e.g., </w:t>
      </w:r>
      <w:r w:rsidRPr="00832F7C" w:rsidR="004259E7">
        <w:t>41.1</w:t>
      </w:r>
      <w:r w:rsidRPr="00832F7C" w:rsidR="00AB2048">
        <w:t>% were not criterion effects as they did not involve a</w:t>
      </w:r>
      <w:r w:rsidRPr="00832F7C" w:rsidR="00E93CCC">
        <w:t xml:space="preserve">n </w:t>
      </w:r>
      <w:r w:rsidRPr="00832F7C" w:rsidR="00AB2048">
        <w:t xml:space="preserve">external variable. </w:t>
      </w:r>
      <w:r w:rsidRPr="00832F7C" w:rsidR="003C3CC1">
        <w:t xml:space="preserve">These inconsistencies in the application of the inclusion and exclusion strategy </w:t>
      </w:r>
      <w:r w:rsidRPr="00832F7C" w:rsidR="00BD1219">
        <w:t xml:space="preserve">were </w:t>
      </w:r>
      <w:r w:rsidRPr="00832F7C" w:rsidR="003C3CC1">
        <w:t xml:space="preserve">biased towards including larger effect sizes and omitting smaller ones. </w:t>
      </w:r>
      <w:r w:rsidRPr="00832F7C" w:rsidR="002E558B">
        <w:t xml:space="preserve">The averaging of these effect sizes for each </w:t>
      </w:r>
      <w:r w:rsidRPr="00832F7C" w:rsidR="00EA7DFA">
        <w:t xml:space="preserve">article </w:t>
      </w:r>
      <w:r w:rsidRPr="00832F7C" w:rsidR="002E558B">
        <w:t xml:space="preserve">was not </w:t>
      </w:r>
      <w:r w:rsidRPr="00832F7C" w:rsidR="00EA7DFA">
        <w:t xml:space="preserve">computationally </w:t>
      </w:r>
      <w:r w:rsidRPr="00832F7C" w:rsidR="002E558B">
        <w:t>reproducibl</w:t>
      </w:r>
      <w:r w:rsidRPr="00832F7C" w:rsidR="00EA7DFA">
        <w:t>e</w:t>
      </w:r>
      <w:r w:rsidRPr="00832F7C" w:rsidR="007F19D1">
        <w:t xml:space="preserve"> in</w:t>
      </w:r>
      <w:r w:rsidRPr="00832F7C" w:rsidR="00E93CCC">
        <w:t xml:space="preserve"> </w:t>
      </w:r>
      <w:r w:rsidRPr="00832F7C" w:rsidR="00B95E95">
        <w:t>13% of cases.</w:t>
      </w:r>
      <w:r w:rsidRPr="00832F7C" w:rsidR="00F1693C">
        <w:t xml:space="preserve"> </w:t>
      </w:r>
      <w:r w:rsidRPr="00832F7C" w:rsidR="002E558B">
        <w:t xml:space="preserve">The results of </w:t>
      </w:r>
      <w:r w:rsidRPr="00832F7C" w:rsidR="00896E27">
        <w:t xml:space="preserve">the </w:t>
      </w:r>
      <w:r w:rsidRPr="00832F7C" w:rsidR="002E558B">
        <w:t>meta-analysis could not be reproduced</w:t>
      </w:r>
      <w:r w:rsidRPr="00832F7C" w:rsidR="00933C23">
        <w:t xml:space="preserve"> despite numerous </w:t>
      </w:r>
      <w:r w:rsidRPr="00832F7C" w:rsidR="00B82B7F">
        <w:t xml:space="preserve">different </w:t>
      </w:r>
      <w:r w:rsidRPr="00832F7C" w:rsidR="00933C23">
        <w:t>attempts</w:t>
      </w:r>
      <w:r w:rsidRPr="00832F7C" w:rsidR="00EA7DFA">
        <w:t xml:space="preserve"> and approaches.</w:t>
      </w:r>
      <w:r w:rsidRPr="00832F7C" w:rsidR="00933C23">
        <w:t xml:space="preserve"> </w:t>
      </w:r>
      <w:r w:rsidRPr="00832F7C" w:rsidR="006D2D19">
        <w:t>The original p</w:t>
      </w:r>
      <w:r w:rsidRPr="00832F7C" w:rsidR="00B95E95">
        <w:t>ower analys</w:t>
      </w:r>
      <w:r w:rsidRPr="00832F7C" w:rsidR="00F04934">
        <w:t>e</w:t>
      </w:r>
      <w:r w:rsidRPr="00832F7C" w:rsidR="00B95E95">
        <w:t xml:space="preserve">s </w:t>
      </w:r>
      <w:r w:rsidRPr="00832F7C" w:rsidR="00F04934">
        <w:t>were mostly reproducible</w:t>
      </w:r>
      <w:r w:rsidRPr="00832F7C" w:rsidR="007F19D1">
        <w:t>,</w:t>
      </w:r>
      <w:r w:rsidRPr="00832F7C" w:rsidR="006D2D19">
        <w:t xml:space="preserve"> </w:t>
      </w:r>
      <w:r w:rsidRPr="00832F7C" w:rsidR="007F19D1">
        <w:t>h</w:t>
      </w:r>
      <w:r w:rsidRPr="00832F7C" w:rsidR="006D2D19">
        <w:t>owever</w:t>
      </w:r>
      <w:r w:rsidRPr="00832F7C" w:rsidR="00F04934">
        <w:t>,</w:t>
      </w:r>
      <w:r w:rsidRPr="00832F7C" w:rsidR="006D2D19">
        <w:t xml:space="preserve"> given the lack of reproducibility of the </w:t>
      </w:r>
      <w:r w:rsidRPr="00832F7C" w:rsidR="00F04934">
        <w:t>meta-analysis itself</w:t>
      </w:r>
      <w:r w:rsidRPr="00832F7C" w:rsidR="006D2D19">
        <w:t xml:space="preserve">, the </w:t>
      </w:r>
      <w:r w:rsidRPr="00832F7C" w:rsidR="00F04934">
        <w:t xml:space="preserve">validity of those </w:t>
      </w:r>
      <w:r w:rsidRPr="00832F7C" w:rsidR="006D2D19">
        <w:t>power analyses’ results</w:t>
      </w:r>
      <w:r w:rsidRPr="00832F7C" w:rsidR="00F04934">
        <w:t xml:space="preserve"> </w:t>
      </w:r>
      <w:r w:rsidRPr="00832F7C" w:rsidR="007F19D1">
        <w:t xml:space="preserve">based on that meta-analysis estimate </w:t>
      </w:r>
      <w:r w:rsidRPr="00832F7C" w:rsidR="00F04934">
        <w:t xml:space="preserve">was </w:t>
      </w:r>
      <w:r w:rsidRPr="00832F7C" w:rsidR="007F19D1">
        <w:t xml:space="preserve">fundamentally </w:t>
      </w:r>
      <w:r w:rsidRPr="00832F7C" w:rsidR="00F04934">
        <w:t>undermined</w:t>
      </w:r>
      <w:r w:rsidRPr="00832F7C" w:rsidR="006D2D19">
        <w:t xml:space="preserve">. </w:t>
      </w:r>
      <w:r w:rsidRPr="00832F7C">
        <w:t xml:space="preserve">This lack of reproducibility is consistent with what has been found elsewhere for meta-analyses: errors in data extraction and conversion are common, results are frequently not reproducible, and this is hindered by the unavailability of data and code </w:t>
      </w:r>
      <w:r w:rsidRPr="00832F7C">
        <w:fldChar w:fldCharType="begin"/>
      </w:r>
      <w:r w:rsidRPr="00832F7C" w:rsidR="003221C9">
        <w:instrText xml:space="preserve"> ADDIN ZOTERO_ITEM CSL_CITATION {"citationID":"oVz4Rtse","properties":{"formattedCitation":"(G\\uc0\\u248{}tzsche et al., 2007; Kadlec et al., 2023; Lakens et al., 2016, 2017; Maassen et al., 2020)","plainCitation":"(Gøtzsche et al., 2007; Kadlec et al., 2023; Lakens et al., 2016,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832F7C">
        <w:fldChar w:fldCharType="separate"/>
      </w:r>
      <w:r w:rsidRPr="00832F7C">
        <w:t>(Gøtzsche et al., 2007; Kadlec et al., 2023; Lakens et al., 2016, 2017; Maassen et al., 2020)</w:t>
      </w:r>
      <w:r w:rsidRPr="00832F7C">
        <w:fldChar w:fldCharType="end"/>
      </w:r>
      <w:r w:rsidRPr="00832F7C">
        <w:t xml:space="preserve">. </w:t>
      </w:r>
    </w:p>
    <w:p w:rsidR="00240F20" w:rsidRPr="00832F7C" w:rsidP="00D77465" w14:paraId="20D3CAD7" w14:textId="181367DF">
      <w:r w:rsidRPr="00832F7C">
        <w:t>After correcting th</w:t>
      </w:r>
      <w:r w:rsidRPr="00832F7C" w:rsidR="00F31469">
        <w:t>e above</w:t>
      </w:r>
      <w:r w:rsidRPr="00832F7C">
        <w:t xml:space="preserve"> issues, a</w:t>
      </w:r>
      <w:r w:rsidRPr="00832F7C" w:rsidR="006D2D19">
        <w:t xml:space="preserve"> new meta-analysis was conducted</w:t>
      </w:r>
      <w:r w:rsidRPr="00832F7C" w:rsidR="008926B3">
        <w:t xml:space="preserve"> </w:t>
      </w:r>
      <w:r w:rsidRPr="00832F7C" w:rsidR="008926B3">
        <w:t>in order to</w:t>
      </w:r>
      <w:r w:rsidRPr="00832F7C" w:rsidR="008926B3">
        <w:t xml:space="preserve"> </w:t>
      </w:r>
      <w:r w:rsidR="00C90C53">
        <w:t>illustrate</w:t>
      </w:r>
      <w:r w:rsidRPr="00832F7C" w:rsidR="008926B3">
        <w:t xml:space="preserve"> the combined impact of these issues on the </w:t>
      </w:r>
      <w:r w:rsidR="00C90C53">
        <w:t xml:space="preserve">original article’s </w:t>
      </w:r>
      <w:r w:rsidRPr="00832F7C" w:rsidR="008926B3">
        <w:t>conclusions</w:t>
      </w:r>
      <w:r w:rsidR="00FB2F03">
        <w:t xml:space="preserve"> (i.e., without</w:t>
      </w:r>
      <w:r w:rsidRPr="00832F7C" w:rsidR="00FB2F03">
        <w:t xml:space="preserve"> </w:t>
      </w:r>
      <w:r w:rsidR="00FB2F03">
        <w:t xml:space="preserve">endorsing </w:t>
      </w:r>
      <w:r w:rsidRPr="00832F7C" w:rsidR="00FB2F03">
        <w:t xml:space="preserve">the results of this new meta-analysis </w:t>
      </w:r>
      <w:r w:rsidR="00FB2F03">
        <w:t xml:space="preserve">as a valid estimate of the IRAP’s criterion validity, </w:t>
      </w:r>
      <w:r w:rsidRPr="00832F7C" w:rsidR="00FB2F03">
        <w:t xml:space="preserve">or </w:t>
      </w:r>
      <w:r w:rsidR="00FB2F03">
        <w:t xml:space="preserve">the results of the </w:t>
      </w:r>
      <w:r w:rsidRPr="00832F7C" w:rsidR="00FB2F03">
        <w:t>power analysis</w:t>
      </w:r>
      <w:r w:rsidR="00FB2F03">
        <w:t xml:space="preserve"> as genuine recommendations for sample size planning)</w:t>
      </w:r>
      <w:r w:rsidRPr="00832F7C" w:rsidR="008926B3">
        <w:t>.</w:t>
      </w:r>
      <w:r w:rsidRPr="00832F7C" w:rsidR="006D2D19">
        <w:t xml:space="preserve"> Results suggested a meta-effect size </w:t>
      </w:r>
      <w:r w:rsidRPr="00832F7C" w:rsidR="00D065B6">
        <w:t xml:space="preserve">of </w:t>
      </w:r>
      <m:oMath>
        <m:acc>
          <m:accPr>
            <m:chr m:val="̅"/>
            <m:ctrlPr>
              <w:rPr>
                <w:rFonts w:ascii="Cambria Math" w:hAnsi="Cambria Math"/>
                <w:i/>
              </w:rPr>
            </m:ctrlPr>
          </m:accPr>
          <m:e>
            <m:r>
              <w:rPr>
                <w:rFonts w:ascii="Cambria Math" w:hAnsi="Cambria Math"/>
              </w:rPr>
              <m:t>r</m:t>
            </m:r>
          </m:e>
        </m:acc>
      </m:oMath>
      <w:r w:rsidRPr="00832F7C" w:rsidR="00D065B6">
        <w:t xml:space="preserve"> = .22, </w:t>
      </w:r>
      <w:r w:rsidRPr="00832F7C" w:rsidR="006D2D19">
        <w:t xml:space="preserve">less than half that reported in </w:t>
      </w:r>
      <w:r w:rsidRPr="00832F7C" w:rsidR="00D065B6">
        <w:t>the original article (</w:t>
      </w:r>
      <m:oMath>
        <m:acc>
          <m:accPr>
            <m:chr m:val="̅"/>
            <m:ctrlPr>
              <w:rPr>
                <w:rFonts w:ascii="Cambria Math" w:hAnsi="Cambria Math"/>
                <w:i/>
              </w:rPr>
            </m:ctrlPr>
          </m:accPr>
          <m:e>
            <m:r>
              <w:rPr>
                <w:rFonts w:ascii="Cambria Math" w:hAnsi="Cambria Math"/>
              </w:rPr>
              <m:t>r</m:t>
            </m:r>
          </m:e>
        </m:acc>
      </m:oMath>
      <w:r w:rsidRPr="00832F7C" w:rsidR="00D065B6">
        <w:t xml:space="preserve"> = .45)</w:t>
      </w:r>
      <w:r w:rsidRPr="00832F7C" w:rsidR="00672A84">
        <w:t>.</w:t>
      </w:r>
      <w:r w:rsidRPr="00832F7C" w:rsidR="006D2D19">
        <w:t xml:space="preserve"> </w:t>
      </w:r>
      <w:r w:rsidRPr="00832F7C">
        <w:t>Vahey et al. (2015) stated that</w:t>
      </w:r>
      <w:r w:rsidRPr="00832F7C" w:rsidR="00D065B6">
        <w:t>, according to their results,</w:t>
      </w:r>
      <w:r w:rsidRPr="00832F7C">
        <w:t xml:space="preserve"> the IRAP</w:t>
      </w:r>
      <w:r w:rsidR="008076CB">
        <w:t>’</w:t>
      </w:r>
      <w:r w:rsidRPr="00832F7C">
        <w:t xml:space="preserve">s criterion validity compares </w:t>
      </w:r>
      <w:r w:rsidRPr="00832F7C" w:rsidR="00EE0367">
        <w:t>“</w:t>
      </w:r>
      <w:r w:rsidRPr="00832F7C">
        <w:t>favorably</w:t>
      </w:r>
      <w:r w:rsidRPr="00832F7C" w:rsidR="00EE0367">
        <w:t>”</w:t>
      </w:r>
      <w:r w:rsidRPr="00832F7C">
        <w:t xml:space="preserve"> to the other popular implicit measures such </w:t>
      </w:r>
      <w:r w:rsidRPr="00832F7C">
        <w:t>as the Implicit Association Test (</w:t>
      </w:r>
      <m:oMath>
        <m:acc>
          <m:accPr>
            <m:chr m:val="̅"/>
            <m:ctrlPr>
              <w:rPr>
                <w:rFonts w:ascii="Cambria Math" w:hAnsi="Cambria Math"/>
                <w:i/>
              </w:rPr>
            </m:ctrlPr>
          </m:accPr>
          <m:e>
            <m:r>
              <w:rPr>
                <w:rFonts w:ascii="Cambria Math" w:hAnsi="Cambria Math"/>
              </w:rPr>
              <m:t>r</m:t>
            </m:r>
          </m:e>
        </m:acc>
      </m:oMath>
      <w:r w:rsidRPr="00832F7C">
        <w:t xml:space="preserve"> = .22 for addiction and </w:t>
      </w:r>
      <m:oMath>
        <m:acc>
          <m:accPr>
            <m:chr m:val="̅"/>
            <m:ctrlPr>
              <w:rPr>
                <w:rFonts w:ascii="Cambria Math" w:hAnsi="Cambria Math"/>
                <w:i/>
              </w:rPr>
            </m:ctrlPr>
          </m:accPr>
          <m:e>
            <m:r>
              <w:rPr>
                <w:rFonts w:ascii="Cambria Math" w:hAnsi="Cambria Math"/>
              </w:rPr>
              <m:t>r</m:t>
            </m:r>
          </m:e>
        </m:acc>
      </m:oMath>
      <w:r w:rsidRPr="00832F7C">
        <w:t xml:space="preserve"> = .30 for non-addiction psychopathologies: Greenwald et al., 2009) and evaluative priming methods (</w:t>
      </w:r>
      <m:oMath>
        <m:acc>
          <m:accPr>
            <m:chr m:val="̅"/>
            <m:ctrlPr>
              <w:rPr>
                <w:rFonts w:ascii="Cambria Math" w:hAnsi="Cambria Math"/>
                <w:i/>
              </w:rPr>
            </m:ctrlPr>
          </m:accPr>
          <m:e>
            <m:r>
              <w:rPr>
                <w:rFonts w:ascii="Cambria Math" w:hAnsi="Cambria Math"/>
              </w:rPr>
              <m:t>r</m:t>
            </m:r>
          </m:e>
        </m:acc>
      </m:oMath>
      <w:r w:rsidRPr="00832F7C">
        <w:t xml:space="preserve">s = .18 to .28: Cameron et al. 2012; Herring et al., 2013; Rooke et al., 2008). </w:t>
      </w:r>
      <w:r w:rsidRPr="00832F7C" w:rsidR="00D065B6">
        <w:t>Without endorsing the updated meta-analysis, by Vahey et al.’s (2015) line of argument, the current results suggest that the IRAP is therefore on par with other such measures rather than superior to them</w:t>
      </w:r>
      <w:r w:rsidRPr="00832F7C">
        <w:t>.</w:t>
      </w:r>
      <w:r w:rsidRPr="00832F7C" w:rsidR="00707292">
        <w:t xml:space="preserve"> </w:t>
      </w:r>
    </w:p>
    <w:p w:rsidR="00713BF8" w:rsidP="004D6692" w14:paraId="1B01930F" w14:textId="3EDAC952">
      <w:r w:rsidRPr="00832F7C">
        <w:t xml:space="preserve">New power analyses </w:t>
      </w:r>
      <w:r w:rsidRPr="00832F7C" w:rsidR="006975DC">
        <w:t xml:space="preserve">mirroring the original ones were then conducted using this new meta-analytic effect size. These </w:t>
      </w:r>
      <w:r w:rsidRPr="00832F7C">
        <w:t>suggest</w:t>
      </w:r>
      <w:r w:rsidRPr="00832F7C" w:rsidR="00D3019A">
        <w:t>ed</w:t>
      </w:r>
      <w:r w:rsidRPr="00832F7C">
        <w:t xml:space="preserve"> that a much larger number of participants is required</w:t>
      </w:r>
      <w:r w:rsidRPr="00832F7C" w:rsidR="00D3019A">
        <w:t xml:space="preserve"> </w:t>
      </w:r>
      <w:r w:rsidRPr="00832F7C" w:rsidR="006975DC">
        <w:t xml:space="preserve">in future IRAP studies </w:t>
      </w:r>
      <w:r w:rsidRPr="00832F7C" w:rsidR="00D3019A">
        <w:t>than recommended</w:t>
      </w:r>
      <w:r w:rsidRPr="00832F7C" w:rsidR="006975DC">
        <w:t xml:space="preserve"> </w:t>
      </w:r>
      <w:r w:rsidR="003850ED">
        <w:t>in</w:t>
      </w:r>
      <w:r w:rsidRPr="00832F7C" w:rsidR="006975DC">
        <w:t xml:space="preserve"> Vahey et al. (2015)</w:t>
      </w:r>
      <w:r w:rsidRPr="00832F7C" w:rsidR="00D3019A">
        <w:t xml:space="preserve">. For example, </w:t>
      </w:r>
      <w:r w:rsidRPr="00832F7C" w:rsidR="00F055F7">
        <w:t>although sample size recommendations for several different analyses and designs</w:t>
      </w:r>
      <w:r w:rsidR="003850ED">
        <w:t xml:space="preserve"> were reported in </w:t>
      </w:r>
      <w:r w:rsidRPr="00832F7C" w:rsidR="003850ED">
        <w:t>Vahey et al. (2015)</w:t>
      </w:r>
      <w:r w:rsidRPr="00832F7C" w:rsidR="00F055F7">
        <w:t xml:space="preserve">, it is most frequently cited for the specific recommendation of </w:t>
      </w:r>
      <w:r w:rsidR="00374EDC">
        <w:t>“</w:t>
      </w:r>
      <w:r w:rsidRPr="00832F7C" w:rsidR="006975DC">
        <w:rPr>
          <w:i/>
          <w:iCs/>
        </w:rPr>
        <w:t>N</w:t>
      </w:r>
      <w:r w:rsidRPr="00832F7C" w:rsidR="006975DC">
        <w:t xml:space="preserve"> &gt; </w:t>
      </w:r>
      <w:r w:rsidRPr="00832F7C" w:rsidR="00D3019A">
        <w:t>37</w:t>
      </w:r>
      <w:r w:rsidR="00374EDC">
        <w:t>” (i.e.,</w:t>
      </w:r>
      <w:r w:rsidRPr="00832F7C" w:rsidR="00F055F7">
        <w:t xml:space="preserve"> </w:t>
      </w:r>
      <w:r w:rsidRPr="00832F7C" w:rsidR="006975DC">
        <w:t xml:space="preserve">to detect a </w:t>
      </w:r>
      <w:r w:rsidRPr="00832F7C" w:rsidR="00D3019A">
        <w:t>first-order correlation</w:t>
      </w:r>
      <w:r w:rsidR="00374EDC">
        <w:t xml:space="preserve">, </w:t>
      </w:r>
      <w:r w:rsidRPr="00832F7C" w:rsidR="00F055F7">
        <w:t xml:space="preserve">alpha = 0.5, one-tailed, 80% </w:t>
      </w:r>
      <w:r w:rsidRPr="00832F7C" w:rsidR="00F055F7">
        <w:t>power;</w:t>
      </w:r>
      <w:r w:rsidRPr="00832F7C" w:rsidR="00F055F7">
        <w:t xml:space="preserve"> e.g., Kavanagh </w:t>
      </w:r>
      <w:r w:rsidRPr="00832F7C" w:rsidR="006D38BA">
        <w:t>et al. 2022</w:t>
      </w:r>
      <w:r w:rsidRPr="00832F7C" w:rsidR="00F055F7">
        <w:t>). T</w:t>
      </w:r>
      <w:r w:rsidRPr="00832F7C" w:rsidR="00D3019A">
        <w:t xml:space="preserve">he </w:t>
      </w:r>
      <w:r w:rsidRPr="00832F7C" w:rsidR="00F055F7">
        <w:t xml:space="preserve">sample size recommendation based on the updated meta-analytic effect size is </w:t>
      </w:r>
      <w:r w:rsidRPr="00832F7C" w:rsidR="00F055F7">
        <w:rPr>
          <w:i/>
          <w:iCs/>
        </w:rPr>
        <w:t>N</w:t>
      </w:r>
      <w:r w:rsidRPr="00832F7C" w:rsidR="00F055F7">
        <w:t xml:space="preserve"> &gt; </w:t>
      </w:r>
      <w:r w:rsidRPr="00832F7C" w:rsidR="00FE6607">
        <w:t xml:space="preserve">273 for a one-tailed correlation, and 346 for the much more commonly used </w:t>
      </w:r>
      <w:r w:rsidRPr="00832F7C" w:rsidR="007A2826">
        <w:t xml:space="preserve">and less liberal </w:t>
      </w:r>
      <w:r w:rsidRPr="00832F7C" w:rsidR="00FE6607">
        <w:t>two-tailed correlation</w:t>
      </w:r>
      <w:r w:rsidRPr="00832F7C" w:rsidR="00F055F7">
        <w:t xml:space="preserve">. It is worth noting that </w:t>
      </w:r>
      <w:r w:rsidRPr="00832F7C">
        <w:t xml:space="preserve">between 0% and 2.1% of </w:t>
      </w:r>
      <w:r w:rsidRPr="00832F7C" w:rsidR="00F055F7">
        <w:t xml:space="preserve">published </w:t>
      </w:r>
      <w:r w:rsidRPr="00832F7C">
        <w:t xml:space="preserve">original research using the </w:t>
      </w:r>
      <w:r w:rsidRPr="00832F7C" w:rsidR="00F055F7">
        <w:t xml:space="preserve">IRAP </w:t>
      </w:r>
      <w:r w:rsidRPr="00832F7C" w:rsidR="00270AEF">
        <w:t xml:space="preserve">has </w:t>
      </w:r>
      <w:r w:rsidRPr="00832F7C" w:rsidR="00F055F7">
        <w:t xml:space="preserve">included </w:t>
      </w:r>
      <w:r w:rsidRPr="00832F7C">
        <w:t xml:space="preserve">sample size meeting these </w:t>
      </w:r>
      <w:r w:rsidRPr="00832F7C" w:rsidR="004A2544">
        <w:t>criteria</w:t>
      </w:r>
      <w:r w:rsidRPr="00832F7C" w:rsidR="00DD32AB">
        <w:t xml:space="preserve">, according to a recent systematic review of </w:t>
      </w:r>
      <w:r w:rsidRPr="00832F7C" w:rsidR="001B3064">
        <w:t>IRAP</w:t>
      </w:r>
      <w:r w:rsidRPr="00832F7C" w:rsidR="00DD32AB">
        <w:t xml:space="preserve"> research </w:t>
      </w:r>
      <w:r w:rsidRPr="00832F7C" w:rsidR="001B3064">
        <w:t xml:space="preserve">published between 2006 and 2022 </w:t>
      </w:r>
      <w:r w:rsidRPr="00832F7C" w:rsidR="007F77A7">
        <w:fldChar w:fldCharType="begin"/>
      </w:r>
      <w:r w:rsidRPr="00832F7C" w:rsidR="001B1ED8">
        <w:instrText xml:space="preserve"> ADDIN ZOTERO_ITEM CSL_CITATION {"citationID":"okLHLOkX","properties":{"formattedCitation":"(188 studies in 150 publications, median N = 41, range = 9 to 210: Hussey, 2023)","plainCitation":"(188 studies in 150 publications, median N = 41, range = 9 to 210: Hussey, 2023)","noteIndex":0},"citationItems":[{"id":5224,"uris":["http://zotero.org/users/1687755/items/V6AXJF9Q"],"itemData":{"id":5224,"type":"article-journal","abstract":"Following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Procedure","volume":"29","author":[{"family":"Hussey","given":"Ian"}],"issued":{"date-parts":[["2023",7,1]]}},"label":"page","prefix":"188 studies in 150 publications, median N = 41, range = 9 to 210: "}],"schema":"https://github.com/citation-style-language/schema/raw/master/csl-citation.json"} </w:instrText>
      </w:r>
      <w:r w:rsidRPr="00832F7C" w:rsidR="007F77A7">
        <w:fldChar w:fldCharType="separate"/>
      </w:r>
      <w:r w:rsidRPr="00832F7C" w:rsidR="001B1ED8">
        <w:rPr>
          <w:noProof/>
        </w:rPr>
        <w:t xml:space="preserve">(188 studies in 150 publications, median </w:t>
      </w:r>
      <w:r w:rsidRPr="00832F7C" w:rsidR="001B1ED8">
        <w:rPr>
          <w:i/>
          <w:iCs/>
          <w:noProof/>
        </w:rPr>
        <w:t>N</w:t>
      </w:r>
      <w:r w:rsidRPr="00832F7C" w:rsidR="001B1ED8">
        <w:rPr>
          <w:noProof/>
        </w:rPr>
        <w:t xml:space="preserve"> = 41, range = 9 to 210: Hussey, 2023)</w:t>
      </w:r>
      <w:r w:rsidRPr="00832F7C" w:rsidR="007F77A7">
        <w:fldChar w:fldCharType="end"/>
      </w:r>
      <w:r w:rsidRPr="00832F7C" w:rsidR="002D63BA">
        <w:t>.</w:t>
      </w:r>
      <w:r w:rsidRPr="00832F7C" w:rsidR="00276883">
        <w:t xml:space="preserve"> </w:t>
      </w:r>
    </w:p>
    <w:p w:rsidR="00991577" w:rsidRPr="00832F7C" w:rsidP="00555E75" w14:paraId="7E9C94F8" w14:textId="4E02C6D6">
      <w:r>
        <w:t xml:space="preserve">With that said, it is important to reiterate that the purpose of the new meta-analysis and power analyses is to illustrate the compound impact of the observed errors on the results and to illustrate that, by the original article's logic, the IRAP literature is in general underpowered. This should not be mistaken for an endorsement of the results of as a more accurate or valid estimate of the IRAP's criterion validity. The most important reason for this that </w:t>
      </w:r>
      <w:r>
        <w:t>the</w:t>
      </w:r>
      <w:r>
        <w:t xml:space="preserve"> analytic strategy employed in Vahey et al. (2015) and reproduced here </w:t>
      </w:r>
      <w:r w:rsidRPr="00CB5DB8">
        <w:t>pool</w:t>
      </w:r>
      <w:r>
        <w:t>s</w:t>
      </w:r>
      <w:r w:rsidRPr="00CB5DB8">
        <w:t xml:space="preserve"> effect sizes </w:t>
      </w:r>
      <w:r>
        <w:t xml:space="preserve">with </w:t>
      </w:r>
      <w:r w:rsidRPr="00CB5DB8">
        <w:t xml:space="preserve">distinct </w:t>
      </w:r>
      <w:r w:rsidRPr="00CB5DB8">
        <w:t>estimand</w:t>
      </w:r>
      <w:r>
        <w:t>s</w:t>
      </w:r>
      <w:r>
        <w:t xml:space="preserve">. Although it is mathematically possible to convert some of these effect sizes to a common scale such as Pearson’s </w:t>
      </w:r>
      <w:r w:rsidRPr="00713BF8">
        <w:rPr>
          <w:i/>
          <w:iCs/>
        </w:rPr>
        <w:t>r</w:t>
      </w:r>
      <w:r>
        <w:t xml:space="preserve"> (with the exceptions of the partialized </w:t>
      </w:r>
      <w:r>
        <w:t xml:space="preserve">effect sizes that were erroneously converted, as discussed previously), this does not mean that these effect sizes have a common </w:t>
      </w:r>
      <w:r>
        <w:t>estimand</w:t>
      </w:r>
      <w:r>
        <w:t xml:space="preserve">. </w:t>
      </w:r>
      <w:r w:rsidR="00755555">
        <w:t>That is, they</w:t>
      </w:r>
      <w:r w:rsidR="008A1FC9">
        <w:t xml:space="preserve"> </w:t>
      </w:r>
      <w:r w:rsidR="00755555">
        <w:t xml:space="preserve">estimate </w:t>
      </w:r>
      <w:r w:rsidR="008A1FC9">
        <w:t xml:space="preserve">fundamentally different </w:t>
      </w:r>
      <w:r w:rsidR="00755555">
        <w:t>propert</w:t>
      </w:r>
      <w:r w:rsidR="008A1FC9">
        <w:t>ies</w:t>
      </w:r>
      <w:r w:rsidR="00755555">
        <w:t xml:space="preserve">. </w:t>
      </w:r>
      <w:r w:rsidR="00DE71D3">
        <w:t xml:space="preserve">As </w:t>
      </w:r>
      <w:r w:rsidR="00DE71D3">
        <w:t>Borenstein</w:t>
      </w:r>
      <w:r w:rsidR="00DE71D3">
        <w:t xml:space="preserve"> et al. </w:t>
      </w:r>
      <w:r w:rsidR="00DE71D3">
        <w:fldChar w:fldCharType="begin"/>
      </w:r>
      <w:r w:rsidR="002F1ECA">
        <w:instrText xml:space="preserve"> ADDIN ZOTERO_ITEM CSL_CITATION {"citationID":"isZsvl7P","properties":{"formattedCitation":"(2009)","plainCitation":"(2009)","noteIndex":0},"citationItems":[{"id":30422,"uris":["http://zotero.org/users/1687755/items/7CEN9H99"],"itemData":{"id":30422,"type":"book","publisher":"John Wiley &amp; Sons","title":"Introduction to meta-analysis","author":[{"family":"Borenstein","given":"Michael"},{"family":"Hedges","given":"Larry V"},{"family":"Higgins","given":"Julian PT"},{"family":"Rothstein","given":"Hannah R"}],"issued":{"date-parts":[["2009"]]}},"label":"page","suppress-author":true}],"schema":"https://github.com/citation-style-language/schema/raw/master/csl-citation.json"} </w:instrText>
      </w:r>
      <w:r w:rsidR="00DE71D3">
        <w:fldChar w:fldCharType="separate"/>
      </w:r>
      <w:r w:rsidR="002F1ECA">
        <w:rPr>
          <w:noProof/>
        </w:rPr>
        <w:t>(2009)</w:t>
      </w:r>
      <w:r w:rsidR="00DE71D3">
        <w:fldChar w:fldCharType="end"/>
      </w:r>
      <w:r w:rsidR="00DE71D3">
        <w:t xml:space="preserve"> put it: </w:t>
      </w:r>
      <w:r w:rsidRPr="00DE71D3" w:rsidR="00DE71D3">
        <w:rPr>
          <w:lang w:val=""/>
        </w:rPr>
        <w:t>“even if there is no technical barrier to converting the effects to a common metric, it may be a bad idea from a substantive perspective”</w:t>
      </w:r>
      <w:r w:rsidR="002F1ECA">
        <w:rPr>
          <w:lang w:val=""/>
        </w:rPr>
        <w:t xml:space="preserve"> (</w:t>
      </w:r>
      <w:r w:rsidRPr="002F1ECA" w:rsidR="002F1ECA">
        <w:rPr>
          <w:lang w:val=""/>
        </w:rPr>
        <w:t>p. 46</w:t>
      </w:r>
      <w:r w:rsidR="002F1ECA">
        <w:rPr>
          <w:lang w:val=""/>
        </w:rPr>
        <w:t>).</w:t>
      </w:r>
      <w:r w:rsidR="00350350">
        <w:rPr>
          <w:lang w:val=""/>
        </w:rPr>
        <w:t xml:space="preserve"> </w:t>
      </w:r>
      <w:r w:rsidR="003C2F61">
        <w:t>Additionally, the effect sizes themselves are often derived from different IRAP data (e.g., single trial types, multiple different forms of averaged trial types)</w:t>
      </w:r>
      <w:r w:rsidR="003C2F61">
        <w:t xml:space="preserve">, again changing the </w:t>
      </w:r>
      <w:r w:rsidR="003C2F61">
        <w:t>estimand</w:t>
      </w:r>
      <w:r w:rsidR="003C2F61">
        <w:t xml:space="preserve"> (e.g., from the IRAP’s criterion validity to the criterion validity of one or more trial types on a </w:t>
      </w:r>
      <w:r w:rsidRPr="005A4571" w:rsidR="003C2F61">
        <w:t xml:space="preserve">given IRAP while ignoring the remaining trial types). </w:t>
      </w:r>
      <w:r w:rsidRPr="005A4571" w:rsidR="008F528C">
        <w:t>Additionally, all the following effects were meta-</w:t>
      </w:r>
      <w:r w:rsidRPr="005A4571" w:rsidR="008F528C">
        <w:t>analyzed</w:t>
      </w:r>
      <w:r w:rsidRPr="005A4571" w:rsidR="008F528C">
        <w:t xml:space="preserve"> together: effect sizes representing the magnitude of the compatibility effect on the IRAP itself, interaction effects between IRAP trial types and group allocations, and correlations between IRAP trial types and criterion tasks. In doing so, different types of IRAP data were combined as one: data from single trial-types, overall effects for the whole task, and effects averaging the trial types in different ways. Lastly, effects treating the IRAP as the dependent variable, the independent variable, and purely associative effects were combined as one. It is exceptionally difficult to know what the resulting meta-</w:t>
      </w:r>
      <w:r w:rsidRPr="005A4571" w:rsidR="008F528C">
        <w:t>analyzed</w:t>
      </w:r>
      <w:r w:rsidRPr="005A4571" w:rsidR="008F528C">
        <w:t xml:space="preserve"> effect size is an estimate </w:t>
      </w:r>
      <w:r w:rsidRPr="005A4571" w:rsidR="008F528C">
        <w:rPr>
          <w:i/>
          <w:iCs/>
        </w:rPr>
        <w:t>of</w:t>
      </w:r>
      <w:r w:rsidRPr="005A4571" w:rsidR="008F528C">
        <w:t xml:space="preserve">, i.e. what the </w:t>
      </w:r>
      <w:r w:rsidRPr="005A4571" w:rsidR="008F528C">
        <w:t>estimand</w:t>
      </w:r>
      <w:r w:rsidRPr="005A4571" w:rsidR="008F528C">
        <w:t xml:space="preserve"> is, and whether it applies to the type of effect that a researcher may wish to observe in their own future work. For example, to what degree is the interaction effect between a depression IRAP’s trial types and high vs. low experiential-avoidance group informative to a separate study on the correlation between self-reported self-esteem and a self-esteem IRAP in a prisoner population?</w:t>
      </w:r>
      <w:r w:rsidR="005A4571">
        <w:t xml:space="preserve"> Even if all implementational issues with the original analysis were fixed, I would argue that t</w:t>
      </w:r>
      <w:r w:rsidR="003C2F61">
        <w:t xml:space="preserve">his ‘apples and oranges’ approach </w:t>
      </w:r>
      <w:r w:rsidR="00707242">
        <w:t xml:space="preserve">to pooling effect sizes </w:t>
      </w:r>
      <w:r w:rsidR="005A4571">
        <w:t xml:space="preserve">fundamentally </w:t>
      </w:r>
      <w:r w:rsidR="00707242">
        <w:t xml:space="preserve">undermines the interpretability </w:t>
      </w:r>
      <w:r w:rsidR="00C36A29">
        <w:t xml:space="preserve">and validity </w:t>
      </w:r>
      <w:r w:rsidR="00707242">
        <w:t>of the result</w:t>
      </w:r>
      <w:r w:rsidR="00555E75">
        <w:t xml:space="preserve">s and leads to misleading conclusions. </w:t>
      </w:r>
      <w:r w:rsidRPr="00020079" w:rsidR="00555E75">
        <w:t xml:space="preserve">Nonetheless, </w:t>
      </w:r>
      <w:r w:rsidRPr="00020079" w:rsidR="00C00461">
        <w:t xml:space="preserve">the point of the verifications presented here is to highlight that the </w:t>
      </w:r>
      <w:r w:rsidRPr="00020079" w:rsidR="00C00461">
        <w:t xml:space="preserve">erroneous analytic approach </w:t>
      </w:r>
      <w:r w:rsidRPr="00020079" w:rsidR="00555E75">
        <w:t xml:space="preserve">reported in Vahey et al. (2015) </w:t>
      </w:r>
      <w:r w:rsidRPr="00020079" w:rsidR="00C00461">
        <w:t>was also erroneously implemented.</w:t>
      </w:r>
    </w:p>
    <w:p w:rsidR="00A261A9" w:rsidRPr="00832F7C" w:rsidP="00D77465" w14:paraId="580BE78D" w14:textId="77777777">
      <w:pPr>
        <w:pStyle w:val="Heading2"/>
      </w:pPr>
      <w:r w:rsidRPr="00832F7C">
        <w:t>Limitations</w:t>
      </w:r>
    </w:p>
    <w:p w:rsidR="00625E20" w:rsidRPr="00832F7C" w:rsidP="005F6E05" w14:paraId="06487620" w14:textId="7103D8E8">
      <w:r w:rsidRPr="00832F7C">
        <w:t xml:space="preserve">It </w:t>
      </w:r>
      <w:r w:rsidRPr="00832F7C" w:rsidR="002760FA">
        <w:t xml:space="preserve">is possible that </w:t>
      </w:r>
      <w:r w:rsidRPr="00832F7C" w:rsidR="00171EBC">
        <w:t xml:space="preserve">these verification analyses themselves contain errors. The purpose of a verification report is to attempt to independently verify the results presented in the original article and do not represent the last word on error detection. </w:t>
      </w:r>
      <w:r w:rsidRPr="00832F7C" w:rsidR="00E4650E">
        <w:t xml:space="preserve">Equally, perhaps there is some way to reproduce the original results (e.g., of the meta-analysis) in a way that I have not considered, and my not being able to reproduce them does not necessarily mean they are non-reproducible in some absolute manner. </w:t>
      </w:r>
      <w:r w:rsidRPr="00832F7C" w:rsidR="005328E2">
        <w:t>V</w:t>
      </w:r>
      <w:r w:rsidRPr="00832F7C" w:rsidR="00D85DD8">
        <w:t xml:space="preserve">erification attempts </w:t>
      </w:r>
      <w:r w:rsidRPr="00832F7C" w:rsidR="005328E2">
        <w:t xml:space="preserve">are in general enhanced with </w:t>
      </w:r>
      <w:r w:rsidRPr="00832F7C" w:rsidR="00D85DD8">
        <w:t>access to the original code. Unfortunately, however, the first</w:t>
      </w:r>
      <w:r w:rsidR="00161677">
        <w:t xml:space="preserve">-and-corresponding </w:t>
      </w:r>
      <w:r w:rsidRPr="00832F7C" w:rsidR="00D85DD8">
        <w:t>author of the original article declined to share their code</w:t>
      </w:r>
      <w:r w:rsidR="00161677">
        <w:t xml:space="preserve"> (see the ‘Correspondence and source of the original code’ section)</w:t>
      </w:r>
      <w:r w:rsidRPr="00832F7C" w:rsidR="00D85DD8">
        <w:t xml:space="preserve">. </w:t>
      </w:r>
    </w:p>
    <w:p w:rsidR="00F545F5" w:rsidRPr="00832F7C" w:rsidP="00D77465" w14:paraId="48166842" w14:textId="2FD7D664">
      <w:pPr>
        <w:pStyle w:val="Heading2"/>
      </w:pPr>
      <w:r w:rsidRPr="00832F7C">
        <w:t>Future research on error detection in meta-analyses</w:t>
      </w:r>
    </w:p>
    <w:p w:rsidR="00F545F5" w:rsidRPr="00832F7C" w:rsidP="00D77465" w14:paraId="1EAA7ABB" w14:textId="77777777">
      <w:r w:rsidRPr="00832F7C">
        <w:t xml:space="preserve">The recommendations of much of the previous meta-science research on errors in meta-analyses have been recommendations to the authors of meta-analyses themselves on how to prevent errors </w:t>
      </w:r>
      <w:r w:rsidRPr="00832F7C">
        <w:fldChar w:fldCharType="begin"/>
      </w:r>
      <w:r w:rsidRPr="00832F7C">
        <w:instrText xml:space="preserve"> ADDIN ZOTERO_ITEM CSL_CITATION {"citationID":"NMi38YbJ","properties":{"formattedCitation":"(e.g., Lakens et al., 2016; L\\uc0\\u243{}pez-Nicol\\uc0\\u225{}s et al., 2022)","plainCitation":"(e.g., Lakens et al., 2016; López-Nicolás et al., 2022)","noteIndex":0},"citationItems":[{"id":393,"uris":["http://zotero.org/users/1687755/items/P27AF84W"],"itemData":{"id":393,"type":"article-journal","abstract":"Meta-analyses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meta-analyses","volume":"4","author":[{"family":"Lakens","given":"Daniël"},{"family":"Hilgard","given":"Joe"},{"family":"Staaks","given":"Janneke"}],"issued":{"date-parts":[["2016",5,31]]}},"label":"page","prefix":"e.g., "},{"id":4600,"uris":["http://zotero.org/users/1687755/items/MH7F7IGH"],"itemData":{"id":4600,"type":"article-journal","abstract":"Meta-analysis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rsidRPr="00832F7C">
        <w:fldChar w:fldCharType="separate"/>
      </w:r>
      <w:r w:rsidRPr="00832F7C">
        <w:t>(e.g., Lakens et al., 2016; López-Nicolás et al., 2022)</w:t>
      </w:r>
      <w:r w:rsidRPr="00832F7C">
        <w:fldChar w:fldCharType="end"/>
      </w:r>
      <w:r w:rsidRPr="00832F7C">
        <w:t xml:space="preserve">. Relatively fewer recommendations, or indeed general strategies, have been made for researchers engaged in error detection. Kadlec et al. </w:t>
      </w:r>
      <w:r w:rsidRPr="00832F7C">
        <w:fldChar w:fldCharType="begin"/>
      </w:r>
      <w:r w:rsidRPr="00832F7C">
        <w:instrText xml:space="preserve"> ADDIN ZOTERO_ITEM CSL_CITATION {"citationID":"4O3TYDeD","properties":{"formattedCitation":"(2023)","plainCitation":"(2023)","noteIndex":0},"citationItems":[{"id":54,"uris":["http://zotero.org/users/1687755/items/WWKVT2EA"],"itemData":{"id":54,"type":"article-journal","abstract":"Meta-analysis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L."},{"family":"Nimphius","given":"Sophia"}],"issued":{"date-parts":[["2023",2,1]]}},"label":"page","suppress-author":true}],"schema":"https://github.com/citation-style-language/schema/raw/master/csl-citation.json"} </w:instrText>
      </w:r>
      <w:r w:rsidRPr="00832F7C">
        <w:fldChar w:fldCharType="separate"/>
      </w:r>
      <w:r w:rsidRPr="00832F7C">
        <w:rPr>
          <w:noProof/>
        </w:rPr>
        <w:t>(2023)</w:t>
      </w:r>
      <w:r w:rsidRPr="00832F7C">
        <w:fldChar w:fldCharType="end"/>
      </w:r>
      <w:r w:rsidRPr="00832F7C">
        <w:t xml:space="preserve"> provide an excellent example of this, with both descriptions of their general error detection strategies and concrete recommendations such as regarding Standardized Mean Difference effect sizes (e.g., Cohen’s </w:t>
      </w:r>
      <w:r w:rsidRPr="00832F7C">
        <w:rPr>
          <w:i/>
          <w:iCs/>
        </w:rPr>
        <w:t>d</w:t>
      </w:r>
      <w:r w:rsidRPr="00832F7C">
        <w:t xml:space="preserve">, Hedges’ </w:t>
      </w:r>
      <w:r w:rsidRPr="00832F7C">
        <w:rPr>
          <w:i/>
          <w:iCs/>
        </w:rPr>
        <w:t>g</w:t>
      </w:r>
      <w:r w:rsidRPr="00832F7C">
        <w:t>) that are larger than 3 with great suspicion. The current research offers some additional suggestions and guiding principles for error detection in meta-analyses:</w:t>
      </w:r>
    </w:p>
    <w:p w:rsidR="00F545F5" w:rsidRPr="00832F7C" w:rsidP="00D77465" w14:paraId="0D3307BE" w14:textId="77777777">
      <w:pPr>
        <w:pStyle w:val="ListParagraph"/>
        <w:numPr>
          <w:ilvl w:val="0"/>
          <w:numId w:val="5"/>
        </w:numPr>
      </w:pPr>
      <w:r w:rsidRPr="00832F7C">
        <w:t xml:space="preserve">Check whether reported intervals are symmetrical around the point estimate, including both intervals around estimates from original studies and meta-analysis </w:t>
      </w:r>
      <w:r w:rsidRPr="00832F7C">
        <w:t xml:space="preserve">results. The asymmetry of intervals can provide a clue that something may be amiss, depending on their compatibility with the reported model and transformations. </w:t>
      </w:r>
    </w:p>
    <w:p w:rsidR="0014779F" w:rsidRPr="00832F7C" w:rsidP="00D77465" w14:paraId="79BCB326" w14:textId="77777777">
      <w:pPr>
        <w:pStyle w:val="ListParagraph"/>
        <w:numPr>
          <w:ilvl w:val="0"/>
          <w:numId w:val="5"/>
        </w:numPr>
      </w:pPr>
      <w:r w:rsidRPr="00832F7C">
        <w:t>Plots that appear to have been created using software other than commonly employed meta-analysis software (e.g., common R packages for this, Cochrane’s RevMan, Comprehensive Meta-Analysis, etc) may be more likely to contain or expose errors</w:t>
      </w:r>
      <w:r w:rsidRPr="00832F7C" w:rsidR="00841B98">
        <w:t xml:space="preserve">. </w:t>
      </w:r>
    </w:p>
    <w:p w:rsidR="00F545F5" w:rsidRPr="00832F7C" w:rsidP="00D77465" w14:paraId="5731C2AC" w14:textId="2FA84543">
      <w:pPr>
        <w:pStyle w:val="ListParagraph"/>
        <w:numPr>
          <w:ilvl w:val="0"/>
          <w:numId w:val="5"/>
        </w:numPr>
      </w:pPr>
      <w:r w:rsidRPr="00832F7C">
        <w:t xml:space="preserve">Information is sometimes repeated between plots and tables, e.g., between forest and funnel plots. This provides a vector for error-checking that data points which should be identical are indeed so. For example, forest plots often present effect sizes both graphically and numerically, and forest plots and funnel plots present both effect sizes and (repressions of) their precision (i.e., Confidence Intervals vs. Standard Errors, which can be calculated from one another: SE = </w:t>
      </w:r>
      <w:r w:rsidRPr="00832F7C" w:rsidR="008B2188">
        <w:t>[</w:t>
      </w:r>
      <w:r w:rsidRPr="00832F7C">
        <w:t>95% CI</w:t>
      </w:r>
      <w:r w:rsidRPr="00832F7C" w:rsidR="008B2188">
        <w:t xml:space="preserve"> upper – 95% CI lower] </w:t>
      </w:r>
      <w:r w:rsidRPr="00832F7C">
        <w:t xml:space="preserve">/ [1.96 </w:t>
      </w:r>
      <m:oMath>
        <m:r>
          <w:rPr>
            <w:rFonts w:ascii="Cambria Math" w:hAnsi="Cambria Math"/>
          </w:rPr>
          <m:t>×</m:t>
        </m:r>
      </m:oMath>
      <w:r w:rsidRPr="00832F7C">
        <w:t xml:space="preserve"> 2]). </w:t>
      </w:r>
    </w:p>
    <w:p w:rsidR="00F545F5" w:rsidRPr="00832F7C" w:rsidP="00D77465" w14:paraId="2B0622B8" w14:textId="77777777">
      <w:pPr>
        <w:pStyle w:val="ListParagraph"/>
        <w:numPr>
          <w:ilvl w:val="0"/>
          <w:numId w:val="5"/>
        </w:numPr>
      </w:pPr>
      <w:r w:rsidRPr="00832F7C">
        <w:t xml:space="preserve">Data can be extracted from plots for error checking using free and Open Source tools such as WebPlotDigitizer </w:t>
      </w:r>
      <w:r w:rsidRPr="00832F7C">
        <w:fldChar w:fldCharType="begin"/>
      </w:r>
      <w:r w:rsidRPr="00832F7C">
        <w:instrText xml:space="preserve"> ADDIN ZOTERO_ITEM CSL_CITATION {"citationID":"dFNyqE7Z","properties":{"formattedCitation":"(Marin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rsidRPr="00832F7C">
        <w:fldChar w:fldCharType="separate"/>
      </w:r>
      <w:r w:rsidRPr="00832F7C">
        <w:rPr>
          <w:noProof/>
        </w:rPr>
        <w:t>(Marin et al., 2017)</w:t>
      </w:r>
      <w:r w:rsidRPr="00832F7C">
        <w:fldChar w:fldCharType="end"/>
      </w:r>
      <w:r w:rsidRPr="00832F7C">
        <w:t>.</w:t>
      </w:r>
    </w:p>
    <w:p w:rsidR="00F545F5" w:rsidRPr="00832F7C" w:rsidP="00D77465" w14:paraId="256EA557" w14:textId="77777777">
      <w:pPr>
        <w:pStyle w:val="ListParagraph"/>
        <w:numPr>
          <w:ilvl w:val="0"/>
          <w:numId w:val="5"/>
        </w:numPr>
      </w:pPr>
      <w:r w:rsidRPr="00832F7C">
        <w:t>Systemic checking of effect size extractions and conversion can be time-consuming. However, initial spot checks can easily be performed on the most extreme effect sizes, which are most likely to have involved an extraction or conversion error (e.g., confusing SE with SD: see Kadlec et al., 2023).</w:t>
      </w:r>
    </w:p>
    <w:p w:rsidR="00F545F5" w:rsidRPr="00832F7C" w:rsidP="00D77465" w14:paraId="20C9D2CC" w14:textId="77777777">
      <w:pPr>
        <w:pStyle w:val="ListParagraph"/>
        <w:numPr>
          <w:ilvl w:val="0"/>
          <w:numId w:val="5"/>
        </w:numPr>
      </w:pPr>
      <w:r w:rsidRPr="00832F7C">
        <w:t xml:space="preserve">The accurate application of the inclusion criteria can also be </w:t>
      </w:r>
      <w:r w:rsidRPr="00832F7C">
        <w:t>checked,</w:t>
      </w:r>
      <w:r w:rsidRPr="00832F7C">
        <w:t xml:space="preserve"> whether systematically or using spot checks. This can include checks for </w:t>
      </w:r>
      <w:r w:rsidRPr="00832F7C" w:rsidR="00954644">
        <w:t xml:space="preserve">both </w:t>
      </w:r>
      <w:r w:rsidRPr="00832F7C">
        <w:t>incorrect inclusions and incorrect omissions.</w:t>
      </w:r>
    </w:p>
    <w:p w:rsidR="00F545F5" w:rsidRPr="00832F7C" w:rsidP="00D77465" w14:paraId="79A8ADEE" w14:textId="77777777">
      <w:pPr>
        <w:pStyle w:val="ListParagraph"/>
        <w:numPr>
          <w:ilvl w:val="0"/>
          <w:numId w:val="5"/>
        </w:numPr>
      </w:pPr>
      <w:r w:rsidRPr="00832F7C">
        <w:t xml:space="preserve">The normative plausibility and mathematical possibility of correlations can be assessed by deattenuating them for the reliability of the measures that produced them. This can be done using empirical estimates for those measures or plausible values </w:t>
      </w:r>
      <w:r w:rsidRPr="00832F7C">
        <w:fldChar w:fldCharType="begin"/>
      </w:r>
      <w:r w:rsidRPr="00832F7C">
        <w:instrText xml:space="preserve"> ADDIN ZOTERO_ITEM CSL_CITATION {"citationID":"mqMp8xws","properties":{"formattedCitation":"(which can themselves be informed by data from the literature: Hussey et al., 2023)","plainCitation":"(which can themselves be informed by data from the literature: Hussey et al., 2023)","noteIndex":0},"citationItems":[{"id":183,"uris":["http://zotero.org/users/1687755/items/TPC7BSXD"],"itemData":{"id":183,"type":"article","abstract":"Cronbach’s alpha (α)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p values. We examined whether α values reported in the literature are inflated at the rule-of-thumb thresholds (α = .70, .80, .90), due to, for example, overfitting to in-sample data (α-hacking) or publication bias. We extracted reported α values from two very large literatures covering general psychology (&gt;30,000 α values taken from &gt;74,000 published articles in APA journals) and Industrial and Organizational psychology (&gt;89,000 α values taken from &gt;14,000 published articles in I/O journals). The distributions of these values show inflation at the rule-of-thumb thresholds. We discuss the scope, causes and consequences of α-hacking and how increased transparency, preregistration of measurement strategy, and standardized protocols could mitigate this problem. Code and data available at osf.io/pe3t7. Supplementary materials at osf.io/5xzy4.","DOI":"10.31234/osf.io/dm8xn","language":"en-us","publisher":"PsyArXiv","source":"OSF Preprints","title":"An aberrant abundance of Cronbach’s alpha values at .70","URL":"https://psyarxiv.com/dm8xn/","author":[{"family":"Hussey","given":"Ian"},{"family":"Alsalti","given":"Taym"},{"family":"Bosco","given":"Frank"},{"family":"Elson","given":"Malte"},{"family":"Arslan","given":"Ruben C."}],"accessed":{"date-parts":[["2023",2,5]]},"issued":{"date-parts":[["2023",2,3]]}},"label":"page","prefix":"which can themselves be informed by data from the literature: "}],"schema":"https://github.com/citation-style-language/schema/raw/master/csl-citation.json"} </w:instrText>
      </w:r>
      <w:r w:rsidRPr="00832F7C">
        <w:fldChar w:fldCharType="separate"/>
      </w:r>
      <w:r w:rsidRPr="00832F7C">
        <w:rPr>
          <w:noProof/>
        </w:rPr>
        <w:t>(which can themselves be informed by data from the literature: Hussey et al., 2023)</w:t>
      </w:r>
      <w:r w:rsidRPr="00832F7C">
        <w:fldChar w:fldCharType="end"/>
      </w:r>
      <w:r w:rsidRPr="00832F7C">
        <w:t xml:space="preserve">. Correlations larger than the reliability of the component measures are implausible. </w:t>
      </w:r>
    </w:p>
    <w:p w:rsidR="00F545F5" w:rsidRPr="00832F7C" w:rsidP="00D77465" w14:paraId="57256AC9" w14:textId="77777777">
      <w:pPr>
        <w:pStyle w:val="ListParagraph"/>
        <w:numPr>
          <w:ilvl w:val="0"/>
          <w:numId w:val="5"/>
        </w:numPr>
      </w:pPr>
      <w:r w:rsidRPr="00832F7C">
        <w:t xml:space="preserve">The normative plausibility of effect sizes, both original and meta-analytic, can also be compared to large-scale analyses of this in the literature </w:t>
      </w:r>
      <w:r w:rsidRPr="00832F7C">
        <w:fldChar w:fldCharType="begin"/>
      </w:r>
      <w:r w:rsidRPr="00832F7C">
        <w:instrText xml:space="preserve"> ADDIN ZOTERO_ITEM CSL_CITATION {"citationID":"l2XoFgm5","properties":{"formattedCitation":"(e.g., Hemphill, 2003; Plessen et al., 2023; Richard et al., 2003)","plainCitation":"(e.g., Hemphill, 2003; Plessen et al., 2023; Richard et al., 2003)","noteIndex":0},"citationItems":[{"id":1486,"uris":["http://zotero.org/users/1687755/items/GGUEF98U"],"itemData":{"id":1486,"type":"article-journal","container-title":"American Psychologist","DOI":"10.1037/0003-066X.58.1.78","ISSN":"0003-066X","issue":"1","language":"en","page":"78-79","source":"CrossRef","title":"Interpreting the magnitudes of correlation coefficients","volume":"58","author":[{"family":"Hemphill","given":"James F."}],"issued":{"date-parts":[["2003"]]}},"label":"page","prefix":"e.g., "},{"id":27946,"uris":["http://zotero.org/users/1687755/items/T8TQCC5P"],"itemData":{"id":27946,"type":"article-journal","abstract":"Background Hundreds of randomised controlled trials and dozens of meta-analyses have examined psychotherapies for depression—yet not all points in the same direction. Are these discrepancies a result of specific meta-analytical decisions or do most analytical strategies reaching the same conclusion?\nObjective We aim to solve these discrepancies by conducting a multiverse meta-analysis containing all possible meta-analyses, using all statistical methods.\nStudy selection and analysis We searched four bibliographical databases (PubMed, EMBASE, PsycINFO and Cochrane Register of Controlled Trials), including studies published until 1 January 2022. We included all randomised controlled trials comparing psychotherapies with control conditions without restricting the type of psychotherapy, target group, intervention format, control condition and diagnosis. We defined all possible meta-analyses emerging from combinations of these inclusion criteria and estimated the resulting pooled effect sizes with fixed-effect, random-effects, 3-level, robust variance estimation, p-uniform and PET-PEESE (precision-effect test and precision-effect estimate with SE) meta-analysis models. This study was preregistered (https://doi.org/10.1136/bmjopen-2021-050197).\nFindings A total of 21 563 records were screened, and 3584 full texts were retrieved; 415 studies met our inclusion criteria containing 1206 effect sizes and 71 454 participants. Based on all possible combinations between inclusion criteria and meta-analytical methods, we calculated 4281 meta-analyses. The average summary effect size for these meta-analyses was Hedges’ g mean=0.56, a medium effect size, and ranged from g=−0.66 to 2.51. In total, 90% of these meta-analyses reached a clinically relevant magnitude.\nConclusions and Clinical Implications The multiverse meta-analysis revealed the overall robustness of the effectiveness of psychotherapies for depression. Notably, meta-analyses that included studies with a high risk of bias, compared the intervention with wait-list control groups, and not correcting for publication bias produced larger effect sizes.","container-title":"BMJ Ment Health","DOI":"10.1136/bmjment-2022-300626","ISSN":"2755-9734","issue":"1","language":"en","license":"© Author(s) (or their employer(s)) 2023. Re-use permitted under CC BY. Published by BMJ.. https://creativecommons.org/licenses/by/4.0/This is an open access article distributed in accordance with the Creative Commons Attribution 4.0 Unported (CC BY 4.0) license, which permits others to copy, redistribute, remix, transform and build upon this work for any purpose, provided the original work is properly cited, a link to the licence is given, and indication of whether changes were made. See: https://creativecommons.org/licenses/by/4.0/.","note":"publisher: Royal College of Psychiatrists\nsection: Psychotherapies\nPMID: 36914209","source":"mentalhealth.bmj.com","title":"Exploring the efficacy of psychotherapies for depression: a multiverse meta-analysis","title-short":"Exploring the efficacy of psychotherapies for depression","URL":"https://mentalhealth.bmj.com/content/26/1/e300626","volume":"26","author":[{"family":"Plessen","given":"Constantin Yves"},{"family":"Karyotaki","given":"Eirini"},{"family":"Miguel","given":"Clara"},{"family":"Ciharova","given":"Marketa"},{"family":"Cuijpers","given":"Pim"}],"accessed":{"date-parts":[["2024",5,21]]},"issued":{"date-parts":[["2023",2,1]]}}},{"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Pr="00832F7C">
        <w:fldChar w:fldCharType="separate"/>
      </w:r>
      <w:r w:rsidRPr="00832F7C">
        <w:rPr>
          <w:noProof/>
        </w:rPr>
        <w:t>(e.g., Hemphill, 2003; Plessen et al., 2023; Richard et al., 2003)</w:t>
      </w:r>
      <w:r w:rsidRPr="00832F7C">
        <w:fldChar w:fldCharType="end"/>
      </w:r>
      <w:r w:rsidRPr="00832F7C">
        <w:t>.</w:t>
      </w:r>
    </w:p>
    <w:p w:rsidR="00A75400" w:rsidRPr="00832F7C" w:rsidP="00D77465" w14:paraId="517E8D71" w14:textId="77777777">
      <w:pPr>
        <w:pStyle w:val="ListParagraph"/>
        <w:numPr>
          <w:ilvl w:val="0"/>
          <w:numId w:val="5"/>
        </w:numPr>
      </w:pPr>
      <w:r w:rsidRPr="00832F7C">
        <w:t xml:space="preserve">Bias assessments can also be scrutinized. This can include an assessment of over-claiming via incorrect interpretations of non-significant tests for bias. </w:t>
      </w:r>
    </w:p>
    <w:p w:rsidR="00625E20" w:rsidRPr="00832F7C" w:rsidP="00201732" w14:paraId="362137D7" w14:textId="6291CB5B">
      <w:pPr>
        <w:pStyle w:val="ListParagraph"/>
        <w:numPr>
          <w:ilvl w:val="0"/>
          <w:numId w:val="5"/>
        </w:numPr>
      </w:pPr>
      <w:r w:rsidRPr="00832F7C">
        <w:t>Additionally, it can be useful to assess the overlap in authorship between the meta-analysis and the original studies</w:t>
      </w:r>
      <w:r w:rsidRPr="00832F7C" w:rsidR="00A75400">
        <w:t xml:space="preserve"> </w:t>
      </w:r>
      <w:r w:rsidRPr="00832F7C" w:rsidR="00A75400">
        <w:t>in order to</w:t>
      </w:r>
      <w:r w:rsidRPr="00832F7C" w:rsidR="00A75400">
        <w:t xml:space="preserve"> understand potential sources of bias, including but not limited to contextualizing the results of any quantitative tests of publication bias or </w:t>
      </w:r>
      <w:r w:rsidRPr="00832F7C" w:rsidR="00A75400">
        <w:rPr>
          <w:i/>
          <w:iCs/>
        </w:rPr>
        <w:t>p</w:t>
      </w:r>
      <w:r w:rsidRPr="00832F7C" w:rsidR="00A75400">
        <w:t>-hacking</w:t>
      </w:r>
      <w:r w:rsidRPr="00832F7C" w:rsidR="00CD1F5D">
        <w:t xml:space="preserve">. </w:t>
      </w:r>
      <w:r w:rsidRPr="00832F7C">
        <w:t xml:space="preserve"> </w:t>
      </w:r>
    </w:p>
    <w:p w:rsidR="00C9290D" w:rsidRPr="00832F7C" w:rsidP="00D77465" w14:paraId="7D32047D" w14:textId="22411722">
      <w:pPr>
        <w:pStyle w:val="Heading2"/>
      </w:pPr>
      <w:r w:rsidRPr="00832F7C">
        <w:t>Conclusions</w:t>
      </w:r>
    </w:p>
    <w:p w:rsidR="00167923" w:rsidRPr="00832F7C" w:rsidP="00D77465" w14:paraId="02E33443" w14:textId="6A726E59">
      <w:r w:rsidRPr="00832F7C">
        <w:t>The results of Vahey et al. (2015) were found to have poor reproducibility at almost every stage of the analytic strategy</w:t>
      </w:r>
      <w:r w:rsidRPr="00832F7C" w:rsidR="0046744E">
        <w:t xml:space="preserve">. In </w:t>
      </w:r>
      <w:r w:rsidRPr="00832F7C" w:rsidR="0064245C">
        <w:t>aggregate</w:t>
      </w:r>
      <w:r w:rsidRPr="00832F7C" w:rsidR="0046744E">
        <w:t xml:space="preserve">, these </w:t>
      </w:r>
      <w:r w:rsidRPr="00832F7C">
        <w:t>seriously undermin</w:t>
      </w:r>
      <w:r w:rsidRPr="00832F7C" w:rsidR="0004452B">
        <w:t xml:space="preserve">e </w:t>
      </w:r>
      <w:r w:rsidRPr="00832F7C">
        <w:t xml:space="preserve">the credibility and utility of </w:t>
      </w:r>
      <w:r w:rsidRPr="00832F7C" w:rsidR="0004452B">
        <w:t xml:space="preserve">the </w:t>
      </w:r>
      <w:r w:rsidRPr="00832F7C">
        <w:t>conclusions and recommendations</w:t>
      </w:r>
      <w:r w:rsidRPr="00832F7C" w:rsidR="0004452B">
        <w:t xml:space="preserve"> of the original article</w:t>
      </w:r>
      <w:r w:rsidRPr="00832F7C">
        <w:t>.</w:t>
      </w:r>
      <w:r w:rsidRPr="00832F7C" w:rsidR="00847B13">
        <w:t xml:space="preserve"> </w:t>
      </w:r>
      <w:r w:rsidRPr="00832F7C" w:rsidR="002B6F51">
        <w:t>Recalculated results suggest</w:t>
      </w:r>
      <w:r w:rsidR="004B346C">
        <w:t>ed</w:t>
      </w:r>
      <w:r w:rsidRPr="00832F7C" w:rsidR="002B6F51">
        <w:t xml:space="preserve"> that</w:t>
      </w:r>
      <w:r w:rsidR="004B346C">
        <w:t xml:space="preserve"> the compound impact of the errors reduced </w:t>
      </w:r>
      <w:r w:rsidRPr="00832F7C" w:rsidR="002B6F51">
        <w:t xml:space="preserve">the meta-effect size </w:t>
      </w:r>
      <w:r w:rsidR="004B346C">
        <w:t xml:space="preserve">to less </w:t>
      </w:r>
      <w:r w:rsidRPr="00832F7C" w:rsidR="002B6F51">
        <w:t>than half the original result</w:t>
      </w:r>
      <w:r w:rsidRPr="00832F7C" w:rsidR="000973EE">
        <w:t xml:space="preserve"> (</w:t>
      </w:r>
      <m:oMath>
        <m:acc>
          <m:accPr>
            <m:chr m:val="̅"/>
            <m:ctrlPr>
              <w:rPr>
                <w:rFonts w:ascii="Cambria Math" w:hAnsi="Cambria Math"/>
              </w:rPr>
            </m:ctrlPr>
          </m:accPr>
          <m:e>
            <m:r>
              <w:rPr>
                <w:rFonts w:ascii="Cambria Math" w:hAnsi="Cambria Math"/>
              </w:rPr>
              <m:t>r</m:t>
            </m:r>
          </m:e>
        </m:acc>
      </m:oMath>
      <w:r w:rsidRPr="00832F7C" w:rsidR="000973EE">
        <w:t xml:space="preserve"> = .45 vs. .22</w:t>
      </w:r>
      <w:r w:rsidRPr="00832F7C" w:rsidR="000973EE">
        <w:t>)</w:t>
      </w:r>
      <w:r w:rsidR="004B346C">
        <w:t xml:space="preserve">, </w:t>
      </w:r>
      <w:r w:rsidRPr="00832F7C" w:rsidR="002B6F51">
        <w:t>and</w:t>
      </w:r>
      <w:r w:rsidRPr="00832F7C" w:rsidR="002B6F51">
        <w:t xml:space="preserve"> </w:t>
      </w:r>
      <w:r w:rsidR="004B346C">
        <w:t xml:space="preserve">increased the </w:t>
      </w:r>
      <w:r w:rsidRPr="00832F7C" w:rsidR="002B6F51">
        <w:t xml:space="preserve">sample size recommendations </w:t>
      </w:r>
      <w:r w:rsidR="004B346C">
        <w:t xml:space="preserve">by </w:t>
      </w:r>
      <w:r w:rsidRPr="00832F7C" w:rsidR="002B6F51">
        <w:t xml:space="preserve">more than 15 times </w:t>
      </w:r>
      <w:r w:rsidR="004B346C">
        <w:t xml:space="preserve">the original results </w:t>
      </w:r>
      <w:r w:rsidRPr="00832F7C" w:rsidR="000973EE">
        <w:t xml:space="preserve">(minimum </w:t>
      </w:r>
      <w:r w:rsidRPr="00832F7C" w:rsidR="000973EE">
        <w:rPr>
          <w:i/>
          <w:iCs/>
        </w:rPr>
        <w:t>N</w:t>
      </w:r>
      <w:r w:rsidRPr="00832F7C" w:rsidR="000973EE">
        <w:t xml:space="preserve"> = 37 vs. </w:t>
      </w:r>
      <w:r w:rsidRPr="00832F7C" w:rsidR="00FC2759">
        <w:t>346</w:t>
      </w:r>
      <w:r w:rsidRPr="00832F7C" w:rsidR="000973EE">
        <w:t>)</w:t>
      </w:r>
      <w:r w:rsidRPr="00832F7C" w:rsidR="002B6F51">
        <w:t>. Vahey et al. (2015) therefore requires substantial correction</w:t>
      </w:r>
      <w:r w:rsidRPr="00832F7C" w:rsidR="000973EE">
        <w:t xml:space="preserve"> at minimum, and researchers should not use it for sample size planning.</w:t>
      </w:r>
    </w:p>
    <w:p w:rsidR="00F858D0" w:rsidRPr="00832F7C" w14:paraId="7629D538" w14:textId="77777777">
      <w:pPr>
        <w:spacing w:line="240" w:lineRule="auto"/>
        <w:ind w:firstLine="0"/>
        <w:rPr>
          <w:b/>
          <w:bCs/>
        </w:rPr>
      </w:pPr>
      <w:r w:rsidRPr="00832F7C">
        <w:br w:type="page"/>
      </w:r>
    </w:p>
    <w:p w:rsidR="00167923" w:rsidRPr="00832F7C" w:rsidP="00D77465" w14:paraId="68325D5A" w14:textId="79E8E1C2">
      <w:pPr>
        <w:pStyle w:val="Heading1"/>
      </w:pPr>
      <w:r w:rsidRPr="00832F7C">
        <w:t>References</w:t>
      </w:r>
    </w:p>
    <w:p w:rsidR="002F1ECA" w:rsidRPr="002F1ECA" w:rsidP="00D06EDA" w14:paraId="740AF617" w14:textId="77777777">
      <w:pPr>
        <w:pStyle w:val="Bibliography"/>
        <w:ind w:left="720" w:hanging="720"/>
        <w:rPr>
          <w:color w:val="auto"/>
        </w:rPr>
      </w:pPr>
      <w:r w:rsidRPr="00832F7C">
        <w:fldChar w:fldCharType="begin"/>
      </w:r>
      <w:r w:rsidRPr="00832F7C" w:rsidR="002D1BB7">
        <w:instrText xml:space="preserve"> ADDIN ZOTERO_BIBL {"uncited":[],"omitted":[],"custom":[]} CSL_BIBLIOGRAPHY </w:instrText>
      </w:r>
      <w:r w:rsidRPr="00832F7C">
        <w:fldChar w:fldCharType="separate"/>
      </w:r>
      <w:r w:rsidRPr="002F1ECA">
        <w:rPr>
          <w:color w:val="auto"/>
        </w:rPr>
        <w:t>Aczel</w:t>
      </w:r>
      <w:r w:rsidRPr="002F1ECA">
        <w:rPr>
          <w:color w:val="auto"/>
        </w:rPr>
        <w:t xml:space="preserve">, B., </w:t>
      </w:r>
      <w:r w:rsidRPr="002F1ECA">
        <w:rPr>
          <w:color w:val="auto"/>
        </w:rPr>
        <w:t>Palfi</w:t>
      </w:r>
      <w:r w:rsidRPr="002F1ECA">
        <w:rPr>
          <w:color w:val="auto"/>
        </w:rPr>
        <w:t xml:space="preserve">, B., </w:t>
      </w:r>
      <w:r w:rsidRPr="002F1ECA">
        <w:rPr>
          <w:color w:val="auto"/>
        </w:rPr>
        <w:t>Szollosi</w:t>
      </w:r>
      <w:r w:rsidRPr="002F1ECA">
        <w:rPr>
          <w:color w:val="auto"/>
        </w:rPr>
        <w:t xml:space="preserve">, A., Kovacs, M., </w:t>
      </w:r>
      <w:r w:rsidRPr="002F1ECA">
        <w:rPr>
          <w:color w:val="auto"/>
        </w:rPr>
        <w:t>Szaszi</w:t>
      </w:r>
      <w:r w:rsidRPr="002F1ECA">
        <w:rPr>
          <w:color w:val="auto"/>
        </w:rPr>
        <w:t xml:space="preserve">, B., </w:t>
      </w:r>
      <w:r w:rsidRPr="002F1ECA">
        <w:rPr>
          <w:color w:val="auto"/>
        </w:rPr>
        <w:t>Szecsi</w:t>
      </w:r>
      <w:r w:rsidRPr="002F1ECA">
        <w:rPr>
          <w:color w:val="auto"/>
        </w:rPr>
        <w:t xml:space="preserve">, P., </w:t>
      </w:r>
      <w:r w:rsidRPr="002F1ECA">
        <w:rPr>
          <w:color w:val="auto"/>
        </w:rPr>
        <w:t>Zrubka</w:t>
      </w:r>
      <w:r w:rsidRPr="002F1ECA">
        <w:rPr>
          <w:color w:val="auto"/>
        </w:rPr>
        <w:t xml:space="preserve">, M., </w:t>
      </w:r>
      <w:r w:rsidRPr="002F1ECA">
        <w:rPr>
          <w:color w:val="auto"/>
        </w:rPr>
        <w:t>Gronau</w:t>
      </w:r>
      <w:r w:rsidRPr="002F1ECA">
        <w:rPr>
          <w:color w:val="auto"/>
        </w:rPr>
        <w:t xml:space="preserve">, Q. F., van den Bergh, D., &amp; </w:t>
      </w:r>
      <w:r w:rsidRPr="002F1ECA">
        <w:rPr>
          <w:color w:val="auto"/>
        </w:rPr>
        <w:t>Wagenmakers</w:t>
      </w:r>
      <w:r w:rsidRPr="002F1ECA">
        <w:rPr>
          <w:color w:val="auto"/>
        </w:rPr>
        <w:t xml:space="preserve">, E.-J. (2018). Quantifying Support for the Null Hypothesis in Psychology: An Empirical Investigation. </w:t>
      </w:r>
      <w:r w:rsidRPr="002F1ECA">
        <w:rPr>
          <w:i/>
          <w:iCs/>
          <w:color w:val="auto"/>
        </w:rPr>
        <w:t>Advances in Methods and Practices in Psychological Science</w:t>
      </w:r>
      <w:r w:rsidRPr="002F1ECA">
        <w:rPr>
          <w:color w:val="auto"/>
        </w:rPr>
        <w:t xml:space="preserve">, </w:t>
      </w:r>
      <w:r w:rsidRPr="002F1ECA">
        <w:rPr>
          <w:i/>
          <w:iCs/>
          <w:color w:val="auto"/>
        </w:rPr>
        <w:t>1</w:t>
      </w:r>
      <w:r w:rsidRPr="002F1ECA">
        <w:rPr>
          <w:color w:val="auto"/>
        </w:rPr>
        <w:t>(3), 357–366. https://doi.org/10.1177/2515245918773742</w:t>
      </w:r>
    </w:p>
    <w:p w:rsidR="002F1ECA" w:rsidRPr="002F1ECA" w:rsidP="00D06EDA" w14:paraId="638FC611" w14:textId="77777777">
      <w:pPr>
        <w:pStyle w:val="Bibliography"/>
        <w:ind w:left="720" w:hanging="720"/>
        <w:rPr>
          <w:color w:val="auto"/>
        </w:rPr>
      </w:pPr>
      <w:r w:rsidRPr="002F1ECA">
        <w:rPr>
          <w:color w:val="auto"/>
        </w:rPr>
        <w:t xml:space="preserve">Allen, M. J., &amp; Yen, W. M. (2002). </w:t>
      </w:r>
      <w:r w:rsidRPr="002F1ECA">
        <w:rPr>
          <w:i/>
          <w:iCs/>
          <w:color w:val="auto"/>
        </w:rPr>
        <w:t>Introduction to measurement theory</w:t>
      </w:r>
      <w:r w:rsidRPr="002F1ECA">
        <w:rPr>
          <w:color w:val="auto"/>
        </w:rPr>
        <w:t>. Waveland Press.</w:t>
      </w:r>
    </w:p>
    <w:p w:rsidR="002F1ECA" w:rsidRPr="002F1ECA" w:rsidP="00D06EDA" w14:paraId="1DAE61CE" w14:textId="77777777">
      <w:pPr>
        <w:pStyle w:val="Bibliography"/>
        <w:ind w:left="720" w:hanging="720"/>
        <w:rPr>
          <w:color w:val="auto"/>
        </w:rPr>
      </w:pPr>
      <w:r w:rsidRPr="002F1ECA">
        <w:rPr>
          <w:color w:val="auto"/>
        </w:rPr>
        <w:t xml:space="preserve">American Psychological Association. (2024). </w:t>
      </w:r>
      <w:r w:rsidRPr="002F1ECA">
        <w:rPr>
          <w:i/>
          <w:iCs/>
          <w:color w:val="auto"/>
        </w:rPr>
        <w:t>APA Dictionary of Psychology</w:t>
      </w:r>
      <w:r w:rsidRPr="002F1ECA">
        <w:rPr>
          <w:color w:val="auto"/>
        </w:rPr>
        <w:t>. https://dictionary.apa.org/criterion-validity</w:t>
      </w:r>
    </w:p>
    <w:p w:rsidR="002F1ECA" w:rsidRPr="002F1ECA" w:rsidP="00D06EDA" w14:paraId="45EAD754" w14:textId="77777777">
      <w:pPr>
        <w:pStyle w:val="Bibliography"/>
        <w:ind w:left="720" w:hanging="720"/>
        <w:rPr>
          <w:color w:val="auto"/>
        </w:rPr>
      </w:pPr>
      <w:r w:rsidRPr="002F1ECA">
        <w:rPr>
          <w:color w:val="auto"/>
        </w:rPr>
        <w:t xml:space="preserve">Barnes-Holmes, D., Barnes-Holmes, Y., Power, P., Hayden, E., Milne, R., &amp; Stewart, I. (2006). Do you really know what you believe? Developing the Implicit Relational Assessment Procedure (IRAP) as a direct measure of implicit beliefs. </w:t>
      </w:r>
      <w:r w:rsidRPr="002F1ECA">
        <w:rPr>
          <w:i/>
          <w:iCs/>
          <w:color w:val="auto"/>
        </w:rPr>
        <w:t>The Irish Psychologist</w:t>
      </w:r>
      <w:r w:rsidRPr="002F1ECA">
        <w:rPr>
          <w:color w:val="auto"/>
        </w:rPr>
        <w:t xml:space="preserve">, </w:t>
      </w:r>
      <w:r w:rsidRPr="002F1ECA">
        <w:rPr>
          <w:i/>
          <w:iCs/>
          <w:color w:val="auto"/>
        </w:rPr>
        <w:t>32</w:t>
      </w:r>
      <w:r w:rsidRPr="002F1ECA">
        <w:rPr>
          <w:color w:val="auto"/>
        </w:rPr>
        <w:t>(7), 169–177.</w:t>
      </w:r>
    </w:p>
    <w:p w:rsidR="002F1ECA" w:rsidRPr="002F1ECA" w:rsidP="00D06EDA" w14:paraId="5D5393E5" w14:textId="77777777">
      <w:pPr>
        <w:pStyle w:val="Bibliography"/>
        <w:ind w:left="720" w:hanging="720"/>
        <w:rPr>
          <w:color w:val="auto"/>
        </w:rPr>
      </w:pPr>
      <w:r w:rsidRPr="002F1ECA">
        <w:rPr>
          <w:color w:val="auto"/>
        </w:rPr>
        <w:t xml:space="preserve">Barnes-Holmes, D., Barnes-Holmes, Y., Stewart, I., &amp; Boles, S. (2010). A sketch of the Implicit Relational Assessment Procedure (IRAP) and the Relational Elaboration and Coherence (REC) model. </w:t>
      </w:r>
      <w:r w:rsidRPr="002F1ECA">
        <w:rPr>
          <w:i/>
          <w:iCs/>
          <w:color w:val="auto"/>
        </w:rPr>
        <w:t>The Psychological Record</w:t>
      </w:r>
      <w:r w:rsidRPr="002F1ECA">
        <w:rPr>
          <w:color w:val="auto"/>
        </w:rPr>
        <w:t xml:space="preserve">, </w:t>
      </w:r>
      <w:r w:rsidRPr="002F1ECA">
        <w:rPr>
          <w:i/>
          <w:iCs/>
          <w:color w:val="auto"/>
        </w:rPr>
        <w:t>60</w:t>
      </w:r>
      <w:r w:rsidRPr="002F1ECA">
        <w:rPr>
          <w:color w:val="auto"/>
        </w:rPr>
        <w:t>(3), 527–542. https://doi.org/10.1007/BF03395726</w:t>
      </w:r>
    </w:p>
    <w:p w:rsidR="002F1ECA" w:rsidRPr="002F1ECA" w:rsidP="00D06EDA" w14:paraId="6A5DA4FC" w14:textId="77777777">
      <w:pPr>
        <w:pStyle w:val="Bibliography"/>
        <w:ind w:left="720" w:hanging="720"/>
        <w:rPr>
          <w:color w:val="auto"/>
        </w:rPr>
      </w:pPr>
      <w:r w:rsidRPr="002F1ECA">
        <w:rPr>
          <w:color w:val="auto"/>
        </w:rPr>
        <w:t xml:space="preserve">Barnes-Holmes, D., &amp; Harte, C. (2022a). The IRAP as a Measure of Implicit Cognition: A Case of Frankenstein’s Monster. </w:t>
      </w:r>
      <w:r w:rsidRPr="002F1ECA">
        <w:rPr>
          <w:i/>
          <w:iCs/>
          <w:color w:val="auto"/>
        </w:rPr>
        <w:t xml:space="preserve">Perspectives on </w:t>
      </w:r>
      <w:r w:rsidRPr="002F1ECA">
        <w:rPr>
          <w:i/>
          <w:iCs/>
          <w:color w:val="auto"/>
        </w:rPr>
        <w:t>Behavior</w:t>
      </w:r>
      <w:r w:rsidRPr="002F1ECA">
        <w:rPr>
          <w:i/>
          <w:iCs/>
          <w:color w:val="auto"/>
        </w:rPr>
        <w:t xml:space="preserve"> Science</w:t>
      </w:r>
      <w:r w:rsidRPr="002F1ECA">
        <w:rPr>
          <w:color w:val="auto"/>
        </w:rPr>
        <w:t>. https://doi.org/10.1007/s40614-022-00352-z</w:t>
      </w:r>
    </w:p>
    <w:p w:rsidR="002F1ECA" w:rsidRPr="002F1ECA" w:rsidP="00D06EDA" w14:paraId="258F4DDC" w14:textId="77777777">
      <w:pPr>
        <w:pStyle w:val="Bibliography"/>
        <w:ind w:left="720" w:hanging="720"/>
        <w:rPr>
          <w:color w:val="auto"/>
        </w:rPr>
      </w:pPr>
      <w:r w:rsidRPr="002F1ECA">
        <w:rPr>
          <w:color w:val="auto"/>
        </w:rPr>
        <w:t xml:space="preserve">Barnes-Holmes, D., &amp; Harte, C. (2022b). Relational frame theory 20 years on: The Odysseus voyage and beyond. In </w:t>
      </w:r>
      <w:r w:rsidRPr="002F1ECA">
        <w:rPr>
          <w:i/>
          <w:iCs/>
          <w:color w:val="auto"/>
        </w:rPr>
        <w:t xml:space="preserve">Journal of the Experimental Analysis of </w:t>
      </w:r>
      <w:r w:rsidRPr="002F1ECA">
        <w:rPr>
          <w:i/>
          <w:iCs/>
          <w:color w:val="auto"/>
        </w:rPr>
        <w:t>Behavior</w:t>
      </w:r>
      <w:r w:rsidRPr="002F1ECA">
        <w:rPr>
          <w:color w:val="auto"/>
        </w:rPr>
        <w:t xml:space="preserve"> (Vol. 117, Issue 2, pp. 240–266). WILEY. https://doi.org/10.1002/jeab.733</w:t>
      </w:r>
    </w:p>
    <w:p w:rsidR="002F1ECA" w:rsidRPr="002F1ECA" w:rsidP="00D06EDA" w14:paraId="05AAC37F" w14:textId="77777777">
      <w:pPr>
        <w:pStyle w:val="Bibliography"/>
        <w:ind w:left="720" w:hanging="720"/>
        <w:rPr>
          <w:color w:val="auto"/>
        </w:rPr>
      </w:pPr>
      <w:r w:rsidRPr="002F1ECA">
        <w:rPr>
          <w:color w:val="auto"/>
        </w:rPr>
        <w:t xml:space="preserve">Bast, D. F., &amp; Barnes-Holmes, D. (2015). Developing the Implicit Relational Assessment Procedure (IRAP) as a Measure of Self-Forgiveness Related to Failing and </w:t>
      </w:r>
      <w:r w:rsidRPr="002F1ECA">
        <w:rPr>
          <w:color w:val="auto"/>
        </w:rPr>
        <w:t xml:space="preserve">Succeeding </w:t>
      </w:r>
      <w:r w:rsidRPr="002F1ECA">
        <w:rPr>
          <w:color w:val="auto"/>
        </w:rPr>
        <w:t>Behaviors</w:t>
      </w:r>
      <w:r w:rsidRPr="002F1ECA">
        <w:rPr>
          <w:color w:val="auto"/>
        </w:rPr>
        <w:t xml:space="preserve">. </w:t>
      </w:r>
      <w:r w:rsidRPr="002F1ECA">
        <w:rPr>
          <w:i/>
          <w:iCs/>
          <w:color w:val="auto"/>
        </w:rPr>
        <w:t>The Psychological Record</w:t>
      </w:r>
      <w:r w:rsidRPr="002F1ECA">
        <w:rPr>
          <w:color w:val="auto"/>
        </w:rPr>
        <w:t xml:space="preserve">, </w:t>
      </w:r>
      <w:r w:rsidRPr="002F1ECA">
        <w:rPr>
          <w:i/>
          <w:iCs/>
          <w:color w:val="auto"/>
        </w:rPr>
        <w:t>65</w:t>
      </w:r>
      <w:r w:rsidRPr="002F1ECA">
        <w:rPr>
          <w:color w:val="auto"/>
        </w:rPr>
        <w:t>(1), 189–201. https://doi.org/10.1007/s40732-014-0100-5</w:t>
      </w:r>
    </w:p>
    <w:p w:rsidR="002F1ECA" w:rsidRPr="002F1ECA" w:rsidP="00D06EDA" w14:paraId="031A990F" w14:textId="77777777">
      <w:pPr>
        <w:pStyle w:val="Bibliography"/>
        <w:ind w:left="720" w:hanging="720"/>
        <w:rPr>
          <w:color w:val="auto"/>
        </w:rPr>
      </w:pPr>
      <w:r w:rsidRPr="002F1ECA">
        <w:rPr>
          <w:color w:val="auto"/>
        </w:rPr>
        <w:t>Borenstein</w:t>
      </w:r>
      <w:r w:rsidRPr="002F1ECA">
        <w:rPr>
          <w:color w:val="auto"/>
        </w:rPr>
        <w:t xml:space="preserve">, M., Hedges, L. V., Higgins, J. P., &amp; Rothstein, H. R. (2009). </w:t>
      </w:r>
      <w:r w:rsidRPr="002F1ECA">
        <w:rPr>
          <w:i/>
          <w:iCs/>
          <w:color w:val="auto"/>
        </w:rPr>
        <w:t>Introduction to meta-analysis</w:t>
      </w:r>
      <w:r w:rsidRPr="002F1ECA">
        <w:rPr>
          <w:color w:val="auto"/>
        </w:rPr>
        <w:t>. John Wiley &amp; Sons.</w:t>
      </w:r>
    </w:p>
    <w:p w:rsidR="002F1ECA" w:rsidRPr="002F1ECA" w:rsidP="00D06EDA" w14:paraId="2E6E9796" w14:textId="77777777">
      <w:pPr>
        <w:pStyle w:val="Bibliography"/>
        <w:ind w:left="720" w:hanging="720"/>
        <w:rPr>
          <w:color w:val="auto"/>
        </w:rPr>
      </w:pPr>
      <w:r w:rsidRPr="002F1ECA">
        <w:rPr>
          <w:color w:val="auto"/>
        </w:rPr>
        <w:t xml:space="preserve">Carpenter, K. M., Martinez, D., </w:t>
      </w:r>
      <w:r w:rsidRPr="002F1ECA">
        <w:rPr>
          <w:color w:val="auto"/>
        </w:rPr>
        <w:t>Vadhan</w:t>
      </w:r>
      <w:r w:rsidRPr="002F1ECA">
        <w:rPr>
          <w:color w:val="auto"/>
        </w:rPr>
        <w:t xml:space="preserve">, N. P., Barnes-Holmes, D., &amp; Nunes, E. V. (2012). Measures of Attentional Bias and Relational Responding Are Associated with </w:t>
      </w:r>
      <w:r w:rsidRPr="002F1ECA">
        <w:rPr>
          <w:color w:val="auto"/>
        </w:rPr>
        <w:t>Behavioral</w:t>
      </w:r>
      <w:r w:rsidRPr="002F1ECA">
        <w:rPr>
          <w:color w:val="auto"/>
        </w:rPr>
        <w:t xml:space="preserve"> Treatment Outcome for Cocaine Dependence. </w:t>
      </w:r>
      <w:r w:rsidRPr="002F1ECA">
        <w:rPr>
          <w:i/>
          <w:iCs/>
          <w:color w:val="auto"/>
        </w:rPr>
        <w:t>The American Journal of Drug and Alcohol Abuse</w:t>
      </w:r>
      <w:r w:rsidRPr="002F1ECA">
        <w:rPr>
          <w:color w:val="auto"/>
        </w:rPr>
        <w:t xml:space="preserve">, </w:t>
      </w:r>
      <w:r w:rsidRPr="002F1ECA">
        <w:rPr>
          <w:i/>
          <w:iCs/>
          <w:color w:val="auto"/>
        </w:rPr>
        <w:t>38</w:t>
      </w:r>
      <w:r w:rsidRPr="002F1ECA">
        <w:rPr>
          <w:color w:val="auto"/>
        </w:rPr>
        <w:t>(2), 146–154. https://doi.org/10.3109/00952990.2011.643986</w:t>
      </w:r>
    </w:p>
    <w:p w:rsidR="002F1ECA" w:rsidRPr="002F1ECA" w:rsidP="00D06EDA" w14:paraId="63BA25BE" w14:textId="77777777">
      <w:pPr>
        <w:pStyle w:val="Bibliography"/>
        <w:ind w:left="720" w:hanging="720"/>
        <w:rPr>
          <w:color w:val="auto"/>
        </w:rPr>
      </w:pPr>
      <w:r w:rsidRPr="002F1ECA">
        <w:rPr>
          <w:color w:val="auto"/>
        </w:rPr>
        <w:t>Champely</w:t>
      </w:r>
      <w:r w:rsidRPr="002F1ECA">
        <w:rPr>
          <w:color w:val="auto"/>
        </w:rPr>
        <w:t xml:space="preserve">, S. (2016). </w:t>
      </w:r>
      <w:r w:rsidRPr="002F1ECA">
        <w:rPr>
          <w:i/>
          <w:iCs/>
          <w:color w:val="auto"/>
        </w:rPr>
        <w:t>pwr</w:t>
      </w:r>
      <w:r w:rsidRPr="002F1ECA">
        <w:rPr>
          <w:i/>
          <w:iCs/>
          <w:color w:val="auto"/>
        </w:rPr>
        <w:t>: Basic Functions for Power Analysis</w:t>
      </w:r>
      <w:r w:rsidRPr="002F1ECA">
        <w:rPr>
          <w:color w:val="auto"/>
        </w:rPr>
        <w:t xml:space="preserve"> [Computer software]. https://CRAN.R-project.org/package=pwr</w:t>
      </w:r>
    </w:p>
    <w:p w:rsidR="002F1ECA" w:rsidRPr="002F1ECA" w:rsidP="00D06EDA" w14:paraId="7746C91B" w14:textId="77777777">
      <w:pPr>
        <w:pStyle w:val="Bibliography"/>
        <w:ind w:left="720" w:hanging="720"/>
        <w:rPr>
          <w:color w:val="auto"/>
        </w:rPr>
      </w:pPr>
      <w:r w:rsidRPr="002F1ECA">
        <w:rPr>
          <w:color w:val="auto"/>
        </w:rPr>
        <w:t xml:space="preserve">Corneille, O., &amp; </w:t>
      </w:r>
      <w:r w:rsidRPr="002F1ECA">
        <w:rPr>
          <w:color w:val="auto"/>
        </w:rPr>
        <w:t>Hütter</w:t>
      </w:r>
      <w:r w:rsidRPr="002F1ECA">
        <w:rPr>
          <w:color w:val="auto"/>
        </w:rPr>
        <w:t xml:space="preserve">, M. (2020). Implicit? What Do You Mean? A Comprehensive Review of the Delusive Implicitness Construct in Attitude Research. </w:t>
      </w:r>
      <w:r w:rsidRPr="002F1ECA">
        <w:rPr>
          <w:i/>
          <w:iCs/>
          <w:color w:val="auto"/>
        </w:rPr>
        <w:t>Personality and Social Psychology Review</w:t>
      </w:r>
      <w:r w:rsidRPr="002F1ECA">
        <w:rPr>
          <w:color w:val="auto"/>
        </w:rPr>
        <w:t>, 1088868320911325. https://doi.org/10.1177/1088868320911325</w:t>
      </w:r>
    </w:p>
    <w:p w:rsidR="002F1ECA" w:rsidRPr="002F1ECA" w:rsidP="00D06EDA" w14:paraId="719DFDE7" w14:textId="77777777">
      <w:pPr>
        <w:pStyle w:val="Bibliography"/>
        <w:ind w:left="720" w:hanging="720"/>
        <w:rPr>
          <w:color w:val="auto"/>
        </w:rPr>
      </w:pPr>
      <w:r w:rsidRPr="002F1ECA">
        <w:rPr>
          <w:color w:val="auto"/>
        </w:rPr>
        <w:t xml:space="preserve">Dawson, D. L., Barnes-Holmes, D., </w:t>
      </w:r>
      <w:r w:rsidRPr="002F1ECA">
        <w:rPr>
          <w:color w:val="auto"/>
        </w:rPr>
        <w:t>Gresswell</w:t>
      </w:r>
      <w:r w:rsidRPr="002F1ECA">
        <w:rPr>
          <w:color w:val="auto"/>
        </w:rPr>
        <w:t xml:space="preserve">, D. M., Hart, A. J., &amp; Gore, N. J. (2009). Assessing the implicit beliefs of sexual offenders using the Implicit Relational Assessment Procedure: A first study. </w:t>
      </w:r>
      <w:r w:rsidRPr="002F1ECA">
        <w:rPr>
          <w:i/>
          <w:iCs/>
          <w:color w:val="auto"/>
        </w:rPr>
        <w:t>Sexual Abuse: A Journal of Research and Treatment</w:t>
      </w:r>
      <w:r w:rsidRPr="002F1ECA">
        <w:rPr>
          <w:color w:val="auto"/>
        </w:rPr>
        <w:t xml:space="preserve">, </w:t>
      </w:r>
      <w:r w:rsidRPr="002F1ECA">
        <w:rPr>
          <w:i/>
          <w:iCs/>
          <w:color w:val="auto"/>
        </w:rPr>
        <w:t>21</w:t>
      </w:r>
      <w:r w:rsidRPr="002F1ECA">
        <w:rPr>
          <w:color w:val="auto"/>
        </w:rPr>
        <w:t>(1), 57–75. https://doi.org/10.1177/1079063208326928</w:t>
      </w:r>
    </w:p>
    <w:p w:rsidR="002F1ECA" w:rsidRPr="002F1ECA" w:rsidP="00D06EDA" w14:paraId="552272BD" w14:textId="77777777">
      <w:pPr>
        <w:pStyle w:val="Bibliography"/>
        <w:ind w:left="720" w:hanging="720"/>
        <w:rPr>
          <w:color w:val="auto"/>
        </w:rPr>
      </w:pPr>
      <w:r w:rsidRPr="002F1ECA">
        <w:rPr>
          <w:color w:val="auto"/>
        </w:rPr>
        <w:t xml:space="preserve">De </w:t>
      </w:r>
      <w:r w:rsidRPr="002F1ECA">
        <w:rPr>
          <w:color w:val="auto"/>
        </w:rPr>
        <w:t>Schryver</w:t>
      </w:r>
      <w:r w:rsidRPr="002F1ECA">
        <w:rPr>
          <w:color w:val="auto"/>
        </w:rPr>
        <w:t xml:space="preserve">, M., Hussey, I., De Neve, J., Cartwright, A., &amp; Barnes-Holmes, D. (2018). The PIIRAP: An alternative scoring algorithm for the IRAP using a probabilistic semiparametric effect size measure. </w:t>
      </w:r>
      <w:r w:rsidRPr="002F1ECA">
        <w:rPr>
          <w:i/>
          <w:iCs/>
          <w:color w:val="auto"/>
        </w:rPr>
        <w:t xml:space="preserve">Journal of Contextual </w:t>
      </w:r>
      <w:r w:rsidRPr="002F1ECA">
        <w:rPr>
          <w:i/>
          <w:iCs/>
          <w:color w:val="auto"/>
        </w:rPr>
        <w:t>Behavioral</w:t>
      </w:r>
      <w:r w:rsidRPr="002F1ECA">
        <w:rPr>
          <w:i/>
          <w:iCs/>
          <w:color w:val="auto"/>
        </w:rPr>
        <w:t xml:space="preserve"> Science</w:t>
      </w:r>
      <w:r w:rsidRPr="002F1ECA">
        <w:rPr>
          <w:color w:val="auto"/>
        </w:rPr>
        <w:t xml:space="preserve">, </w:t>
      </w:r>
      <w:r w:rsidRPr="002F1ECA">
        <w:rPr>
          <w:i/>
          <w:iCs/>
          <w:color w:val="auto"/>
        </w:rPr>
        <w:t>7</w:t>
      </w:r>
      <w:r w:rsidRPr="002F1ECA">
        <w:rPr>
          <w:color w:val="auto"/>
        </w:rPr>
        <w:t>, 97–103. https://doi.org/10.1016/j.jcbs.2018.01.001</w:t>
      </w:r>
    </w:p>
    <w:p w:rsidR="002F1ECA" w:rsidRPr="002F1ECA" w:rsidP="00D06EDA" w14:paraId="2598A530" w14:textId="77777777">
      <w:pPr>
        <w:pStyle w:val="Bibliography"/>
        <w:ind w:left="720" w:hanging="720"/>
        <w:rPr>
          <w:color w:val="auto"/>
        </w:rPr>
      </w:pPr>
      <w:r w:rsidRPr="002F1ECA">
        <w:rPr>
          <w:color w:val="auto"/>
        </w:rPr>
        <w:t xml:space="preserve">Egger, M., Smith, G. D., Schneider, M., &amp; Minder, C. (1997). </w:t>
      </w:r>
      <w:r w:rsidRPr="002F1ECA">
        <w:rPr>
          <w:i/>
          <w:iCs/>
          <w:color w:val="auto"/>
        </w:rPr>
        <w:t>Bias in meta-analysis detected by a simple, graphical test</w:t>
      </w:r>
      <w:r w:rsidRPr="002F1ECA">
        <w:rPr>
          <w:color w:val="auto"/>
        </w:rPr>
        <w:t>. https://doi.org/10.1136/bmj.315.7109.629</w:t>
      </w:r>
    </w:p>
    <w:p w:rsidR="002F1ECA" w:rsidRPr="002F1ECA" w:rsidP="00D06EDA" w14:paraId="6C05E4D2" w14:textId="77777777">
      <w:pPr>
        <w:pStyle w:val="Bibliography"/>
        <w:ind w:left="720" w:hanging="720"/>
        <w:rPr>
          <w:color w:val="auto"/>
        </w:rPr>
      </w:pPr>
      <w:r w:rsidRPr="002F1ECA">
        <w:rPr>
          <w:color w:val="auto"/>
        </w:rPr>
        <w:t xml:space="preserve">Farrell, L., &amp; McHugh, L. (2017). Examining gender-STEM bias among STEM and non-STEM students using the Implicit Relational Assessment Procedure (IRAP). </w:t>
      </w:r>
      <w:r w:rsidRPr="002F1ECA">
        <w:rPr>
          <w:i/>
          <w:iCs/>
          <w:color w:val="auto"/>
        </w:rPr>
        <w:t xml:space="preserve">Journal of Contextual </w:t>
      </w:r>
      <w:r w:rsidRPr="002F1ECA">
        <w:rPr>
          <w:i/>
          <w:iCs/>
          <w:color w:val="auto"/>
        </w:rPr>
        <w:t>Behavioral</w:t>
      </w:r>
      <w:r w:rsidRPr="002F1ECA">
        <w:rPr>
          <w:i/>
          <w:iCs/>
          <w:color w:val="auto"/>
        </w:rPr>
        <w:t xml:space="preserve"> Science</w:t>
      </w:r>
      <w:r w:rsidRPr="002F1ECA">
        <w:rPr>
          <w:color w:val="auto"/>
        </w:rPr>
        <w:t xml:space="preserve">, </w:t>
      </w:r>
      <w:r w:rsidRPr="002F1ECA">
        <w:rPr>
          <w:i/>
          <w:iCs/>
          <w:color w:val="auto"/>
        </w:rPr>
        <w:t>6</w:t>
      </w:r>
      <w:r w:rsidRPr="002F1ECA">
        <w:rPr>
          <w:color w:val="auto"/>
        </w:rPr>
        <w:t>(1), 80–90. https://doi.org/10.1016/j.jcbs.2017.02.001</w:t>
      </w:r>
    </w:p>
    <w:p w:rsidR="002F1ECA" w:rsidRPr="002F1ECA" w:rsidP="00D06EDA" w14:paraId="392849F2" w14:textId="77777777">
      <w:pPr>
        <w:pStyle w:val="Bibliography"/>
        <w:ind w:left="720" w:hanging="720"/>
        <w:rPr>
          <w:color w:val="auto"/>
        </w:rPr>
      </w:pPr>
      <w:r w:rsidRPr="002F1ECA">
        <w:rPr>
          <w:color w:val="auto"/>
        </w:rPr>
        <w:t xml:space="preserve">Field, A. P., &amp; Gillett, R. (2010). How to do a meta-analysis. </w:t>
      </w:r>
      <w:r w:rsidRPr="002F1ECA">
        <w:rPr>
          <w:i/>
          <w:iCs/>
          <w:color w:val="auto"/>
        </w:rPr>
        <w:t>British Journal of Mathematical and Statistical Psychology</w:t>
      </w:r>
      <w:r w:rsidRPr="002F1ECA">
        <w:rPr>
          <w:color w:val="auto"/>
        </w:rPr>
        <w:t xml:space="preserve">, </w:t>
      </w:r>
      <w:r w:rsidRPr="002F1ECA">
        <w:rPr>
          <w:i/>
          <w:iCs/>
          <w:color w:val="auto"/>
        </w:rPr>
        <w:t>63</w:t>
      </w:r>
      <w:r w:rsidRPr="002F1ECA">
        <w:rPr>
          <w:color w:val="auto"/>
        </w:rPr>
        <w:t>(3), 665–694. https://doi.org/10.1348/000711010X502733</w:t>
      </w:r>
    </w:p>
    <w:p w:rsidR="002F1ECA" w:rsidRPr="002F1ECA" w:rsidP="00D06EDA" w14:paraId="59A993EB" w14:textId="77777777">
      <w:pPr>
        <w:pStyle w:val="Bibliography"/>
        <w:ind w:left="720" w:hanging="720"/>
        <w:rPr>
          <w:color w:val="auto"/>
        </w:rPr>
      </w:pPr>
      <w:r w:rsidRPr="002F1ECA">
        <w:rPr>
          <w:color w:val="auto"/>
        </w:rPr>
        <w:t>Golijani</w:t>
      </w:r>
      <w:r w:rsidRPr="002F1ECA">
        <w:rPr>
          <w:color w:val="auto"/>
        </w:rPr>
        <w:t xml:space="preserve">-Moghaddam, N., Hart, A., &amp; Dawson, D. L. (2013). The Implicit Relational Assessment Procedure: Emerging reliability and validity data. </w:t>
      </w:r>
      <w:r w:rsidRPr="002F1ECA">
        <w:rPr>
          <w:i/>
          <w:iCs/>
          <w:color w:val="auto"/>
        </w:rPr>
        <w:t xml:space="preserve">Journal of Contextual </w:t>
      </w:r>
      <w:r w:rsidRPr="002F1ECA">
        <w:rPr>
          <w:i/>
          <w:iCs/>
          <w:color w:val="auto"/>
        </w:rPr>
        <w:t>Behavioral</w:t>
      </w:r>
      <w:r w:rsidRPr="002F1ECA">
        <w:rPr>
          <w:i/>
          <w:iCs/>
          <w:color w:val="auto"/>
        </w:rPr>
        <w:t xml:space="preserve"> Science</w:t>
      </w:r>
      <w:r w:rsidRPr="002F1ECA">
        <w:rPr>
          <w:color w:val="auto"/>
        </w:rPr>
        <w:t xml:space="preserve">, </w:t>
      </w:r>
      <w:r w:rsidRPr="002F1ECA">
        <w:rPr>
          <w:i/>
          <w:iCs/>
          <w:color w:val="auto"/>
        </w:rPr>
        <w:t>2</w:t>
      </w:r>
      <w:r w:rsidRPr="002F1ECA">
        <w:rPr>
          <w:color w:val="auto"/>
        </w:rPr>
        <w:t>(3–4), 105–119. https://doi.org/10.1016/j.jcbs.2013.05.002</w:t>
      </w:r>
    </w:p>
    <w:p w:rsidR="002F1ECA" w:rsidRPr="002F1ECA" w:rsidP="00D06EDA" w14:paraId="599C7164" w14:textId="77777777">
      <w:pPr>
        <w:pStyle w:val="Bibliography"/>
        <w:ind w:left="720" w:hanging="720"/>
        <w:rPr>
          <w:color w:val="auto"/>
        </w:rPr>
      </w:pPr>
      <w:r w:rsidRPr="002F1ECA">
        <w:rPr>
          <w:color w:val="auto"/>
        </w:rPr>
        <w:t>Gøtzsche</w:t>
      </w:r>
      <w:r w:rsidRPr="002F1ECA">
        <w:rPr>
          <w:color w:val="auto"/>
        </w:rPr>
        <w:t xml:space="preserve">, P. C., </w:t>
      </w:r>
      <w:r w:rsidRPr="002F1ECA">
        <w:rPr>
          <w:color w:val="auto"/>
        </w:rPr>
        <w:t>Hróbjartsson</w:t>
      </w:r>
      <w:r w:rsidRPr="002F1ECA">
        <w:rPr>
          <w:color w:val="auto"/>
        </w:rPr>
        <w:t xml:space="preserve">, A., </w:t>
      </w:r>
      <w:r w:rsidRPr="002F1ECA">
        <w:rPr>
          <w:color w:val="auto"/>
        </w:rPr>
        <w:t>Marić</w:t>
      </w:r>
      <w:r w:rsidRPr="002F1ECA">
        <w:rPr>
          <w:color w:val="auto"/>
        </w:rPr>
        <w:t xml:space="preserve">, K., &amp; </w:t>
      </w:r>
      <w:r w:rsidRPr="002F1ECA">
        <w:rPr>
          <w:color w:val="auto"/>
        </w:rPr>
        <w:t>Tendal</w:t>
      </w:r>
      <w:r w:rsidRPr="002F1ECA">
        <w:rPr>
          <w:color w:val="auto"/>
        </w:rPr>
        <w:t xml:space="preserve">, B. (2007). Data Extraction Errors in Meta-analyses That Use Standardized Mean Differences. </w:t>
      </w:r>
      <w:r w:rsidRPr="002F1ECA">
        <w:rPr>
          <w:i/>
          <w:iCs/>
          <w:color w:val="auto"/>
        </w:rPr>
        <w:t>JAMA</w:t>
      </w:r>
      <w:r w:rsidRPr="002F1ECA">
        <w:rPr>
          <w:color w:val="auto"/>
        </w:rPr>
        <w:t xml:space="preserve">, </w:t>
      </w:r>
      <w:r w:rsidRPr="002F1ECA">
        <w:rPr>
          <w:i/>
          <w:iCs/>
          <w:color w:val="auto"/>
        </w:rPr>
        <w:t>298</w:t>
      </w:r>
      <w:r w:rsidRPr="002F1ECA">
        <w:rPr>
          <w:color w:val="auto"/>
        </w:rPr>
        <w:t>(4), 430–437. https://doi.org/10.1001/jama.298.4.430</w:t>
      </w:r>
    </w:p>
    <w:p w:rsidR="002F1ECA" w:rsidRPr="002F1ECA" w:rsidP="00D06EDA" w14:paraId="61B6ED0E" w14:textId="77777777">
      <w:pPr>
        <w:pStyle w:val="Bibliography"/>
        <w:ind w:left="720" w:hanging="720"/>
        <w:rPr>
          <w:color w:val="auto"/>
        </w:rPr>
      </w:pPr>
      <w:r w:rsidRPr="002F1ECA">
        <w:rPr>
          <w:color w:val="auto"/>
        </w:rPr>
        <w:t xml:space="preserve">Greenland, S., </w:t>
      </w:r>
      <w:r w:rsidRPr="002F1ECA">
        <w:rPr>
          <w:color w:val="auto"/>
        </w:rPr>
        <w:t>Senn</w:t>
      </w:r>
      <w:r w:rsidRPr="002F1ECA">
        <w:rPr>
          <w:color w:val="auto"/>
        </w:rPr>
        <w:t xml:space="preserve">, S. J., Rothman, K. J., Carlin, J. B., Poole, C., Goodman, S. N., &amp; Altman, D. G. (2016). Statistical tests, P values, confidence intervals, and power: A guide to misinterpretations. </w:t>
      </w:r>
      <w:r w:rsidRPr="002F1ECA">
        <w:rPr>
          <w:i/>
          <w:iCs/>
          <w:color w:val="auto"/>
        </w:rPr>
        <w:t>European Journal of Epidemiology</w:t>
      </w:r>
      <w:r w:rsidRPr="002F1ECA">
        <w:rPr>
          <w:color w:val="auto"/>
        </w:rPr>
        <w:t xml:space="preserve">, </w:t>
      </w:r>
      <w:r w:rsidRPr="002F1ECA">
        <w:rPr>
          <w:i/>
          <w:iCs/>
          <w:color w:val="auto"/>
        </w:rPr>
        <w:t>31</w:t>
      </w:r>
      <w:r w:rsidRPr="002F1ECA">
        <w:rPr>
          <w:color w:val="auto"/>
        </w:rPr>
        <w:t>(4), 337–350. https://doi.org/10.1007/s10654-016-0149-3</w:t>
      </w:r>
    </w:p>
    <w:p w:rsidR="002F1ECA" w:rsidRPr="002F1ECA" w:rsidP="00D06EDA" w14:paraId="41B12939" w14:textId="77777777">
      <w:pPr>
        <w:pStyle w:val="Bibliography"/>
        <w:ind w:left="720" w:hanging="720"/>
        <w:rPr>
          <w:color w:val="auto"/>
        </w:rPr>
      </w:pPr>
      <w:r w:rsidRPr="002F1ECA">
        <w:rPr>
          <w:color w:val="auto"/>
        </w:rPr>
        <w:t xml:space="preserve">Greenwald, A. G., &amp; Lai, C. K. (2020). Implicit Social Cognition. </w:t>
      </w:r>
      <w:r w:rsidRPr="002F1ECA">
        <w:rPr>
          <w:i/>
          <w:iCs/>
          <w:color w:val="auto"/>
        </w:rPr>
        <w:t>Annual Review of Psychology</w:t>
      </w:r>
      <w:r w:rsidRPr="002F1ECA">
        <w:rPr>
          <w:color w:val="auto"/>
        </w:rPr>
        <w:t xml:space="preserve">, </w:t>
      </w:r>
      <w:r w:rsidRPr="002F1ECA">
        <w:rPr>
          <w:i/>
          <w:iCs/>
          <w:color w:val="auto"/>
        </w:rPr>
        <w:t>71</w:t>
      </w:r>
      <w:r w:rsidRPr="002F1ECA">
        <w:rPr>
          <w:color w:val="auto"/>
        </w:rPr>
        <w:t>(1), 419–445. https://doi.org/10.1146/annurev-psych-010419-050837</w:t>
      </w:r>
    </w:p>
    <w:p w:rsidR="002F1ECA" w:rsidRPr="002F1ECA" w:rsidP="00D06EDA" w14:paraId="44874234" w14:textId="77777777">
      <w:pPr>
        <w:pStyle w:val="Bibliography"/>
        <w:ind w:left="720" w:hanging="720"/>
        <w:rPr>
          <w:color w:val="auto"/>
        </w:rPr>
      </w:pPr>
      <w:r w:rsidRPr="002F1ECA">
        <w:rPr>
          <w:color w:val="auto"/>
        </w:rPr>
        <w:t xml:space="preserve">Greenwald, A. G., McGhee, D. E., &amp; Schwartz, J. L. (1998). Measuring individual differences in implicit cognition: The Implicit Association Test. </w:t>
      </w:r>
      <w:r w:rsidRPr="002F1ECA">
        <w:rPr>
          <w:i/>
          <w:iCs/>
          <w:color w:val="auto"/>
        </w:rPr>
        <w:t>Journal of Personality and Social Psychology</w:t>
      </w:r>
      <w:r w:rsidRPr="002F1ECA">
        <w:rPr>
          <w:color w:val="auto"/>
        </w:rPr>
        <w:t xml:space="preserve">, </w:t>
      </w:r>
      <w:r w:rsidRPr="002F1ECA">
        <w:rPr>
          <w:i/>
          <w:iCs/>
          <w:color w:val="auto"/>
        </w:rPr>
        <w:t>74</w:t>
      </w:r>
      <w:r w:rsidRPr="002F1ECA">
        <w:rPr>
          <w:color w:val="auto"/>
        </w:rPr>
        <w:t>(6), 1464–1480. https://doi.org/10.1037/0022-3514.74.6.1464</w:t>
      </w:r>
    </w:p>
    <w:p w:rsidR="002F1ECA" w:rsidRPr="002F1ECA" w:rsidP="00D06EDA" w14:paraId="14039E35" w14:textId="77777777">
      <w:pPr>
        <w:pStyle w:val="Bibliography"/>
        <w:ind w:left="720" w:hanging="720"/>
        <w:rPr>
          <w:color w:val="auto"/>
        </w:rPr>
      </w:pPr>
      <w:r w:rsidRPr="002F1ECA">
        <w:rPr>
          <w:color w:val="auto"/>
        </w:rPr>
        <w:t xml:space="preserve">Greenwald, A. G., </w:t>
      </w:r>
      <w:r w:rsidRPr="002F1ECA">
        <w:rPr>
          <w:color w:val="auto"/>
        </w:rPr>
        <w:t>Nosek</w:t>
      </w:r>
      <w:r w:rsidRPr="002F1ECA">
        <w:rPr>
          <w:color w:val="auto"/>
        </w:rPr>
        <w:t xml:space="preserve">, B. A., &amp; Banaji, M. R. (2003). Understanding and using the Implicit Association Test: I. An improved scoring algorithm. </w:t>
      </w:r>
      <w:r w:rsidRPr="002F1ECA">
        <w:rPr>
          <w:i/>
          <w:iCs/>
          <w:color w:val="auto"/>
        </w:rPr>
        <w:t>Journal of Personality and Social Psychology</w:t>
      </w:r>
      <w:r w:rsidRPr="002F1ECA">
        <w:rPr>
          <w:color w:val="auto"/>
        </w:rPr>
        <w:t xml:space="preserve">, </w:t>
      </w:r>
      <w:r w:rsidRPr="002F1ECA">
        <w:rPr>
          <w:i/>
          <w:iCs/>
          <w:color w:val="auto"/>
        </w:rPr>
        <w:t>85</w:t>
      </w:r>
      <w:r w:rsidRPr="002F1ECA">
        <w:rPr>
          <w:color w:val="auto"/>
        </w:rPr>
        <w:t>(2), 197–216. https://doi.org/10.1037/0022-3514.85.2.197</w:t>
      </w:r>
    </w:p>
    <w:p w:rsidR="002F1ECA" w:rsidRPr="002F1ECA" w:rsidP="00D06EDA" w14:paraId="69D91E82" w14:textId="77777777">
      <w:pPr>
        <w:pStyle w:val="Bibliography"/>
        <w:ind w:left="720" w:hanging="720"/>
        <w:rPr>
          <w:color w:val="auto"/>
        </w:rPr>
      </w:pPr>
      <w:r w:rsidRPr="002F1ECA">
        <w:rPr>
          <w:color w:val="auto"/>
        </w:rPr>
        <w:t xml:space="preserve">Heathers, J. A., Anaya, J., Zee, T. van der, &amp; Brown, N. J. (2018). </w:t>
      </w:r>
      <w:r w:rsidRPr="002F1ECA">
        <w:rPr>
          <w:i/>
          <w:iCs/>
          <w:color w:val="auto"/>
        </w:rPr>
        <w:t xml:space="preserve">Recovering data from summary statistics: Sample Parameter Reconstruction via Iterative </w:t>
      </w:r>
      <w:r w:rsidRPr="002F1ECA">
        <w:rPr>
          <w:i/>
          <w:iCs/>
          <w:color w:val="auto"/>
        </w:rPr>
        <w:t>TEchniques</w:t>
      </w:r>
      <w:r w:rsidRPr="002F1ECA">
        <w:rPr>
          <w:i/>
          <w:iCs/>
          <w:color w:val="auto"/>
        </w:rPr>
        <w:t xml:space="preserve"> (SPRITE)</w:t>
      </w:r>
      <w:r w:rsidRPr="002F1ECA">
        <w:rPr>
          <w:color w:val="auto"/>
        </w:rPr>
        <w:t xml:space="preserve"> (e26968v1). </w:t>
      </w:r>
      <w:r w:rsidRPr="002F1ECA">
        <w:rPr>
          <w:color w:val="auto"/>
        </w:rPr>
        <w:t>PeerJ</w:t>
      </w:r>
      <w:r w:rsidRPr="002F1ECA">
        <w:rPr>
          <w:color w:val="auto"/>
        </w:rPr>
        <w:t xml:space="preserve"> Inc. https://doi.org/10.7287/peerj.preprints.26968v1</w:t>
      </w:r>
    </w:p>
    <w:p w:rsidR="002F1ECA" w:rsidRPr="002F1ECA" w:rsidP="00D06EDA" w14:paraId="49745777" w14:textId="77777777">
      <w:pPr>
        <w:pStyle w:val="Bibliography"/>
        <w:ind w:left="720" w:hanging="720"/>
        <w:rPr>
          <w:color w:val="auto"/>
        </w:rPr>
      </w:pPr>
      <w:r w:rsidRPr="002F1ECA">
        <w:rPr>
          <w:color w:val="auto"/>
        </w:rPr>
        <w:t xml:space="preserve">Hemphill, J. F. (2003). Interpreting the magnitudes of correlation coefficients. </w:t>
      </w:r>
      <w:r w:rsidRPr="002F1ECA">
        <w:rPr>
          <w:i/>
          <w:iCs/>
          <w:color w:val="auto"/>
        </w:rPr>
        <w:t>American Psychologist</w:t>
      </w:r>
      <w:r w:rsidRPr="002F1ECA">
        <w:rPr>
          <w:color w:val="auto"/>
        </w:rPr>
        <w:t xml:space="preserve">, </w:t>
      </w:r>
      <w:r w:rsidRPr="002F1ECA">
        <w:rPr>
          <w:i/>
          <w:iCs/>
          <w:color w:val="auto"/>
        </w:rPr>
        <w:t>58</w:t>
      </w:r>
      <w:r w:rsidRPr="002F1ECA">
        <w:rPr>
          <w:color w:val="auto"/>
        </w:rPr>
        <w:t>(1), 78–79. https://doi.org/10.1037/0003-066X.58.1.78</w:t>
      </w:r>
    </w:p>
    <w:p w:rsidR="002F1ECA" w:rsidRPr="002F1ECA" w:rsidP="00D06EDA" w14:paraId="0F4C3BD6" w14:textId="77777777">
      <w:pPr>
        <w:pStyle w:val="Bibliography"/>
        <w:ind w:left="720" w:hanging="720"/>
        <w:rPr>
          <w:color w:val="auto"/>
        </w:rPr>
      </w:pPr>
      <w:r w:rsidRPr="002F1ECA">
        <w:rPr>
          <w:color w:val="auto"/>
        </w:rPr>
        <w:t xml:space="preserve">Hunter, J. E., &amp; Schmidt, F. L. (2004). </w:t>
      </w:r>
      <w:r w:rsidRPr="002F1ECA">
        <w:rPr>
          <w:i/>
          <w:iCs/>
          <w:color w:val="auto"/>
        </w:rPr>
        <w:t>Methods of meta-analysis: Correcting error and bias in research findings</w:t>
      </w:r>
      <w:r w:rsidRPr="002F1ECA">
        <w:rPr>
          <w:color w:val="auto"/>
        </w:rPr>
        <w:t>. Sage.</w:t>
      </w:r>
    </w:p>
    <w:p w:rsidR="002F1ECA" w:rsidRPr="002F1ECA" w:rsidP="00D06EDA" w14:paraId="7AA03EC8" w14:textId="77777777">
      <w:pPr>
        <w:pStyle w:val="Bibliography"/>
        <w:ind w:left="720" w:hanging="720"/>
        <w:rPr>
          <w:color w:val="auto"/>
        </w:rPr>
      </w:pPr>
      <w:r w:rsidRPr="002F1ECA">
        <w:rPr>
          <w:color w:val="auto"/>
        </w:rPr>
        <w:t xml:space="preserve">Hussey, I. (2022). Reply to Barnes-Holmes &amp; Harte (2022) “The IRAP as a Measure of Implicit Cognition: A Case of Frankenstein’s Monster”. </w:t>
      </w:r>
      <w:r w:rsidRPr="002F1ECA">
        <w:rPr>
          <w:i/>
          <w:iCs/>
          <w:color w:val="auto"/>
        </w:rPr>
        <w:t>PsyArXiv</w:t>
      </w:r>
      <w:r w:rsidRPr="002F1ECA">
        <w:rPr>
          <w:color w:val="auto"/>
        </w:rPr>
        <w:t>. https://doi.org/10.31234/osf.io/qmg6s</w:t>
      </w:r>
    </w:p>
    <w:p w:rsidR="002F1ECA" w:rsidRPr="002F1ECA" w:rsidP="00D06EDA" w14:paraId="709567C7" w14:textId="77777777">
      <w:pPr>
        <w:pStyle w:val="Bibliography"/>
        <w:ind w:left="720" w:hanging="720"/>
        <w:rPr>
          <w:color w:val="auto"/>
        </w:rPr>
      </w:pPr>
      <w:r w:rsidRPr="002F1ECA">
        <w:rPr>
          <w:color w:val="auto"/>
        </w:rPr>
        <w:t xml:space="preserve">Hussey, I. (2023). A systematic review of null hypothesis significance testing, sample sizes, and statistical power in research using the Implicit Relational Assessment Procedure. </w:t>
      </w:r>
      <w:r w:rsidRPr="002F1ECA">
        <w:rPr>
          <w:i/>
          <w:iCs/>
          <w:color w:val="auto"/>
        </w:rPr>
        <w:t xml:space="preserve">Journal of Contextual </w:t>
      </w:r>
      <w:r w:rsidRPr="002F1ECA">
        <w:rPr>
          <w:i/>
          <w:iCs/>
          <w:color w:val="auto"/>
        </w:rPr>
        <w:t>Behavioral</w:t>
      </w:r>
      <w:r w:rsidRPr="002F1ECA">
        <w:rPr>
          <w:i/>
          <w:iCs/>
          <w:color w:val="auto"/>
        </w:rPr>
        <w:t xml:space="preserve"> Science</w:t>
      </w:r>
      <w:r w:rsidRPr="002F1ECA">
        <w:rPr>
          <w:color w:val="auto"/>
        </w:rPr>
        <w:t xml:space="preserve">, </w:t>
      </w:r>
      <w:r w:rsidRPr="002F1ECA">
        <w:rPr>
          <w:i/>
          <w:iCs/>
          <w:color w:val="auto"/>
        </w:rPr>
        <w:t>29</w:t>
      </w:r>
      <w:r w:rsidRPr="002F1ECA">
        <w:rPr>
          <w:color w:val="auto"/>
        </w:rPr>
        <w:t>, 86–97. https://doi.org/10.1016/j.jcbs.2023.06.008</w:t>
      </w:r>
    </w:p>
    <w:p w:rsidR="002F1ECA" w:rsidRPr="002F1ECA" w:rsidP="00D06EDA" w14:paraId="2EBB3781" w14:textId="77777777">
      <w:pPr>
        <w:pStyle w:val="Bibliography"/>
        <w:ind w:left="720" w:hanging="720"/>
        <w:rPr>
          <w:color w:val="auto"/>
        </w:rPr>
      </w:pPr>
      <w:r w:rsidRPr="002F1ECA">
        <w:rPr>
          <w:color w:val="auto"/>
        </w:rPr>
        <w:t xml:space="preserve">Hussey, I., </w:t>
      </w:r>
      <w:r w:rsidRPr="002F1ECA">
        <w:rPr>
          <w:color w:val="auto"/>
        </w:rPr>
        <w:t>Alsalti</w:t>
      </w:r>
      <w:r w:rsidRPr="002F1ECA">
        <w:rPr>
          <w:color w:val="auto"/>
        </w:rPr>
        <w:t xml:space="preserve">, T., Bosco, F., Elson, M., &amp; Arslan, R. C. (2023). </w:t>
      </w:r>
      <w:r w:rsidRPr="002F1ECA">
        <w:rPr>
          <w:i/>
          <w:iCs/>
          <w:color w:val="auto"/>
        </w:rPr>
        <w:t>An aberrant abundance of Cronbach’s alpha values at .70</w:t>
      </w:r>
      <w:r w:rsidRPr="002F1ECA">
        <w:rPr>
          <w:color w:val="auto"/>
        </w:rPr>
        <w:t xml:space="preserve">. </w:t>
      </w:r>
      <w:r w:rsidRPr="002F1ECA">
        <w:rPr>
          <w:color w:val="auto"/>
        </w:rPr>
        <w:t>PsyArXiv</w:t>
      </w:r>
      <w:r w:rsidRPr="002F1ECA">
        <w:rPr>
          <w:color w:val="auto"/>
        </w:rPr>
        <w:t>. https://doi.org/10.31234/osf.io/dm8xn</w:t>
      </w:r>
    </w:p>
    <w:p w:rsidR="002F1ECA" w:rsidRPr="002F1ECA" w:rsidP="00D06EDA" w14:paraId="5F4D0D3A" w14:textId="77777777">
      <w:pPr>
        <w:pStyle w:val="Bibliography"/>
        <w:ind w:left="720" w:hanging="720"/>
        <w:rPr>
          <w:color w:val="auto"/>
        </w:rPr>
      </w:pPr>
      <w:r w:rsidRPr="002F1ECA">
        <w:rPr>
          <w:color w:val="auto"/>
        </w:rPr>
        <w:t xml:space="preserve">Hussey, I., &amp; Drake, C. E. (2020). The Implicit Relational Assessment Procedure demonstrates poor internal consistency and test-retest reliability: A meta-analysis. </w:t>
      </w:r>
      <w:r w:rsidRPr="002F1ECA">
        <w:rPr>
          <w:i/>
          <w:iCs/>
          <w:color w:val="auto"/>
        </w:rPr>
        <w:t>PsyArXiv</w:t>
      </w:r>
      <w:r w:rsidRPr="002F1ECA">
        <w:rPr>
          <w:color w:val="auto"/>
        </w:rPr>
        <w:t>. https://doi.org/10.31234/osf.io/ge3k7</w:t>
      </w:r>
    </w:p>
    <w:p w:rsidR="002F1ECA" w:rsidRPr="002F1ECA" w:rsidP="00D06EDA" w14:paraId="2A016135" w14:textId="77777777">
      <w:pPr>
        <w:pStyle w:val="Bibliography"/>
        <w:ind w:left="720" w:hanging="720"/>
        <w:rPr>
          <w:color w:val="auto"/>
        </w:rPr>
      </w:pPr>
      <w:r w:rsidRPr="002F1ECA">
        <w:rPr>
          <w:color w:val="auto"/>
        </w:rPr>
        <w:t xml:space="preserve">Hussey, I., &amp; Drake, C. E. (2022). </w:t>
      </w:r>
      <w:r w:rsidRPr="002F1ECA">
        <w:rPr>
          <w:i/>
          <w:iCs/>
          <w:color w:val="auto"/>
        </w:rPr>
        <w:t>The IRAP File-Drawer: A repository of unpublished studies using the Implicit Relational Assessment Procedure</w:t>
      </w:r>
      <w:r w:rsidRPr="002F1ECA">
        <w:rPr>
          <w:color w:val="auto"/>
        </w:rPr>
        <w:t>. https://osf.io/g4qsu/</w:t>
      </w:r>
    </w:p>
    <w:p w:rsidR="002F1ECA" w:rsidRPr="002F1ECA" w:rsidP="00D06EDA" w14:paraId="11FB00C1" w14:textId="77777777">
      <w:pPr>
        <w:pStyle w:val="Bibliography"/>
        <w:ind w:left="720" w:hanging="720"/>
        <w:rPr>
          <w:color w:val="auto"/>
        </w:rPr>
      </w:pPr>
      <w:r w:rsidRPr="002F1ECA">
        <w:rPr>
          <w:color w:val="auto"/>
        </w:rPr>
        <w:t xml:space="preserve">Hussey, I., Thompson, M., </w:t>
      </w:r>
      <w:r w:rsidRPr="002F1ECA">
        <w:rPr>
          <w:color w:val="auto"/>
        </w:rPr>
        <w:t>McEnteggart</w:t>
      </w:r>
      <w:r w:rsidRPr="002F1ECA">
        <w:rPr>
          <w:color w:val="auto"/>
        </w:rPr>
        <w:t xml:space="preserve">, C., Barnes-Holmes, D., &amp; Barnes-Holmes, Y. (2015). Interpreting and inverting with less cursing: A guide to interpreting IRAP data. </w:t>
      </w:r>
      <w:r w:rsidRPr="002F1ECA">
        <w:rPr>
          <w:i/>
          <w:iCs/>
          <w:color w:val="auto"/>
        </w:rPr>
        <w:t xml:space="preserve">Journal of Contextual </w:t>
      </w:r>
      <w:r w:rsidRPr="002F1ECA">
        <w:rPr>
          <w:i/>
          <w:iCs/>
          <w:color w:val="auto"/>
        </w:rPr>
        <w:t>Behavioral</w:t>
      </w:r>
      <w:r w:rsidRPr="002F1ECA">
        <w:rPr>
          <w:i/>
          <w:iCs/>
          <w:color w:val="auto"/>
        </w:rPr>
        <w:t xml:space="preserve"> Science</w:t>
      </w:r>
      <w:r w:rsidRPr="002F1ECA">
        <w:rPr>
          <w:color w:val="auto"/>
        </w:rPr>
        <w:t xml:space="preserve">, </w:t>
      </w:r>
      <w:r w:rsidRPr="002F1ECA">
        <w:rPr>
          <w:i/>
          <w:iCs/>
          <w:color w:val="auto"/>
        </w:rPr>
        <w:t>4</w:t>
      </w:r>
      <w:r w:rsidRPr="002F1ECA">
        <w:rPr>
          <w:color w:val="auto"/>
        </w:rPr>
        <w:t>(3), 157–162. https://doi.org/10.1016/j.jcbs.2015.05.001</w:t>
      </w:r>
    </w:p>
    <w:p w:rsidR="002F1ECA" w:rsidRPr="002F1ECA" w:rsidP="00D06EDA" w14:paraId="65589F10" w14:textId="77777777">
      <w:pPr>
        <w:pStyle w:val="Bibliography"/>
        <w:ind w:left="720" w:hanging="720"/>
        <w:rPr>
          <w:color w:val="auto"/>
        </w:rPr>
      </w:pPr>
      <w:r w:rsidRPr="002F1ECA">
        <w:rPr>
          <w:color w:val="auto"/>
        </w:rPr>
        <w:t xml:space="preserve">Kadlec, D., </w:t>
      </w:r>
      <w:r w:rsidRPr="002F1ECA">
        <w:rPr>
          <w:color w:val="auto"/>
        </w:rPr>
        <w:t>Sainani</w:t>
      </w:r>
      <w:r w:rsidRPr="002F1ECA">
        <w:rPr>
          <w:color w:val="auto"/>
        </w:rPr>
        <w:t xml:space="preserve">, K. L., &amp; Nimphius, S. (2023). With Great Power Comes Great Responsibility: Common Errors in Meta-Analyses and Meta-Regressions in Strength &amp; Conditioning Research. </w:t>
      </w:r>
      <w:r w:rsidRPr="002F1ECA">
        <w:rPr>
          <w:i/>
          <w:iCs/>
          <w:color w:val="auto"/>
        </w:rPr>
        <w:t>Sports Medicine</w:t>
      </w:r>
      <w:r w:rsidRPr="002F1ECA">
        <w:rPr>
          <w:color w:val="auto"/>
        </w:rPr>
        <w:t xml:space="preserve">, </w:t>
      </w:r>
      <w:r w:rsidRPr="002F1ECA">
        <w:rPr>
          <w:i/>
          <w:iCs/>
          <w:color w:val="auto"/>
        </w:rPr>
        <w:t>53</w:t>
      </w:r>
      <w:r w:rsidRPr="002F1ECA">
        <w:rPr>
          <w:color w:val="auto"/>
        </w:rPr>
        <w:t>(2), 313–325. https://doi.org/10.1007/s40279-022-01766-0</w:t>
      </w:r>
    </w:p>
    <w:p w:rsidR="002F1ECA" w:rsidRPr="002F1ECA" w:rsidP="00D06EDA" w14:paraId="13DB1670" w14:textId="77777777">
      <w:pPr>
        <w:pStyle w:val="Bibliography"/>
        <w:ind w:left="720" w:hanging="720"/>
        <w:rPr>
          <w:color w:val="auto"/>
        </w:rPr>
      </w:pPr>
      <w:r w:rsidRPr="002F1ECA">
        <w:rPr>
          <w:color w:val="auto"/>
        </w:rPr>
        <w:t xml:space="preserve">Kavanagh, D., Barnes-Holmes, Y., &amp; Barnes-Holmes, D. (2022). Attempting to </w:t>
      </w:r>
      <w:r w:rsidRPr="002F1ECA">
        <w:rPr>
          <w:color w:val="auto"/>
        </w:rPr>
        <w:t>Analyze</w:t>
      </w:r>
      <w:r w:rsidRPr="002F1ECA">
        <w:rPr>
          <w:color w:val="auto"/>
        </w:rPr>
        <w:t xml:space="preserve"> Perspective-Taking with a False Belief Vignette Using the Implicit Relational Assessment Procedure. </w:t>
      </w:r>
      <w:r w:rsidRPr="002F1ECA">
        <w:rPr>
          <w:i/>
          <w:iCs/>
          <w:color w:val="auto"/>
        </w:rPr>
        <w:t>The Psychological Record</w:t>
      </w:r>
      <w:r w:rsidRPr="002F1ECA">
        <w:rPr>
          <w:color w:val="auto"/>
        </w:rPr>
        <w:t xml:space="preserve">, </w:t>
      </w:r>
      <w:r w:rsidRPr="002F1ECA">
        <w:rPr>
          <w:i/>
          <w:iCs/>
          <w:color w:val="auto"/>
        </w:rPr>
        <w:t>72</w:t>
      </w:r>
      <w:r w:rsidRPr="002F1ECA">
        <w:rPr>
          <w:color w:val="auto"/>
        </w:rPr>
        <w:t>(4), 525–549. https://doi.org/10.1007/s40732-021-00500-y</w:t>
      </w:r>
    </w:p>
    <w:p w:rsidR="002F1ECA" w:rsidRPr="002F1ECA" w:rsidP="00D06EDA" w14:paraId="56F87032" w14:textId="77777777">
      <w:pPr>
        <w:pStyle w:val="Bibliography"/>
        <w:ind w:left="720" w:hanging="720"/>
        <w:rPr>
          <w:color w:val="auto"/>
        </w:rPr>
      </w:pPr>
      <w:r w:rsidRPr="002F1ECA">
        <w:rPr>
          <w:color w:val="auto"/>
        </w:rPr>
        <w:t>Lakens</w:t>
      </w:r>
      <w:r w:rsidRPr="002F1ECA">
        <w:rPr>
          <w:color w:val="auto"/>
        </w:rPr>
        <w:t xml:space="preserve">, D., Hilgard, J., &amp; </w:t>
      </w:r>
      <w:r w:rsidRPr="002F1ECA">
        <w:rPr>
          <w:color w:val="auto"/>
        </w:rPr>
        <w:t>Staaks</w:t>
      </w:r>
      <w:r w:rsidRPr="002F1ECA">
        <w:rPr>
          <w:color w:val="auto"/>
        </w:rPr>
        <w:t xml:space="preserve">, J. (2016). On the reproducibility of meta-analyses: Six practical recommendations. </w:t>
      </w:r>
      <w:r w:rsidRPr="002F1ECA">
        <w:rPr>
          <w:i/>
          <w:iCs/>
          <w:color w:val="auto"/>
        </w:rPr>
        <w:t>BMC Psychology</w:t>
      </w:r>
      <w:r w:rsidRPr="002F1ECA">
        <w:rPr>
          <w:color w:val="auto"/>
        </w:rPr>
        <w:t xml:space="preserve">, </w:t>
      </w:r>
      <w:r w:rsidRPr="002F1ECA">
        <w:rPr>
          <w:i/>
          <w:iCs/>
          <w:color w:val="auto"/>
        </w:rPr>
        <w:t>4</w:t>
      </w:r>
      <w:r w:rsidRPr="002F1ECA">
        <w:rPr>
          <w:color w:val="auto"/>
        </w:rPr>
        <w:t>(1), 24. https://doi.org/10.1186/s40359-016-0126-3</w:t>
      </w:r>
    </w:p>
    <w:p w:rsidR="002F1ECA" w:rsidRPr="002F1ECA" w:rsidP="00D06EDA" w14:paraId="13F52022" w14:textId="77777777">
      <w:pPr>
        <w:pStyle w:val="Bibliography"/>
        <w:ind w:left="720" w:hanging="720"/>
        <w:rPr>
          <w:color w:val="auto"/>
        </w:rPr>
      </w:pPr>
      <w:r w:rsidRPr="002F1ECA">
        <w:rPr>
          <w:color w:val="auto"/>
        </w:rPr>
        <w:t>Lakens</w:t>
      </w:r>
      <w:r w:rsidRPr="002F1ECA">
        <w:rPr>
          <w:color w:val="auto"/>
        </w:rPr>
        <w:t xml:space="preserve">, D., Page-Gould, E., van Assen, M. A. L. M., Spellman, B., </w:t>
      </w:r>
      <w:r w:rsidRPr="002F1ECA">
        <w:rPr>
          <w:color w:val="auto"/>
        </w:rPr>
        <w:t>Schönbrodt</w:t>
      </w:r>
      <w:r w:rsidRPr="002F1ECA">
        <w:rPr>
          <w:color w:val="auto"/>
        </w:rPr>
        <w:t xml:space="preserve">, F. D., </w:t>
      </w:r>
      <w:r w:rsidRPr="002F1ECA">
        <w:rPr>
          <w:color w:val="auto"/>
        </w:rPr>
        <w:t>Hasselman</w:t>
      </w:r>
      <w:r w:rsidRPr="002F1ECA">
        <w:rPr>
          <w:color w:val="auto"/>
        </w:rPr>
        <w:t xml:space="preserve">, F., Corker, K. S., Grange, J., Sharples, A., Cavender, C., </w:t>
      </w:r>
      <w:r w:rsidRPr="002F1ECA">
        <w:rPr>
          <w:color w:val="auto"/>
        </w:rPr>
        <w:t>Augusteijn</w:t>
      </w:r>
      <w:r w:rsidRPr="002F1ECA">
        <w:rPr>
          <w:color w:val="auto"/>
        </w:rPr>
        <w:t xml:space="preserve">, H., </w:t>
      </w:r>
      <w:r w:rsidRPr="002F1ECA">
        <w:rPr>
          <w:color w:val="auto"/>
        </w:rPr>
        <w:t>Augusteijn</w:t>
      </w:r>
      <w:r w:rsidRPr="002F1ECA">
        <w:rPr>
          <w:color w:val="auto"/>
        </w:rPr>
        <w:t xml:space="preserve">, H., </w:t>
      </w:r>
      <w:r w:rsidRPr="002F1ECA">
        <w:rPr>
          <w:color w:val="auto"/>
        </w:rPr>
        <w:t>Gerger</w:t>
      </w:r>
      <w:r w:rsidRPr="002F1ECA">
        <w:rPr>
          <w:color w:val="auto"/>
        </w:rPr>
        <w:t xml:space="preserve">, H., </w:t>
      </w:r>
      <w:r w:rsidRPr="002F1ECA">
        <w:rPr>
          <w:color w:val="auto"/>
        </w:rPr>
        <w:t>Locher</w:t>
      </w:r>
      <w:r w:rsidRPr="002F1ECA">
        <w:rPr>
          <w:color w:val="auto"/>
        </w:rPr>
        <w:t xml:space="preserve">, C., Miller, I. D., </w:t>
      </w:r>
      <w:r w:rsidRPr="002F1ECA">
        <w:rPr>
          <w:color w:val="auto"/>
        </w:rPr>
        <w:t>Anvari</w:t>
      </w:r>
      <w:r w:rsidRPr="002F1ECA">
        <w:rPr>
          <w:color w:val="auto"/>
        </w:rPr>
        <w:t xml:space="preserve">, F., &amp; Scheel, A. M. (2017). </w:t>
      </w:r>
      <w:r w:rsidRPr="002F1ECA">
        <w:rPr>
          <w:i/>
          <w:iCs/>
          <w:color w:val="auto"/>
        </w:rPr>
        <w:t>Examining the Reproducibility of Meta-Analyses in Psychology: A Preliminary Report</w:t>
      </w:r>
      <w:r w:rsidRPr="002F1ECA">
        <w:rPr>
          <w:color w:val="auto"/>
        </w:rPr>
        <w:t xml:space="preserve"> [Preprint]. BITSS. https://doi.org/10.31222/osf.io/xfbjf</w:t>
      </w:r>
    </w:p>
    <w:p w:rsidR="002F1ECA" w:rsidRPr="002F1ECA" w:rsidP="00D06EDA" w14:paraId="3DDE7665" w14:textId="77777777">
      <w:pPr>
        <w:pStyle w:val="Bibliography"/>
        <w:ind w:left="720" w:hanging="720"/>
        <w:rPr>
          <w:color w:val="auto"/>
        </w:rPr>
      </w:pPr>
      <w:r w:rsidRPr="002F1ECA">
        <w:rPr>
          <w:color w:val="auto"/>
        </w:rPr>
        <w:t xml:space="preserve">Leech, A., </w:t>
      </w:r>
      <w:r w:rsidRPr="002F1ECA">
        <w:rPr>
          <w:color w:val="auto"/>
        </w:rPr>
        <w:t>Bouyrden</w:t>
      </w:r>
      <w:r w:rsidRPr="002F1ECA">
        <w:rPr>
          <w:color w:val="auto"/>
        </w:rPr>
        <w:t xml:space="preserve">, J., </w:t>
      </w:r>
      <w:r w:rsidRPr="002F1ECA">
        <w:rPr>
          <w:color w:val="auto"/>
        </w:rPr>
        <w:t>Bruijsten</w:t>
      </w:r>
      <w:r w:rsidRPr="002F1ECA">
        <w:rPr>
          <w:color w:val="auto"/>
        </w:rPr>
        <w:t xml:space="preserve">, N., Barnes-Holmes, D., &amp; </w:t>
      </w:r>
      <w:r w:rsidRPr="002F1ECA">
        <w:rPr>
          <w:color w:val="auto"/>
        </w:rPr>
        <w:t>McEnteggart</w:t>
      </w:r>
      <w:r w:rsidRPr="002F1ECA">
        <w:rPr>
          <w:color w:val="auto"/>
        </w:rPr>
        <w:t xml:space="preserve">, C. (2018). Training and testing for a transformation of fear and avoidance functions using the Implicit Relational Assessment Procedure: The first study. </w:t>
      </w:r>
      <w:r w:rsidRPr="002F1ECA">
        <w:rPr>
          <w:i/>
          <w:iCs/>
          <w:color w:val="auto"/>
        </w:rPr>
        <w:t>Behavioural Processes</w:t>
      </w:r>
      <w:r w:rsidRPr="002F1ECA">
        <w:rPr>
          <w:color w:val="auto"/>
        </w:rPr>
        <w:t xml:space="preserve">, </w:t>
      </w:r>
      <w:r w:rsidRPr="002F1ECA">
        <w:rPr>
          <w:i/>
          <w:iCs/>
          <w:color w:val="auto"/>
        </w:rPr>
        <w:t>157</w:t>
      </w:r>
      <w:r w:rsidRPr="002F1ECA">
        <w:rPr>
          <w:color w:val="auto"/>
        </w:rPr>
        <w:t>, 24–35. https://doi.org/10.1016/j.beproc.2018.08.012</w:t>
      </w:r>
    </w:p>
    <w:p w:rsidR="002F1ECA" w:rsidRPr="002F1ECA" w:rsidP="00D06EDA" w14:paraId="1A70C375" w14:textId="77777777">
      <w:pPr>
        <w:pStyle w:val="Bibliography"/>
        <w:ind w:left="720" w:hanging="720"/>
        <w:rPr>
          <w:color w:val="auto"/>
        </w:rPr>
      </w:pPr>
      <w:r w:rsidRPr="002F1ECA">
        <w:rPr>
          <w:color w:val="auto"/>
        </w:rPr>
        <w:t>López-Nicolás, R., López-López, J. A., Rubio-Aparicio, M., &amp; Sánchez-</w:t>
      </w:r>
      <w:r w:rsidRPr="002F1ECA">
        <w:rPr>
          <w:color w:val="auto"/>
        </w:rPr>
        <w:t>Meca</w:t>
      </w:r>
      <w:r w:rsidRPr="002F1ECA">
        <w:rPr>
          <w:color w:val="auto"/>
        </w:rPr>
        <w:t xml:space="preserve">, J. (2022). A meta-review of transparency and reproducibility-related reporting practices in published meta-analyses on clinical psychological interventions (2000–2020). </w:t>
      </w:r>
      <w:r w:rsidRPr="002F1ECA">
        <w:rPr>
          <w:i/>
          <w:iCs/>
          <w:color w:val="auto"/>
        </w:rPr>
        <w:t>Behavior</w:t>
      </w:r>
      <w:r w:rsidRPr="002F1ECA">
        <w:rPr>
          <w:i/>
          <w:iCs/>
          <w:color w:val="auto"/>
        </w:rPr>
        <w:t xml:space="preserve"> Research Methods</w:t>
      </w:r>
      <w:r w:rsidRPr="002F1ECA">
        <w:rPr>
          <w:color w:val="auto"/>
        </w:rPr>
        <w:t xml:space="preserve">, </w:t>
      </w:r>
      <w:r w:rsidRPr="002F1ECA">
        <w:rPr>
          <w:i/>
          <w:iCs/>
          <w:color w:val="auto"/>
        </w:rPr>
        <w:t>54</w:t>
      </w:r>
      <w:r w:rsidRPr="002F1ECA">
        <w:rPr>
          <w:color w:val="auto"/>
        </w:rPr>
        <w:t>(1), 334–349. https://doi.org/10.3758/s13428-021-01644-z</w:t>
      </w:r>
    </w:p>
    <w:p w:rsidR="002F1ECA" w:rsidRPr="002F1ECA" w:rsidP="00D06EDA" w14:paraId="73070CE8" w14:textId="77777777">
      <w:pPr>
        <w:pStyle w:val="Bibliography"/>
        <w:ind w:left="720" w:hanging="720"/>
        <w:rPr>
          <w:color w:val="auto"/>
        </w:rPr>
      </w:pPr>
      <w:r w:rsidRPr="002F1ECA">
        <w:rPr>
          <w:color w:val="auto"/>
        </w:rPr>
        <w:t>Maassen</w:t>
      </w:r>
      <w:r w:rsidRPr="002F1ECA">
        <w:rPr>
          <w:color w:val="auto"/>
        </w:rPr>
        <w:t xml:space="preserve">, E., Assen, M. A. L. M. van, </w:t>
      </w:r>
      <w:r w:rsidRPr="002F1ECA">
        <w:rPr>
          <w:color w:val="auto"/>
        </w:rPr>
        <w:t>Nuijten</w:t>
      </w:r>
      <w:r w:rsidRPr="002F1ECA">
        <w:rPr>
          <w:color w:val="auto"/>
        </w:rPr>
        <w:t>, M. B., Olsson-</w:t>
      </w:r>
      <w:r w:rsidRPr="002F1ECA">
        <w:rPr>
          <w:color w:val="auto"/>
        </w:rPr>
        <w:t>Collentine</w:t>
      </w:r>
      <w:r w:rsidRPr="002F1ECA">
        <w:rPr>
          <w:color w:val="auto"/>
        </w:rPr>
        <w:t xml:space="preserve">, A., &amp; </w:t>
      </w:r>
      <w:r w:rsidRPr="002F1ECA">
        <w:rPr>
          <w:color w:val="auto"/>
        </w:rPr>
        <w:t>Wicherts</w:t>
      </w:r>
      <w:r w:rsidRPr="002F1ECA">
        <w:rPr>
          <w:color w:val="auto"/>
        </w:rPr>
        <w:t xml:space="preserve">, J. M. (2020). Reproducibility of individual effect sizes in meta-analyses in psychology. </w:t>
      </w:r>
      <w:r w:rsidRPr="002F1ECA">
        <w:rPr>
          <w:i/>
          <w:iCs/>
          <w:color w:val="auto"/>
        </w:rPr>
        <w:t>PLOS ONE</w:t>
      </w:r>
      <w:r w:rsidRPr="002F1ECA">
        <w:rPr>
          <w:color w:val="auto"/>
        </w:rPr>
        <w:t xml:space="preserve">, </w:t>
      </w:r>
      <w:r w:rsidRPr="002F1ECA">
        <w:rPr>
          <w:i/>
          <w:iCs/>
          <w:color w:val="auto"/>
        </w:rPr>
        <w:t>15</w:t>
      </w:r>
      <w:r w:rsidRPr="002F1ECA">
        <w:rPr>
          <w:color w:val="auto"/>
        </w:rPr>
        <w:t>(5), e0233107. https://doi.org/10.1371/journal.pone.0233107</w:t>
      </w:r>
    </w:p>
    <w:p w:rsidR="002F1ECA" w:rsidRPr="002F1ECA" w:rsidP="00D06EDA" w14:paraId="70872354" w14:textId="77777777">
      <w:pPr>
        <w:pStyle w:val="Bibliography"/>
        <w:ind w:left="720" w:hanging="720"/>
        <w:rPr>
          <w:color w:val="auto"/>
        </w:rPr>
      </w:pPr>
      <w:r w:rsidRPr="002F1ECA">
        <w:rPr>
          <w:color w:val="auto"/>
        </w:rPr>
        <w:t xml:space="preserve">Maloney, E., &amp; Barnes-Holmes, D. (2016). Exploring the </w:t>
      </w:r>
      <w:r w:rsidRPr="002F1ECA">
        <w:rPr>
          <w:color w:val="auto"/>
        </w:rPr>
        <w:t>Behavioral</w:t>
      </w:r>
      <w:r w:rsidRPr="002F1ECA">
        <w:rPr>
          <w:color w:val="auto"/>
        </w:rPr>
        <w:t xml:space="preserve"> Dynamics of the Implicit Relational Assessment Procedure: The Role of Relational Contextual Cues Versus Relational Coherence Indicators as Response Options. </w:t>
      </w:r>
      <w:r w:rsidRPr="002F1ECA">
        <w:rPr>
          <w:i/>
          <w:iCs/>
          <w:color w:val="auto"/>
        </w:rPr>
        <w:t>The Psychological Record</w:t>
      </w:r>
      <w:r w:rsidRPr="002F1ECA">
        <w:rPr>
          <w:color w:val="auto"/>
        </w:rPr>
        <w:t xml:space="preserve">, </w:t>
      </w:r>
      <w:r w:rsidRPr="002F1ECA">
        <w:rPr>
          <w:i/>
          <w:iCs/>
          <w:color w:val="auto"/>
        </w:rPr>
        <w:t>66</w:t>
      </w:r>
      <w:r w:rsidRPr="002F1ECA">
        <w:rPr>
          <w:color w:val="auto"/>
        </w:rPr>
        <w:t>(3), 395–403. https://doi.org/10.1007/s40732-016-0180-5</w:t>
      </w:r>
    </w:p>
    <w:p w:rsidR="002F1ECA" w:rsidRPr="002F1ECA" w:rsidP="00D06EDA" w14:paraId="0B6341E2" w14:textId="77777777">
      <w:pPr>
        <w:pStyle w:val="Bibliography"/>
        <w:ind w:left="720" w:hanging="720"/>
        <w:rPr>
          <w:color w:val="auto"/>
        </w:rPr>
      </w:pPr>
      <w:r w:rsidRPr="002F1ECA">
        <w:rPr>
          <w:color w:val="auto"/>
        </w:rPr>
        <w:t xml:space="preserve">Marin, F., Rohatgi, A., &amp; </w:t>
      </w:r>
      <w:r w:rsidRPr="002F1ECA">
        <w:rPr>
          <w:color w:val="auto"/>
        </w:rPr>
        <w:t>Charlot</w:t>
      </w:r>
      <w:r w:rsidRPr="002F1ECA">
        <w:rPr>
          <w:color w:val="auto"/>
        </w:rPr>
        <w:t xml:space="preserve">, S. (2017). </w:t>
      </w:r>
      <w:r w:rsidRPr="002F1ECA">
        <w:rPr>
          <w:i/>
          <w:iCs/>
          <w:color w:val="auto"/>
        </w:rPr>
        <w:t>WebPlotDigitizer</w:t>
      </w:r>
      <w:r w:rsidRPr="002F1ECA">
        <w:rPr>
          <w:i/>
          <w:iCs/>
          <w:color w:val="auto"/>
        </w:rPr>
        <w:t xml:space="preserve">, a polyvalent and free software to extract spectra from old astronomical publications: Application to ultraviolet </w:t>
      </w:r>
      <w:r w:rsidRPr="002F1ECA">
        <w:rPr>
          <w:i/>
          <w:iCs/>
          <w:color w:val="auto"/>
        </w:rPr>
        <w:t>spectropolarimetry</w:t>
      </w:r>
      <w:r w:rsidRPr="002F1ECA">
        <w:rPr>
          <w:color w:val="auto"/>
        </w:rPr>
        <w:t xml:space="preserve"> (arXiv:1708.02025). </w:t>
      </w:r>
      <w:r w:rsidRPr="002F1ECA">
        <w:rPr>
          <w:color w:val="auto"/>
        </w:rPr>
        <w:t>arXiv</w:t>
      </w:r>
      <w:r w:rsidRPr="002F1ECA">
        <w:rPr>
          <w:color w:val="auto"/>
        </w:rPr>
        <w:t>. http://arxiv.org/abs/1708.02025</w:t>
      </w:r>
    </w:p>
    <w:p w:rsidR="002F1ECA" w:rsidRPr="002F1ECA" w:rsidP="00D06EDA" w14:paraId="79E33205" w14:textId="77777777">
      <w:pPr>
        <w:pStyle w:val="Bibliography"/>
        <w:ind w:left="720" w:hanging="720"/>
        <w:rPr>
          <w:color w:val="auto"/>
        </w:rPr>
      </w:pPr>
      <w:r w:rsidRPr="002F1ECA">
        <w:rPr>
          <w:color w:val="auto"/>
        </w:rPr>
        <w:t>Perugini</w:t>
      </w:r>
      <w:r w:rsidRPr="002F1ECA">
        <w:rPr>
          <w:color w:val="auto"/>
        </w:rPr>
        <w:t xml:space="preserve">, M., Gallucci, M., &amp; </w:t>
      </w:r>
      <w:r w:rsidRPr="002F1ECA">
        <w:rPr>
          <w:color w:val="auto"/>
        </w:rPr>
        <w:t>Costantini</w:t>
      </w:r>
      <w:r w:rsidRPr="002F1ECA">
        <w:rPr>
          <w:color w:val="auto"/>
        </w:rPr>
        <w:t xml:space="preserve">, G. (2014). Safeguard Power as a Protection Against Imprecise Power Estimates. </w:t>
      </w:r>
      <w:r w:rsidRPr="002F1ECA">
        <w:rPr>
          <w:i/>
          <w:iCs/>
          <w:color w:val="auto"/>
        </w:rPr>
        <w:t>Perspectives on Psychological Science</w:t>
      </w:r>
      <w:r w:rsidRPr="002F1ECA">
        <w:rPr>
          <w:color w:val="auto"/>
        </w:rPr>
        <w:t xml:space="preserve">, </w:t>
      </w:r>
      <w:r w:rsidRPr="002F1ECA">
        <w:rPr>
          <w:i/>
          <w:iCs/>
          <w:color w:val="auto"/>
        </w:rPr>
        <w:t>9</w:t>
      </w:r>
      <w:r w:rsidRPr="002F1ECA">
        <w:rPr>
          <w:color w:val="auto"/>
        </w:rPr>
        <w:t>(3), 319–332. https://doi.org/10.1177/1745691614528519</w:t>
      </w:r>
    </w:p>
    <w:p w:rsidR="002F1ECA" w:rsidRPr="002F1ECA" w:rsidP="00D06EDA" w14:paraId="1C02EF7E" w14:textId="77777777">
      <w:pPr>
        <w:pStyle w:val="Bibliography"/>
        <w:ind w:left="720" w:hanging="720"/>
        <w:rPr>
          <w:color w:val="auto"/>
        </w:rPr>
      </w:pPr>
      <w:r w:rsidRPr="002F1ECA">
        <w:rPr>
          <w:color w:val="auto"/>
        </w:rPr>
        <w:t xml:space="preserve">Plessen, C. Y., </w:t>
      </w:r>
      <w:r w:rsidRPr="002F1ECA">
        <w:rPr>
          <w:color w:val="auto"/>
        </w:rPr>
        <w:t>Karyotaki</w:t>
      </w:r>
      <w:r w:rsidRPr="002F1ECA">
        <w:rPr>
          <w:color w:val="auto"/>
        </w:rPr>
        <w:t xml:space="preserve">, E., Miguel, C., </w:t>
      </w:r>
      <w:r w:rsidRPr="002F1ECA">
        <w:rPr>
          <w:color w:val="auto"/>
        </w:rPr>
        <w:t>Ciharova</w:t>
      </w:r>
      <w:r w:rsidRPr="002F1ECA">
        <w:rPr>
          <w:color w:val="auto"/>
        </w:rPr>
        <w:t xml:space="preserve">, M., &amp; </w:t>
      </w:r>
      <w:r w:rsidRPr="002F1ECA">
        <w:rPr>
          <w:color w:val="auto"/>
        </w:rPr>
        <w:t>Cuijpers</w:t>
      </w:r>
      <w:r w:rsidRPr="002F1ECA">
        <w:rPr>
          <w:color w:val="auto"/>
        </w:rPr>
        <w:t xml:space="preserve">, P. (2023). Exploring the efficacy of psychotherapies for depression: A multiverse meta-analysis. </w:t>
      </w:r>
      <w:r w:rsidRPr="002F1ECA">
        <w:rPr>
          <w:i/>
          <w:iCs/>
          <w:color w:val="auto"/>
        </w:rPr>
        <w:t xml:space="preserve">BMJ </w:t>
      </w:r>
      <w:r w:rsidRPr="002F1ECA">
        <w:rPr>
          <w:i/>
          <w:iCs/>
          <w:color w:val="auto"/>
        </w:rPr>
        <w:t>Ment</w:t>
      </w:r>
      <w:r w:rsidRPr="002F1ECA">
        <w:rPr>
          <w:i/>
          <w:iCs/>
          <w:color w:val="auto"/>
        </w:rPr>
        <w:t xml:space="preserve"> Health</w:t>
      </w:r>
      <w:r w:rsidRPr="002F1ECA">
        <w:rPr>
          <w:color w:val="auto"/>
        </w:rPr>
        <w:t xml:space="preserve">, </w:t>
      </w:r>
      <w:r w:rsidRPr="002F1ECA">
        <w:rPr>
          <w:i/>
          <w:iCs/>
          <w:color w:val="auto"/>
        </w:rPr>
        <w:t>26</w:t>
      </w:r>
      <w:r w:rsidRPr="002F1ECA">
        <w:rPr>
          <w:color w:val="auto"/>
        </w:rPr>
        <w:t>(1). https://doi.org/10.1136/bmjment-2022-300626</w:t>
      </w:r>
    </w:p>
    <w:p w:rsidR="002F1ECA" w:rsidRPr="002F1ECA" w:rsidP="00D06EDA" w14:paraId="37AA6A0C" w14:textId="77777777">
      <w:pPr>
        <w:pStyle w:val="Bibliography"/>
        <w:ind w:left="720" w:hanging="720"/>
        <w:rPr>
          <w:color w:val="auto"/>
        </w:rPr>
      </w:pPr>
      <w:r w:rsidRPr="002F1ECA">
        <w:rPr>
          <w:color w:val="auto"/>
        </w:rPr>
        <w:t xml:space="preserve">Power, P. M., Harte, C., Barnes-Holmes, D., &amp; Barnes-Holmes, Y. (2017). Exploring Racial Bias in a European Country with a Recent History of Immigration of Black Africans. </w:t>
      </w:r>
      <w:r w:rsidRPr="002F1ECA">
        <w:rPr>
          <w:i/>
          <w:iCs/>
          <w:color w:val="auto"/>
        </w:rPr>
        <w:t>The Psychological Record</w:t>
      </w:r>
      <w:r w:rsidRPr="002F1ECA">
        <w:rPr>
          <w:color w:val="auto"/>
        </w:rPr>
        <w:t xml:space="preserve">, </w:t>
      </w:r>
      <w:r w:rsidRPr="002F1ECA">
        <w:rPr>
          <w:i/>
          <w:iCs/>
          <w:color w:val="auto"/>
        </w:rPr>
        <w:t>67</w:t>
      </w:r>
      <w:r w:rsidRPr="002F1ECA">
        <w:rPr>
          <w:color w:val="auto"/>
        </w:rPr>
        <w:t>(3), 365–375. https://doi.org/10.1007/s40732-017-0223-6</w:t>
      </w:r>
    </w:p>
    <w:p w:rsidR="002F1ECA" w:rsidRPr="002F1ECA" w:rsidP="00D06EDA" w14:paraId="1FB32DD2" w14:textId="77777777">
      <w:pPr>
        <w:pStyle w:val="Bibliography"/>
        <w:ind w:left="720" w:hanging="720"/>
        <w:rPr>
          <w:color w:val="auto"/>
        </w:rPr>
      </w:pPr>
      <w:r w:rsidRPr="002F1ECA">
        <w:rPr>
          <w:color w:val="auto"/>
        </w:rPr>
        <w:t>Revelle</w:t>
      </w:r>
      <w:r w:rsidRPr="002F1ECA">
        <w:rPr>
          <w:color w:val="auto"/>
        </w:rPr>
        <w:t xml:space="preserve">, W. (2009). </w:t>
      </w:r>
      <w:r w:rsidRPr="002F1ECA">
        <w:rPr>
          <w:i/>
          <w:iCs/>
          <w:color w:val="auto"/>
        </w:rPr>
        <w:t>An introduction to psychometric theory with applications in R</w:t>
      </w:r>
      <w:r w:rsidRPr="002F1ECA">
        <w:rPr>
          <w:color w:val="auto"/>
        </w:rPr>
        <w:t>. Springer Evanston, IL. https://www.personality-project.org/r/book/</w:t>
      </w:r>
    </w:p>
    <w:p w:rsidR="002F1ECA" w:rsidRPr="002F1ECA" w:rsidP="00D06EDA" w14:paraId="37F19480" w14:textId="77777777">
      <w:pPr>
        <w:pStyle w:val="Bibliography"/>
        <w:ind w:left="720" w:hanging="720"/>
        <w:rPr>
          <w:color w:val="auto"/>
        </w:rPr>
      </w:pPr>
      <w:r w:rsidRPr="002F1ECA">
        <w:rPr>
          <w:color w:val="auto"/>
        </w:rPr>
        <w:t>Richard, F. D., Bond, C. F., &amp; Stokes-</w:t>
      </w:r>
      <w:r w:rsidRPr="002F1ECA">
        <w:rPr>
          <w:color w:val="auto"/>
        </w:rPr>
        <w:t>Zoota</w:t>
      </w:r>
      <w:r w:rsidRPr="002F1ECA">
        <w:rPr>
          <w:color w:val="auto"/>
        </w:rPr>
        <w:t xml:space="preserve">, J. J. (2003). One Hundred Years of Social Psychology Quantitatively Described. </w:t>
      </w:r>
      <w:r w:rsidRPr="002F1ECA">
        <w:rPr>
          <w:i/>
          <w:iCs/>
          <w:color w:val="auto"/>
        </w:rPr>
        <w:t>Review of General Psychology</w:t>
      </w:r>
      <w:r w:rsidRPr="002F1ECA">
        <w:rPr>
          <w:color w:val="auto"/>
        </w:rPr>
        <w:t xml:space="preserve">, </w:t>
      </w:r>
      <w:r w:rsidRPr="002F1ECA">
        <w:rPr>
          <w:i/>
          <w:iCs/>
          <w:color w:val="auto"/>
        </w:rPr>
        <w:t>7</w:t>
      </w:r>
      <w:r w:rsidRPr="002F1ECA">
        <w:rPr>
          <w:color w:val="auto"/>
        </w:rPr>
        <w:t>(4), 331–363. https://doi.org/10.1037/1089-2680.7.4.331</w:t>
      </w:r>
    </w:p>
    <w:p w:rsidR="002F1ECA" w:rsidRPr="002F1ECA" w:rsidP="00D06EDA" w14:paraId="49DAC9B7" w14:textId="77777777">
      <w:pPr>
        <w:pStyle w:val="Bibliography"/>
        <w:ind w:left="720" w:hanging="720"/>
        <w:rPr>
          <w:color w:val="auto"/>
        </w:rPr>
      </w:pPr>
      <w:r w:rsidRPr="002F1ECA">
        <w:rPr>
          <w:color w:val="auto"/>
        </w:rPr>
        <w:t>Rücker</w:t>
      </w:r>
      <w:r w:rsidRPr="002F1ECA">
        <w:rPr>
          <w:color w:val="auto"/>
        </w:rPr>
        <w:t xml:space="preserve">, G., Carpenter, J. R., &amp; Schwarzer, G. (2011). Detecting and adjusting for small-study effects in meta-analysis. </w:t>
      </w:r>
      <w:r w:rsidRPr="002F1ECA">
        <w:rPr>
          <w:i/>
          <w:iCs/>
          <w:color w:val="auto"/>
        </w:rPr>
        <w:t>Biometrical Journal</w:t>
      </w:r>
      <w:r w:rsidRPr="002F1ECA">
        <w:rPr>
          <w:color w:val="auto"/>
        </w:rPr>
        <w:t xml:space="preserve">, </w:t>
      </w:r>
      <w:r w:rsidRPr="002F1ECA">
        <w:rPr>
          <w:i/>
          <w:iCs/>
          <w:color w:val="auto"/>
        </w:rPr>
        <w:t>53</w:t>
      </w:r>
      <w:r w:rsidRPr="002F1ECA">
        <w:rPr>
          <w:color w:val="auto"/>
        </w:rPr>
        <w:t>(2), 351–368. https://doi.org/10.1002/bimj.201000151</w:t>
      </w:r>
    </w:p>
    <w:p w:rsidR="002F1ECA" w:rsidRPr="002F1ECA" w:rsidP="00D06EDA" w14:paraId="69795BCD" w14:textId="77777777">
      <w:pPr>
        <w:pStyle w:val="Bibliography"/>
        <w:ind w:left="720" w:hanging="720"/>
        <w:rPr>
          <w:color w:val="auto"/>
        </w:rPr>
      </w:pPr>
      <w:r w:rsidRPr="002F1ECA">
        <w:rPr>
          <w:color w:val="auto"/>
        </w:rPr>
        <w:t xml:space="preserve">Sterne, J. A. C., Gavaghan, D., &amp; Egger, M. (2000). Publication and related bias in meta-analysis: Power of statistical tests and prevalence in the literature. </w:t>
      </w:r>
      <w:r w:rsidRPr="002F1ECA">
        <w:rPr>
          <w:i/>
          <w:iCs/>
          <w:color w:val="auto"/>
        </w:rPr>
        <w:t>Journal of Clinical Epidemiology</w:t>
      </w:r>
      <w:r w:rsidRPr="002F1ECA">
        <w:rPr>
          <w:color w:val="auto"/>
        </w:rPr>
        <w:t xml:space="preserve">, </w:t>
      </w:r>
      <w:r w:rsidRPr="002F1ECA">
        <w:rPr>
          <w:i/>
          <w:iCs/>
          <w:color w:val="auto"/>
        </w:rPr>
        <w:t>53</w:t>
      </w:r>
      <w:r w:rsidRPr="002F1ECA">
        <w:rPr>
          <w:color w:val="auto"/>
        </w:rPr>
        <w:t>(11), 1119–1129. https://doi.org/10.1016/S0895-4356(00)00242-0</w:t>
      </w:r>
    </w:p>
    <w:p w:rsidR="002F1ECA" w:rsidRPr="002F1ECA" w:rsidP="00D06EDA" w14:paraId="6FC3BE02" w14:textId="77777777">
      <w:pPr>
        <w:pStyle w:val="Bibliography"/>
        <w:ind w:left="720" w:hanging="720"/>
        <w:rPr>
          <w:color w:val="auto"/>
        </w:rPr>
      </w:pPr>
      <w:r w:rsidRPr="002F1ECA">
        <w:rPr>
          <w:color w:val="auto"/>
        </w:rPr>
        <w:t xml:space="preserve">Vahey, N. A., Barnes-Holmes, D., Barnes-Holmes, Y., &amp; Stewart, I. (2009). A first test of the Implicit Relational Assessment Procedure (IRAP) as a measure of self-esteem: Irish prisoner groups and university students. </w:t>
      </w:r>
      <w:r w:rsidRPr="002F1ECA">
        <w:rPr>
          <w:i/>
          <w:iCs/>
          <w:color w:val="auto"/>
        </w:rPr>
        <w:t>The Psychological Record</w:t>
      </w:r>
      <w:r w:rsidRPr="002F1ECA">
        <w:rPr>
          <w:color w:val="auto"/>
        </w:rPr>
        <w:t xml:space="preserve">, </w:t>
      </w:r>
      <w:r w:rsidRPr="002F1ECA">
        <w:rPr>
          <w:i/>
          <w:iCs/>
          <w:color w:val="auto"/>
        </w:rPr>
        <w:t>59</w:t>
      </w:r>
      <w:r w:rsidRPr="002F1ECA">
        <w:rPr>
          <w:color w:val="auto"/>
        </w:rPr>
        <w:t>(3), 371–388.</w:t>
      </w:r>
    </w:p>
    <w:p w:rsidR="002F1ECA" w:rsidRPr="002F1ECA" w:rsidP="00D06EDA" w14:paraId="435D3A34" w14:textId="77777777">
      <w:pPr>
        <w:pStyle w:val="Bibliography"/>
        <w:ind w:left="720" w:hanging="720"/>
        <w:rPr>
          <w:color w:val="auto"/>
        </w:rPr>
      </w:pPr>
      <w:r w:rsidRPr="002F1ECA">
        <w:rPr>
          <w:color w:val="auto"/>
        </w:rPr>
        <w:t xml:space="preserve">Vahey, N. A., Boles, S., &amp; Barnes-Holmes, D. (2010). Measuring adolescents’ smoking-related social identity preferences with the Implicit Relational Assessment Procedure (IRAP) for the first time: A starting point that explains later IRAP evolutions. </w:t>
      </w:r>
      <w:r w:rsidRPr="002F1ECA">
        <w:rPr>
          <w:i/>
          <w:iCs/>
          <w:color w:val="auto"/>
        </w:rPr>
        <w:t>International Journal of Psychology and Psychological Therapy</w:t>
      </w:r>
      <w:r w:rsidRPr="002F1ECA">
        <w:rPr>
          <w:color w:val="auto"/>
        </w:rPr>
        <w:t xml:space="preserve">, </w:t>
      </w:r>
      <w:r w:rsidRPr="002F1ECA">
        <w:rPr>
          <w:i/>
          <w:iCs/>
          <w:color w:val="auto"/>
        </w:rPr>
        <w:t>10</w:t>
      </w:r>
      <w:r w:rsidRPr="002F1ECA">
        <w:rPr>
          <w:color w:val="auto"/>
        </w:rPr>
        <w:t>(3), 453–474.</w:t>
      </w:r>
    </w:p>
    <w:p w:rsidR="002F1ECA" w:rsidRPr="002F1ECA" w:rsidP="00D06EDA" w14:paraId="6A8EB0E2" w14:textId="77777777">
      <w:pPr>
        <w:pStyle w:val="Bibliography"/>
        <w:ind w:left="720" w:hanging="720"/>
        <w:rPr>
          <w:color w:val="auto"/>
        </w:rPr>
      </w:pPr>
      <w:r w:rsidRPr="002F1ECA">
        <w:rPr>
          <w:color w:val="auto"/>
        </w:rPr>
        <w:t xml:space="preserve">Vahey, N. A., Nicholson, E., &amp; Barnes-Holmes, D. (2015). A meta-analysis of criterion effects for the Implicit Relational Assessment Procedure (IRAP) in the clinical domain. </w:t>
      </w:r>
      <w:r w:rsidRPr="002F1ECA">
        <w:rPr>
          <w:i/>
          <w:iCs/>
          <w:color w:val="auto"/>
        </w:rPr>
        <w:t xml:space="preserve">Journal of </w:t>
      </w:r>
      <w:r w:rsidRPr="002F1ECA">
        <w:rPr>
          <w:i/>
          <w:iCs/>
          <w:color w:val="auto"/>
        </w:rPr>
        <w:t>Behavior</w:t>
      </w:r>
      <w:r w:rsidRPr="002F1ECA">
        <w:rPr>
          <w:i/>
          <w:iCs/>
          <w:color w:val="auto"/>
        </w:rPr>
        <w:t xml:space="preserve"> Therapy and Experimental Psychiatry</w:t>
      </w:r>
      <w:r w:rsidRPr="002F1ECA">
        <w:rPr>
          <w:color w:val="auto"/>
        </w:rPr>
        <w:t xml:space="preserve">, </w:t>
      </w:r>
      <w:r w:rsidRPr="002F1ECA">
        <w:rPr>
          <w:i/>
          <w:iCs/>
          <w:color w:val="auto"/>
        </w:rPr>
        <w:t>48</w:t>
      </w:r>
      <w:r w:rsidRPr="002F1ECA">
        <w:rPr>
          <w:color w:val="auto"/>
        </w:rPr>
        <w:t>, 59–65. https://doi.org/10.1016/j.jbtep.2015.01.004</w:t>
      </w:r>
    </w:p>
    <w:p w:rsidR="002F1ECA" w:rsidRPr="002F1ECA" w:rsidP="00D06EDA" w14:paraId="7F24BFB0" w14:textId="77777777">
      <w:pPr>
        <w:pStyle w:val="Bibliography"/>
        <w:ind w:left="720" w:hanging="720"/>
        <w:rPr>
          <w:color w:val="auto"/>
        </w:rPr>
      </w:pPr>
      <w:r w:rsidRPr="002F1ECA">
        <w:rPr>
          <w:color w:val="auto"/>
        </w:rPr>
        <w:t>Vevea</w:t>
      </w:r>
      <w:r w:rsidRPr="002F1ECA">
        <w:rPr>
          <w:color w:val="auto"/>
        </w:rPr>
        <w:t xml:space="preserve">, J. L., &amp; Woods, C. M. (2005). Publication bias in research synthesis: Sensitivity analysis using a priori weight functions. </w:t>
      </w:r>
      <w:r w:rsidRPr="002F1ECA">
        <w:rPr>
          <w:i/>
          <w:iCs/>
          <w:color w:val="auto"/>
        </w:rPr>
        <w:t>Psychological Methods</w:t>
      </w:r>
      <w:r w:rsidRPr="002F1ECA">
        <w:rPr>
          <w:color w:val="auto"/>
        </w:rPr>
        <w:t xml:space="preserve">, </w:t>
      </w:r>
      <w:r w:rsidRPr="002F1ECA">
        <w:rPr>
          <w:i/>
          <w:iCs/>
          <w:color w:val="auto"/>
        </w:rPr>
        <w:t>10</w:t>
      </w:r>
      <w:r w:rsidRPr="002F1ECA">
        <w:rPr>
          <w:color w:val="auto"/>
        </w:rPr>
        <w:t>(4), 428–443. https://doi.org/10.1037/1082-989X.10.4.428</w:t>
      </w:r>
    </w:p>
    <w:p w:rsidR="002F1ECA" w:rsidRPr="002F1ECA" w:rsidP="00D06EDA" w14:paraId="3FDAD13A" w14:textId="77777777">
      <w:pPr>
        <w:pStyle w:val="Bibliography"/>
        <w:ind w:left="720" w:hanging="720"/>
        <w:rPr>
          <w:color w:val="auto"/>
        </w:rPr>
      </w:pPr>
      <w:r w:rsidRPr="002F1ECA">
        <w:rPr>
          <w:color w:val="auto"/>
        </w:rPr>
        <w:t>Viechtbauer</w:t>
      </w:r>
      <w:r w:rsidRPr="002F1ECA">
        <w:rPr>
          <w:color w:val="auto"/>
        </w:rPr>
        <w:t xml:space="preserve">, W. (2010). Conducting Meta-Analyses in R with the metafor Package. </w:t>
      </w:r>
      <w:r w:rsidRPr="002F1ECA">
        <w:rPr>
          <w:i/>
          <w:iCs/>
          <w:color w:val="auto"/>
        </w:rPr>
        <w:t>Journal of Statistical Software</w:t>
      </w:r>
      <w:r w:rsidRPr="002F1ECA">
        <w:rPr>
          <w:color w:val="auto"/>
        </w:rPr>
        <w:t xml:space="preserve">, </w:t>
      </w:r>
      <w:r w:rsidRPr="002F1ECA">
        <w:rPr>
          <w:i/>
          <w:iCs/>
          <w:color w:val="auto"/>
        </w:rPr>
        <w:t>36</w:t>
      </w:r>
      <w:r w:rsidRPr="002F1ECA">
        <w:rPr>
          <w:color w:val="auto"/>
        </w:rPr>
        <w:t>(3). https://doi.org/10.18637/jss.v036.i03</w:t>
      </w:r>
    </w:p>
    <w:p w:rsidR="002F1ECA" w:rsidRPr="002F1ECA" w:rsidP="00D06EDA" w14:paraId="48997583" w14:textId="77777777">
      <w:pPr>
        <w:pStyle w:val="Bibliography"/>
        <w:ind w:left="720" w:hanging="720"/>
        <w:rPr>
          <w:color w:val="auto"/>
        </w:rPr>
      </w:pPr>
      <w:r w:rsidRPr="002F1ECA">
        <w:rPr>
          <w:color w:val="auto"/>
        </w:rPr>
        <w:t>Viechtbauer</w:t>
      </w:r>
      <w:r w:rsidRPr="002F1ECA">
        <w:rPr>
          <w:color w:val="auto"/>
        </w:rPr>
        <w:t xml:space="preserve">, W. (2022). </w:t>
      </w:r>
      <w:r w:rsidRPr="002F1ECA">
        <w:rPr>
          <w:i/>
          <w:iCs/>
          <w:color w:val="auto"/>
        </w:rPr>
        <w:t>Hunter and Schmidt Method</w:t>
      </w:r>
      <w:r w:rsidRPr="002F1ECA">
        <w:rPr>
          <w:color w:val="auto"/>
        </w:rPr>
        <w:t>. https://www.metafor-project.org/doku.php/tips:hunter_schmidt_method</w:t>
      </w:r>
    </w:p>
    <w:p w:rsidR="002F1ECA" w:rsidRPr="002F1ECA" w:rsidP="00D06EDA" w14:paraId="423DFB74" w14:textId="77777777">
      <w:pPr>
        <w:pStyle w:val="Bibliography"/>
        <w:ind w:left="720" w:hanging="720"/>
        <w:rPr>
          <w:color w:val="auto"/>
        </w:rPr>
      </w:pPr>
      <w:r w:rsidRPr="002F1ECA">
        <w:rPr>
          <w:color w:val="auto"/>
        </w:rPr>
        <w:t>Viechtbauer</w:t>
      </w:r>
      <w:r w:rsidRPr="002F1ECA">
        <w:rPr>
          <w:color w:val="auto"/>
        </w:rPr>
        <w:t xml:space="preserve">, W. (2024). </w:t>
      </w:r>
      <w:r w:rsidRPr="002F1ECA">
        <w:rPr>
          <w:i/>
          <w:iCs/>
          <w:color w:val="auto"/>
        </w:rPr>
        <w:t>metafor: Meta-Analysis Package for R</w:t>
      </w:r>
      <w:r w:rsidRPr="002F1ECA">
        <w:rPr>
          <w:color w:val="auto"/>
        </w:rPr>
        <w:t xml:space="preserve"> (Version 4.6-0) [Computer software]. https://CRAN.R-project.org/package=metafor</w:t>
      </w:r>
    </w:p>
    <w:p w:rsidR="002F1ECA" w:rsidRPr="002F1ECA" w:rsidP="00D06EDA" w14:paraId="5EE47B50" w14:textId="77777777">
      <w:pPr>
        <w:pStyle w:val="Bibliography"/>
        <w:ind w:left="720" w:hanging="720"/>
        <w:rPr>
          <w:color w:val="auto"/>
        </w:rPr>
      </w:pPr>
      <w:r w:rsidRPr="002F1ECA">
        <w:rPr>
          <w:color w:val="auto"/>
        </w:rPr>
        <w:t xml:space="preserve">Wilkinson, J., Heal, C., Antoniou, G. A., </w:t>
      </w:r>
      <w:r w:rsidRPr="002F1ECA">
        <w:rPr>
          <w:color w:val="auto"/>
        </w:rPr>
        <w:t>Alfirevic</w:t>
      </w:r>
      <w:r w:rsidRPr="002F1ECA">
        <w:rPr>
          <w:color w:val="auto"/>
        </w:rPr>
        <w:t xml:space="preserve">, Z., </w:t>
      </w:r>
      <w:r w:rsidRPr="002F1ECA">
        <w:rPr>
          <w:color w:val="auto"/>
        </w:rPr>
        <w:t>Avenell</w:t>
      </w:r>
      <w:r w:rsidRPr="002F1ECA">
        <w:rPr>
          <w:color w:val="auto"/>
        </w:rPr>
        <w:t xml:space="preserve">, A., Barbour, V., Brown, N. J. L., Carlisle, J., Dicker, P., </w:t>
      </w:r>
      <w:r w:rsidRPr="002F1ECA">
        <w:rPr>
          <w:color w:val="auto"/>
        </w:rPr>
        <w:t>Dumville</w:t>
      </w:r>
      <w:r w:rsidRPr="002F1ECA">
        <w:rPr>
          <w:color w:val="auto"/>
        </w:rPr>
        <w:t xml:space="preserve">, J., Grey, A., </w:t>
      </w:r>
      <w:r w:rsidRPr="002F1ECA">
        <w:rPr>
          <w:color w:val="auto"/>
        </w:rPr>
        <w:t>Gurrin</w:t>
      </w:r>
      <w:r w:rsidRPr="002F1ECA">
        <w:rPr>
          <w:color w:val="auto"/>
        </w:rPr>
        <w:t xml:space="preserve">, L. C., Hayden, J. A., Heathers, J., Hunter, K. E., </w:t>
      </w:r>
      <w:r w:rsidRPr="002F1ECA">
        <w:rPr>
          <w:color w:val="auto"/>
        </w:rPr>
        <w:t>Lasserson</w:t>
      </w:r>
      <w:r w:rsidRPr="002F1ECA">
        <w:rPr>
          <w:color w:val="auto"/>
        </w:rPr>
        <w:t xml:space="preserve">, T., Lam, E., </w:t>
      </w:r>
      <w:r w:rsidRPr="002F1ECA">
        <w:rPr>
          <w:color w:val="auto"/>
        </w:rPr>
        <w:t>Lensen</w:t>
      </w:r>
      <w:r w:rsidRPr="002F1ECA">
        <w:rPr>
          <w:color w:val="auto"/>
        </w:rPr>
        <w:t xml:space="preserve">, S., Li, T., … Kirkham, J. J. (2023). </w:t>
      </w:r>
      <w:r w:rsidRPr="002F1ECA">
        <w:rPr>
          <w:i/>
          <w:iCs/>
          <w:color w:val="auto"/>
        </w:rPr>
        <w:t>Protocol for the development of a tool (INSPECT-SR) to identify problematic randomised controlled trials in systematic reviews of health interventions</w:t>
      </w:r>
      <w:r w:rsidRPr="002F1ECA">
        <w:rPr>
          <w:color w:val="auto"/>
        </w:rPr>
        <w:t xml:space="preserve"> (p. 2023.09.21.23295626). </w:t>
      </w:r>
      <w:r w:rsidRPr="002F1ECA">
        <w:rPr>
          <w:color w:val="auto"/>
        </w:rPr>
        <w:t>medRxiv</w:t>
      </w:r>
      <w:r w:rsidRPr="002F1ECA">
        <w:rPr>
          <w:color w:val="auto"/>
        </w:rPr>
        <w:t>. https://doi.org/10.1101/2023.09.21.23295626</w:t>
      </w:r>
    </w:p>
    <w:p w:rsidR="00954504" w:rsidRPr="00832F7C" w:rsidP="00D06EDA" w14:paraId="3B566FFD" w14:textId="7C58B6DE">
      <w:pPr>
        <w:ind w:left="720" w:hanging="720"/>
      </w:pPr>
      <w:r w:rsidRPr="00832F7C">
        <w:fldChar w:fldCharType="end"/>
      </w:r>
    </w:p>
    <w:p w:rsidR="00F0388F" w:rsidRPr="00832F7C" w:rsidP="00D77465" w14:paraId="7E1308A9" w14:textId="77777777">
      <w:pPr>
        <w:sectPr w:rsidSect="00D77465">
          <w:type w:val="continuous"/>
          <w:pgSz w:w="11900" w:h="16840"/>
          <w:pgMar w:top="1440" w:right="1440" w:bottom="1440" w:left="1440" w:header="709" w:footer="709" w:gutter="0"/>
          <w:cols w:space="340"/>
          <w:titlePg/>
          <w:docGrid w:linePitch="360"/>
          <w15:footnoteColumns w:val="1"/>
        </w:sectPr>
      </w:pPr>
      <w:r w:rsidRPr="00832F7C">
        <w:t xml:space="preserve"> </w:t>
      </w:r>
    </w:p>
    <w:p w:rsidR="00E976A8" w:rsidRPr="00832F7C" w:rsidP="00D77465" w14:paraId="3B402DBC" w14:textId="77777777"/>
    <w:sectPr w:rsidSect="00D77465">
      <w:type w:val="continuous"/>
      <w:pgSz w:w="11900" w:h="16840"/>
      <w:pgMar w:top="1440" w:right="1440" w:bottom="1440" w:left="1440" w:header="709" w:footer="709" w:gutter="0"/>
      <w:cols w:space="708"/>
      <w:docGrid w:linePitch="360"/>
      <w15:footnoteColumns w:val="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rPr>
        <w:rStyle w:val="PageNumber"/>
      </w:rPr>
      <w:id w:val="1061673761"/>
      <w:docPartObj>
        <w:docPartGallery w:val="Page Numbers (Bottom of Page)"/>
        <w:docPartUnique/>
      </w:docPartObj>
    </w:sdtPr>
    <w:sdtContent>
      <w:p w:rsidR="008153E3" w:rsidP="00F94C14" w14:paraId="731806F2" w14:textId="7777777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rsidR="008153E3" w:rsidP="00F94C14" w14:paraId="7BCF53E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8153E3" w:rsidP="00F94C14" w14:paraId="547E9A91" w14:textId="5C18B7A8">
    <w:pPr>
      <w:pStyle w:val="Footer"/>
      <w:rPr>
        <w:rStyle w:val="PageNumber"/>
      </w:rPr>
    </w:pPr>
  </w:p>
  <w:p w:rsidR="008153E3" w:rsidRPr="008153E3" w:rsidP="00F94C14" w14:paraId="17FC8458" w14:textId="7777777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footnote w:type="separator" w:id="0">
    <w:p w:rsidR="005D279A" w:rsidP="00D77465" w14:paraId="01DB61C5" w14:textId="77777777">
      <w:r>
        <w:separator/>
      </w:r>
    </w:p>
  </w:footnote>
  <w:footnote w:type="continuationSeparator" w:id="1">
    <w:p w:rsidR="005D279A" w:rsidP="00D77465" w14:paraId="064791BD" w14:textId="77777777">
      <w:r>
        <w:continuationSeparator/>
      </w:r>
    </w:p>
  </w:footnote>
  <w:footnote w:id="2">
    <w:p w:rsidR="00663892" w:rsidRPr="00F94C14" w:rsidP="00F94C14" w14:paraId="2478A9FA" w14:textId="6CA46723">
      <w:pPr>
        <w:pStyle w:val="FootnoteText"/>
        <w:rPr>
          <w:lang w:val="en-US"/>
        </w:rPr>
      </w:pPr>
      <w:r w:rsidRPr="00F94C14">
        <w:rPr>
          <w:rStyle w:val="FootnoteReference"/>
        </w:rPr>
        <w:footnoteRef/>
      </w:r>
      <w:r w:rsidRPr="00F94C14">
        <w:t xml:space="preserve"> Two other reviews of the IRAP’s test-retest reliability have also been conducted </w:t>
      </w:r>
      <w:r w:rsidRPr="00F94C14">
        <w:fldChar w:fldCharType="begin"/>
      </w:r>
      <w:r w:rsidRPr="00F94C14">
        <w:instrText xml:space="preserve"> ADDIN ZOTERO_ITEM CSL_CITATION {"citationID":"MuNlVxc2","properties":{"formattedCitation":"(Golijani-Moghaddam et al., 2013: r = .49; Greenwald &amp; Lai, 2020: r = .45)","plainCitation":"(Golijani-Moghaddam et al., 2013: r = .49; Greenwald &amp; Lai, 2020: r = .45)","dontUpdate":true,"noteIndex":1},"citationItems":[{"id":1874,"uris":["http://zotero.org/users/1687755/items/WEXEG2BA"],"itemData":{"id":1874,"type":"article-journal","container-title":"Journal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L."}],"issued":{"date-parts":[["2013",10]]}},"label":"page","suffix":": r = .49"},{"id":432,"uris":["http://zotero.org/users/1687755/items/UQYJYU63"],"itemData":{"id":432,"type":"article-journal","abstract":"In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K."}],"issued":{"date-parts":[["2020"]]}},"label":"page","suffix":": r = .45"}],"schema":"https://github.com/citation-style-language/schema/raw/master/csl-citation.json"} </w:instrText>
      </w:r>
      <w:r w:rsidRPr="00F94C14">
        <w:fldChar w:fldCharType="separate"/>
      </w:r>
      <w:r w:rsidRPr="00F94C14">
        <w:t xml:space="preserve">(Golijani-Moghaddam et al., 2013: </w:t>
      </w:r>
      <m:oMath>
        <m:acc>
          <m:accPr>
            <m:chr m:val="̅"/>
            <m:ctrlPr>
              <w:rPr>
                <w:rFonts w:ascii="Cambria Math" w:hAnsi="Cambria Math"/>
                <w:i/>
              </w:rPr>
            </m:ctrlPr>
          </m:accPr>
          <m:e>
            <m:r>
              <m:rPr>
                <m:sty m:val="p"/>
              </m:rPr>
              <w:rPr>
                <w:rFonts w:ascii="Cambria Math" w:hAnsi="Cambria Math"/>
              </w:rPr>
              <m:t>r</m:t>
            </m:r>
          </m:e>
        </m:acc>
      </m:oMath>
      <w:r w:rsidRPr="00F94C14">
        <w:t xml:space="preserve"> = .49; Greenwald &amp; Lai, 2020: </w:t>
      </w:r>
      <m:oMath>
        <m:acc>
          <m:accPr>
            <m:chr m:val="̅"/>
            <m:ctrlPr>
              <w:rPr>
                <w:rFonts w:ascii="Cambria Math" w:hAnsi="Cambria Math"/>
                <w:i/>
              </w:rPr>
            </m:ctrlPr>
          </m:accPr>
          <m:e>
            <m:r>
              <m:rPr>
                <m:sty m:val="p"/>
              </m:rPr>
              <w:rPr>
                <w:rFonts w:ascii="Cambria Math" w:hAnsi="Cambria Math"/>
              </w:rPr>
              <m:t>r</m:t>
            </m:r>
          </m:e>
        </m:acc>
      </m:oMath>
      <w:r w:rsidRPr="00F94C14">
        <w:t xml:space="preserve"> = .45)</w:t>
      </w:r>
      <w:r w:rsidRPr="00F94C14">
        <w:fldChar w:fldCharType="end"/>
      </w:r>
      <w:r w:rsidRPr="00F94C14">
        <w:t>. However, both estimated test-retest reliability from a very small number of studies (</w:t>
      </w:r>
      <w:r w:rsidRPr="00F94C14">
        <w:rPr>
          <w:i/>
          <w:iCs/>
        </w:rPr>
        <w:t>k</w:t>
      </w:r>
      <w:r w:rsidRPr="00F94C14">
        <w:t>s = 1 and 2, respectively) with very small sample sizes (</w:t>
      </w:r>
      <w:r w:rsidRPr="00F94C14">
        <w:rPr>
          <w:i/>
          <w:iCs/>
        </w:rPr>
        <w:t>N</w:t>
      </w:r>
      <w:r w:rsidRPr="00F94C14">
        <w:t xml:space="preserve">s = 12 and 25, respectively). Hussey &amp; Drake’s </w:t>
      </w:r>
      <w:r w:rsidRPr="00F94C14">
        <w:fldChar w:fldCharType="begin"/>
      </w:r>
      <w:r w:rsidRPr="00F94C14">
        <w:instrText xml:space="preserve"> ADDIN ZOTERO_ITEM CSL_CITATION {"citationID":"svW3NYbQ","properties":{"formattedCitation":"(2020)","plainCitation":"(2020)","noteIndex":1},"citationItems":[{"id":15,"uris":["http://zotero.org/users/1687755/items/MU3ZSDRR"],"itemData":{"id":15,"type":"article-journal","abstract":"Evidence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E."}],"accessed":{"date-parts":[["2020",6,12]]},"issued":{"date-parts":[["2020"]]}},"label":"page","suppress-author":true}],"schema":"https://github.com/citation-style-language/schema/raw/master/csl-citation.json"} </w:instrText>
      </w:r>
      <w:r w:rsidRPr="00F94C14">
        <w:fldChar w:fldCharType="separate"/>
      </w:r>
      <w:r w:rsidRPr="00F94C14">
        <w:t>(2020)</w:t>
      </w:r>
      <w:r w:rsidRPr="00F94C14">
        <w:fldChar w:fldCharType="end"/>
      </w:r>
      <w:r w:rsidRPr="00F94C14">
        <w:t xml:space="preserve"> estimates, which were derived from a larger number of studies and participants (</w:t>
      </w:r>
      <w:r w:rsidRPr="00F94C14">
        <w:rPr>
          <w:i/>
          <w:iCs/>
        </w:rPr>
        <w:t>k</w:t>
      </w:r>
      <w:r w:rsidRPr="00F94C14">
        <w:t xml:space="preserve"> = 8, </w:t>
      </w:r>
      <w:r w:rsidRPr="00F94C14">
        <w:rPr>
          <w:i/>
          <w:iCs/>
        </w:rPr>
        <w:t>N</w:t>
      </w:r>
      <w:r w:rsidRPr="00F94C14">
        <w:t xml:space="preserve"> = 318) therefore represent the more precise estimates. In addition, Hussey &amp; Drake (2020) employ both more appropriate methods to estimate reliability (i.e., permutation-based internal consistency rather than split-half reliability, and ICC</w:t>
      </w:r>
      <w:r w:rsidRPr="00F94C14">
        <w:rPr>
          <w:vertAlign w:val="subscript"/>
        </w:rPr>
        <w:t>2</w:t>
      </w:r>
      <w:r w:rsidRPr="00F94C14">
        <w:t xml:space="preserve"> rather than Pearson’s </w:t>
      </w:r>
      <w:r w:rsidRPr="00F94C14">
        <w:rPr>
          <w:i/>
          <w:iCs/>
        </w:rPr>
        <w:t>r</w:t>
      </w:r>
      <w:r w:rsidRPr="00F94C14">
        <w:t xml:space="preserve">. See Hussey &amp; Drake (2020) for further discussion.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rPr>
        <w:rStyle w:val="PageNumber"/>
      </w:rPr>
      <w:id w:val="-219902653"/>
      <w:docPartObj>
        <w:docPartGallery w:val="Page Numbers (Top of Page)"/>
        <w:docPartUnique/>
      </w:docPartObj>
    </w:sdtPr>
    <w:sdtContent>
      <w:p w:rsidR="00D77465" w:rsidP="00D77465" w14:paraId="57346CFA" w14:textId="106F2AD7">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240F1">
          <w:rPr>
            <w:rStyle w:val="PageNumber"/>
            <w:noProof/>
          </w:rPr>
          <w:t>1</w:t>
        </w:r>
        <w:r>
          <w:rPr>
            <w:rStyle w:val="PageNumber"/>
          </w:rPr>
          <w:fldChar w:fldCharType="end"/>
        </w:r>
      </w:p>
    </w:sdtContent>
  </w:sdt>
  <w:p w:rsidR="00D77465" w:rsidP="00D77465" w14:paraId="377E75F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rPr>
        <w:rStyle w:val="PageNumber"/>
      </w:rPr>
      <w:id w:val="752248482"/>
      <w:docPartObj>
        <w:docPartGallery w:val="Page Numbers (Top of Page)"/>
        <w:docPartUnique/>
      </w:docPartObj>
    </w:sdtPr>
    <w:sdtContent>
      <w:p w:rsidR="00D77465" w:rsidP="00D77465" w14:paraId="48EE402A" w14:textId="36000878">
        <w:pPr>
          <w:pStyle w:val="Header"/>
          <w:ind w:firstLine="0"/>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D77465" w:rsidP="00D77465" w14:paraId="412B74E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DCD11E5"/>
    <w:multiLevelType w:val="hybridMultilevel"/>
    <w:tmpl w:val="1FD2310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190343CC"/>
    <w:multiLevelType w:val="hybridMultilevel"/>
    <w:tmpl w:val="1F8C8082"/>
    <w:lvl w:ilvl="0">
      <w:start w:val="1"/>
      <w:numFmt w:val="bullet"/>
      <w:lvlText w:val="-"/>
      <w:lvlJc w:val="left"/>
      <w:pPr>
        <w:ind w:left="1080" w:hanging="360"/>
      </w:pPr>
      <w:rPr>
        <w:rFonts w:ascii="CMU Serif Roman" w:hAnsi="CMU Serif Roman" w:eastAsiaTheme="minorEastAsia" w:cs="CMU Serif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nsid w:val="301021DF"/>
    <w:multiLevelType w:val="hybridMultilevel"/>
    <w:tmpl w:val="9CD0579A"/>
    <w:lvl w:ilvl="0">
      <w:start w:val="30"/>
      <w:numFmt w:val="bullet"/>
      <w:lvlText w:val=""/>
      <w:lvlJc w:val="left"/>
      <w:pPr>
        <w:ind w:left="720" w:hanging="360"/>
      </w:pPr>
      <w:rPr>
        <w:rFonts w:ascii="Symbol" w:eastAsia="MS Mincho" w:hAnsi="Symbol" w:cs="CMU Serif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334779A3"/>
    <w:multiLevelType w:val="hybridMultilevel"/>
    <w:tmpl w:val="483443A8"/>
    <w:lvl w:ilvl="0">
      <w:start w:val="30"/>
      <w:numFmt w:val="bullet"/>
      <w:lvlText w:val=""/>
      <w:lvlJc w:val="left"/>
      <w:pPr>
        <w:ind w:left="720" w:hanging="360"/>
      </w:pPr>
      <w:rPr>
        <w:rFonts w:ascii="Symbol" w:eastAsia="MS Mincho" w:hAnsi="Symbol" w:cs="CMU Serif Roman" w:hint="default"/>
        <w:color w:val="00000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7BD1029"/>
    <w:multiLevelType w:val="hybridMultilevel"/>
    <w:tmpl w:val="90802C1E"/>
    <w:lvl w:ilvl="0">
      <w:start w:val="30"/>
      <w:numFmt w:val="bullet"/>
      <w:lvlText w:val=""/>
      <w:lvlJc w:val="left"/>
      <w:pPr>
        <w:ind w:left="720" w:hanging="360"/>
      </w:pPr>
      <w:rPr>
        <w:rFonts w:ascii="Symbol" w:eastAsia="MS Mincho" w:hAnsi="Symbol" w:cs="CMU Serif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6DA6860"/>
    <w:multiLevelType w:val="hybridMultilevel"/>
    <w:tmpl w:val="C45C7218"/>
    <w:lvl w:ilvl="0">
      <w:start w:val="5"/>
      <w:numFmt w:val="bullet"/>
      <w:lvlText w:val=""/>
      <w:lvlJc w:val="left"/>
      <w:pPr>
        <w:ind w:left="720" w:hanging="360"/>
      </w:pPr>
      <w:rPr>
        <w:rFonts w:ascii="Symbol" w:eastAsia="Times New Roman" w:hAnsi="Symbol" w:cstheme="majorHAnsi"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
    <w:nsid w:val="5CFD233D"/>
    <w:multiLevelType w:val="hybridMultilevel"/>
    <w:tmpl w:val="370C3190"/>
    <w:lvl w:ilvl="0">
      <w:start w:val="5"/>
      <w:numFmt w:val="bullet"/>
      <w:lvlText w:val=""/>
      <w:lvlJc w:val="left"/>
      <w:pPr>
        <w:ind w:left="720" w:hanging="360"/>
      </w:pPr>
      <w:rPr>
        <w:rFonts w:ascii="Symbol" w:eastAsia="Times New Roman" w:hAnsi="Symbol" w:cstheme="majorHAnsi"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7">
    <w:nsid w:val="5FF631D9"/>
    <w:multiLevelType w:val="hybridMultilevel"/>
    <w:tmpl w:val="EFCA9C06"/>
    <w:lvl w:ilvl="0">
      <w:start w:val="30"/>
      <w:numFmt w:val="bullet"/>
      <w:lvlText w:val=""/>
      <w:lvlJc w:val="left"/>
      <w:pPr>
        <w:ind w:left="720" w:hanging="360"/>
      </w:pPr>
      <w:rPr>
        <w:rFonts w:ascii="Symbol" w:eastAsia="MS Mincho" w:hAnsi="Symbol" w:cs="CMU Serif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665046E9"/>
    <w:multiLevelType w:val="hybridMultilevel"/>
    <w:tmpl w:val="1956440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614214778">
    <w:abstractNumId w:val="8"/>
  </w:num>
  <w:num w:numId="2" w16cid:durableId="2050379569">
    <w:abstractNumId w:val="1"/>
  </w:num>
  <w:num w:numId="3" w16cid:durableId="208222507">
    <w:abstractNumId w:val="5"/>
  </w:num>
  <w:num w:numId="4" w16cid:durableId="643656210">
    <w:abstractNumId w:val="6"/>
  </w:num>
  <w:num w:numId="5" w16cid:durableId="1759593516">
    <w:abstractNumId w:val="0"/>
  </w:num>
  <w:num w:numId="6" w16cid:durableId="1606109854">
    <w:abstractNumId w:val="3"/>
  </w:num>
  <w:num w:numId="7" w16cid:durableId="911041080">
    <w:abstractNumId w:val="7"/>
  </w:num>
  <w:num w:numId="8" w16cid:durableId="108866411">
    <w:abstractNumId w:val="4"/>
  </w:num>
  <w:num w:numId="9" w16cid:durableId="872570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F08"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isibleStyles="0"/>
  <w:defaultTabStop w:val="720"/>
  <w:characterSpacingControl w:val="doNotCompress"/>
  <w:footnotePr>
    <w:footnote w:id="0"/>
    <w:footnote w:id="1"/>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23"/>
    <w:rsid w:val="000018F7"/>
    <w:rsid w:val="00001C53"/>
    <w:rsid w:val="00001EE5"/>
    <w:rsid w:val="00002C55"/>
    <w:rsid w:val="00002FEB"/>
    <w:rsid w:val="000034B3"/>
    <w:rsid w:val="00003F3D"/>
    <w:rsid w:val="00005851"/>
    <w:rsid w:val="00006528"/>
    <w:rsid w:val="000067D6"/>
    <w:rsid w:val="00006A5B"/>
    <w:rsid w:val="000111B2"/>
    <w:rsid w:val="00011913"/>
    <w:rsid w:val="000119D0"/>
    <w:rsid w:val="00011BAA"/>
    <w:rsid w:val="000128DF"/>
    <w:rsid w:val="00013124"/>
    <w:rsid w:val="00013508"/>
    <w:rsid w:val="0001350A"/>
    <w:rsid w:val="00013AE4"/>
    <w:rsid w:val="00013F4A"/>
    <w:rsid w:val="00017296"/>
    <w:rsid w:val="00020079"/>
    <w:rsid w:val="0002030D"/>
    <w:rsid w:val="000209D5"/>
    <w:rsid w:val="00020A4F"/>
    <w:rsid w:val="00021197"/>
    <w:rsid w:val="000218F8"/>
    <w:rsid w:val="00021C43"/>
    <w:rsid w:val="00021E37"/>
    <w:rsid w:val="00021F72"/>
    <w:rsid w:val="00023292"/>
    <w:rsid w:val="000239E6"/>
    <w:rsid w:val="00026328"/>
    <w:rsid w:val="00026A25"/>
    <w:rsid w:val="00027CD4"/>
    <w:rsid w:val="00030218"/>
    <w:rsid w:val="000314B2"/>
    <w:rsid w:val="000323B2"/>
    <w:rsid w:val="00032ADB"/>
    <w:rsid w:val="00032B78"/>
    <w:rsid w:val="00034410"/>
    <w:rsid w:val="000351E4"/>
    <w:rsid w:val="00035BB1"/>
    <w:rsid w:val="0003712A"/>
    <w:rsid w:val="000374D3"/>
    <w:rsid w:val="000377F3"/>
    <w:rsid w:val="000377F9"/>
    <w:rsid w:val="0004010A"/>
    <w:rsid w:val="000415FA"/>
    <w:rsid w:val="000416BA"/>
    <w:rsid w:val="000426EF"/>
    <w:rsid w:val="00043D43"/>
    <w:rsid w:val="0004418F"/>
    <w:rsid w:val="0004447F"/>
    <w:rsid w:val="0004452B"/>
    <w:rsid w:val="00045544"/>
    <w:rsid w:val="000463AA"/>
    <w:rsid w:val="00050D9B"/>
    <w:rsid w:val="000521C2"/>
    <w:rsid w:val="00052449"/>
    <w:rsid w:val="000525B9"/>
    <w:rsid w:val="000532FD"/>
    <w:rsid w:val="00053439"/>
    <w:rsid w:val="00053DFD"/>
    <w:rsid w:val="0005400B"/>
    <w:rsid w:val="00055607"/>
    <w:rsid w:val="00056983"/>
    <w:rsid w:val="00057A7F"/>
    <w:rsid w:val="00061F2B"/>
    <w:rsid w:val="00062730"/>
    <w:rsid w:val="00064BCC"/>
    <w:rsid w:val="00064C50"/>
    <w:rsid w:val="0006572D"/>
    <w:rsid w:val="0006583B"/>
    <w:rsid w:val="00066346"/>
    <w:rsid w:val="00067C1A"/>
    <w:rsid w:val="0007002E"/>
    <w:rsid w:val="000713C8"/>
    <w:rsid w:val="0007173C"/>
    <w:rsid w:val="00072B87"/>
    <w:rsid w:val="00072B9F"/>
    <w:rsid w:val="000735A8"/>
    <w:rsid w:val="00073AA3"/>
    <w:rsid w:val="00073C53"/>
    <w:rsid w:val="0007490C"/>
    <w:rsid w:val="000756C6"/>
    <w:rsid w:val="0007581E"/>
    <w:rsid w:val="00076F33"/>
    <w:rsid w:val="0008043F"/>
    <w:rsid w:val="000805A0"/>
    <w:rsid w:val="00080D76"/>
    <w:rsid w:val="000810BE"/>
    <w:rsid w:val="000819D9"/>
    <w:rsid w:val="000831AD"/>
    <w:rsid w:val="000838C2"/>
    <w:rsid w:val="000839C3"/>
    <w:rsid w:val="00083EC4"/>
    <w:rsid w:val="00084912"/>
    <w:rsid w:val="00084AD6"/>
    <w:rsid w:val="000879BA"/>
    <w:rsid w:val="0009015C"/>
    <w:rsid w:val="00091761"/>
    <w:rsid w:val="00093F1F"/>
    <w:rsid w:val="00094126"/>
    <w:rsid w:val="00094699"/>
    <w:rsid w:val="000954F4"/>
    <w:rsid w:val="00095EF1"/>
    <w:rsid w:val="00096798"/>
    <w:rsid w:val="000967B0"/>
    <w:rsid w:val="000973EE"/>
    <w:rsid w:val="000A1DC4"/>
    <w:rsid w:val="000A23D1"/>
    <w:rsid w:val="000A2AE2"/>
    <w:rsid w:val="000A6136"/>
    <w:rsid w:val="000A6649"/>
    <w:rsid w:val="000A6CD5"/>
    <w:rsid w:val="000A6E4B"/>
    <w:rsid w:val="000B0C9B"/>
    <w:rsid w:val="000B1677"/>
    <w:rsid w:val="000B19C6"/>
    <w:rsid w:val="000B1ABC"/>
    <w:rsid w:val="000B2144"/>
    <w:rsid w:val="000B270B"/>
    <w:rsid w:val="000B2EE3"/>
    <w:rsid w:val="000B4933"/>
    <w:rsid w:val="000B4D42"/>
    <w:rsid w:val="000B51B2"/>
    <w:rsid w:val="000B6252"/>
    <w:rsid w:val="000B6E3E"/>
    <w:rsid w:val="000B7BA9"/>
    <w:rsid w:val="000C0492"/>
    <w:rsid w:val="000C0C37"/>
    <w:rsid w:val="000C1E96"/>
    <w:rsid w:val="000C322F"/>
    <w:rsid w:val="000C3762"/>
    <w:rsid w:val="000C4DB7"/>
    <w:rsid w:val="000C5051"/>
    <w:rsid w:val="000C5BDB"/>
    <w:rsid w:val="000C749A"/>
    <w:rsid w:val="000C7F5A"/>
    <w:rsid w:val="000D0203"/>
    <w:rsid w:val="000D085A"/>
    <w:rsid w:val="000D1059"/>
    <w:rsid w:val="000D11A2"/>
    <w:rsid w:val="000D1906"/>
    <w:rsid w:val="000D2430"/>
    <w:rsid w:val="000D2622"/>
    <w:rsid w:val="000D2676"/>
    <w:rsid w:val="000D2F24"/>
    <w:rsid w:val="000D31B3"/>
    <w:rsid w:val="000D4325"/>
    <w:rsid w:val="000D68CF"/>
    <w:rsid w:val="000D6DA5"/>
    <w:rsid w:val="000D76D4"/>
    <w:rsid w:val="000D7837"/>
    <w:rsid w:val="000D7C57"/>
    <w:rsid w:val="000D7CAD"/>
    <w:rsid w:val="000D7CEC"/>
    <w:rsid w:val="000E02ED"/>
    <w:rsid w:val="000E0890"/>
    <w:rsid w:val="000E2434"/>
    <w:rsid w:val="000E24E4"/>
    <w:rsid w:val="000E284E"/>
    <w:rsid w:val="000E29C2"/>
    <w:rsid w:val="000E3572"/>
    <w:rsid w:val="000E5C0F"/>
    <w:rsid w:val="000F12D8"/>
    <w:rsid w:val="000F14E7"/>
    <w:rsid w:val="000F1AA0"/>
    <w:rsid w:val="000F1DBE"/>
    <w:rsid w:val="000F2C73"/>
    <w:rsid w:val="000F3473"/>
    <w:rsid w:val="000F3D9D"/>
    <w:rsid w:val="000F43B1"/>
    <w:rsid w:val="000F449B"/>
    <w:rsid w:val="000F4E35"/>
    <w:rsid w:val="000F4ECD"/>
    <w:rsid w:val="000F5299"/>
    <w:rsid w:val="000F542A"/>
    <w:rsid w:val="000F5F5C"/>
    <w:rsid w:val="000F6427"/>
    <w:rsid w:val="001011B7"/>
    <w:rsid w:val="00102224"/>
    <w:rsid w:val="00103A1D"/>
    <w:rsid w:val="00104D58"/>
    <w:rsid w:val="001058C6"/>
    <w:rsid w:val="001066D4"/>
    <w:rsid w:val="0010680E"/>
    <w:rsid w:val="00107FDA"/>
    <w:rsid w:val="00110490"/>
    <w:rsid w:val="001104F8"/>
    <w:rsid w:val="0011130B"/>
    <w:rsid w:val="00111F08"/>
    <w:rsid w:val="0011275B"/>
    <w:rsid w:val="00113C79"/>
    <w:rsid w:val="00114258"/>
    <w:rsid w:val="00116220"/>
    <w:rsid w:val="001165DC"/>
    <w:rsid w:val="00116ADA"/>
    <w:rsid w:val="001175AC"/>
    <w:rsid w:val="001175EE"/>
    <w:rsid w:val="0012052E"/>
    <w:rsid w:val="001206E0"/>
    <w:rsid w:val="00122EDC"/>
    <w:rsid w:val="00123A38"/>
    <w:rsid w:val="00123ACA"/>
    <w:rsid w:val="0012469C"/>
    <w:rsid w:val="00124C89"/>
    <w:rsid w:val="00125897"/>
    <w:rsid w:val="00126622"/>
    <w:rsid w:val="001273F6"/>
    <w:rsid w:val="00130820"/>
    <w:rsid w:val="00130A52"/>
    <w:rsid w:val="00130E5B"/>
    <w:rsid w:val="00131382"/>
    <w:rsid w:val="00131E06"/>
    <w:rsid w:val="001325C5"/>
    <w:rsid w:val="001326F7"/>
    <w:rsid w:val="00133C1B"/>
    <w:rsid w:val="00136B0D"/>
    <w:rsid w:val="00142196"/>
    <w:rsid w:val="0014262C"/>
    <w:rsid w:val="001431F4"/>
    <w:rsid w:val="001432AC"/>
    <w:rsid w:val="00144382"/>
    <w:rsid w:val="00144468"/>
    <w:rsid w:val="001449AE"/>
    <w:rsid w:val="00144E52"/>
    <w:rsid w:val="00146175"/>
    <w:rsid w:val="0014685A"/>
    <w:rsid w:val="001475A1"/>
    <w:rsid w:val="001475A4"/>
    <w:rsid w:val="0014779F"/>
    <w:rsid w:val="00150219"/>
    <w:rsid w:val="00150CC4"/>
    <w:rsid w:val="00151B5F"/>
    <w:rsid w:val="0015221A"/>
    <w:rsid w:val="00152A17"/>
    <w:rsid w:val="00153513"/>
    <w:rsid w:val="001537F8"/>
    <w:rsid w:val="00154563"/>
    <w:rsid w:val="001556FB"/>
    <w:rsid w:val="00157B0C"/>
    <w:rsid w:val="00157C1E"/>
    <w:rsid w:val="00161677"/>
    <w:rsid w:val="0016193C"/>
    <w:rsid w:val="00163914"/>
    <w:rsid w:val="00163E3E"/>
    <w:rsid w:val="001645CC"/>
    <w:rsid w:val="00164FDF"/>
    <w:rsid w:val="001652A7"/>
    <w:rsid w:val="00166356"/>
    <w:rsid w:val="0016681A"/>
    <w:rsid w:val="00167193"/>
    <w:rsid w:val="00167923"/>
    <w:rsid w:val="00167DAE"/>
    <w:rsid w:val="00170C4C"/>
    <w:rsid w:val="00171EBC"/>
    <w:rsid w:val="001721B4"/>
    <w:rsid w:val="0017243A"/>
    <w:rsid w:val="0017266A"/>
    <w:rsid w:val="00172C84"/>
    <w:rsid w:val="00174134"/>
    <w:rsid w:val="00176601"/>
    <w:rsid w:val="00177875"/>
    <w:rsid w:val="001813FF"/>
    <w:rsid w:val="00182CB6"/>
    <w:rsid w:val="00183655"/>
    <w:rsid w:val="00183AF3"/>
    <w:rsid w:val="001842DE"/>
    <w:rsid w:val="00186B2A"/>
    <w:rsid w:val="00186FE5"/>
    <w:rsid w:val="00192DDC"/>
    <w:rsid w:val="001930F6"/>
    <w:rsid w:val="0019313A"/>
    <w:rsid w:val="00194485"/>
    <w:rsid w:val="001949BE"/>
    <w:rsid w:val="001951D7"/>
    <w:rsid w:val="0019784B"/>
    <w:rsid w:val="001A187C"/>
    <w:rsid w:val="001A1FD0"/>
    <w:rsid w:val="001A2DD8"/>
    <w:rsid w:val="001A36AD"/>
    <w:rsid w:val="001A407A"/>
    <w:rsid w:val="001A4627"/>
    <w:rsid w:val="001A582F"/>
    <w:rsid w:val="001A718B"/>
    <w:rsid w:val="001A77BB"/>
    <w:rsid w:val="001A7C9D"/>
    <w:rsid w:val="001B053C"/>
    <w:rsid w:val="001B1E91"/>
    <w:rsid w:val="001B1ED8"/>
    <w:rsid w:val="001B25E1"/>
    <w:rsid w:val="001B27B2"/>
    <w:rsid w:val="001B3064"/>
    <w:rsid w:val="001B48EB"/>
    <w:rsid w:val="001B4ACA"/>
    <w:rsid w:val="001B570D"/>
    <w:rsid w:val="001B6144"/>
    <w:rsid w:val="001B6334"/>
    <w:rsid w:val="001B6416"/>
    <w:rsid w:val="001B6961"/>
    <w:rsid w:val="001B7BBE"/>
    <w:rsid w:val="001B7C79"/>
    <w:rsid w:val="001B7D5B"/>
    <w:rsid w:val="001B7E88"/>
    <w:rsid w:val="001C175E"/>
    <w:rsid w:val="001C1A84"/>
    <w:rsid w:val="001C1DCA"/>
    <w:rsid w:val="001C29F6"/>
    <w:rsid w:val="001C36E5"/>
    <w:rsid w:val="001C378E"/>
    <w:rsid w:val="001C589F"/>
    <w:rsid w:val="001C5EFE"/>
    <w:rsid w:val="001C7252"/>
    <w:rsid w:val="001D02E4"/>
    <w:rsid w:val="001D10AC"/>
    <w:rsid w:val="001D11EA"/>
    <w:rsid w:val="001D2EEC"/>
    <w:rsid w:val="001D325F"/>
    <w:rsid w:val="001D3517"/>
    <w:rsid w:val="001D38D7"/>
    <w:rsid w:val="001D4143"/>
    <w:rsid w:val="001D4C34"/>
    <w:rsid w:val="001D6214"/>
    <w:rsid w:val="001D6A74"/>
    <w:rsid w:val="001D6B18"/>
    <w:rsid w:val="001D797F"/>
    <w:rsid w:val="001E11B0"/>
    <w:rsid w:val="001E1496"/>
    <w:rsid w:val="001E19B4"/>
    <w:rsid w:val="001E1E17"/>
    <w:rsid w:val="001E4E33"/>
    <w:rsid w:val="001E6578"/>
    <w:rsid w:val="001E78CC"/>
    <w:rsid w:val="001F0E8B"/>
    <w:rsid w:val="001F180B"/>
    <w:rsid w:val="001F31EF"/>
    <w:rsid w:val="001F4118"/>
    <w:rsid w:val="001F4B6A"/>
    <w:rsid w:val="001F6779"/>
    <w:rsid w:val="002001D3"/>
    <w:rsid w:val="00200475"/>
    <w:rsid w:val="0020136D"/>
    <w:rsid w:val="00201732"/>
    <w:rsid w:val="00202091"/>
    <w:rsid w:val="00203362"/>
    <w:rsid w:val="00204843"/>
    <w:rsid w:val="002048B7"/>
    <w:rsid w:val="00204DC1"/>
    <w:rsid w:val="00205706"/>
    <w:rsid w:val="00205F41"/>
    <w:rsid w:val="00206610"/>
    <w:rsid w:val="00206637"/>
    <w:rsid w:val="00206A65"/>
    <w:rsid w:val="002100B8"/>
    <w:rsid w:val="00210D84"/>
    <w:rsid w:val="00210DF2"/>
    <w:rsid w:val="002111AA"/>
    <w:rsid w:val="002119C3"/>
    <w:rsid w:val="002123EA"/>
    <w:rsid w:val="00212601"/>
    <w:rsid w:val="00213DFC"/>
    <w:rsid w:val="00214168"/>
    <w:rsid w:val="00214D48"/>
    <w:rsid w:val="002158B6"/>
    <w:rsid w:val="002164E2"/>
    <w:rsid w:val="00216896"/>
    <w:rsid w:val="00216DC9"/>
    <w:rsid w:val="00217015"/>
    <w:rsid w:val="00217153"/>
    <w:rsid w:val="00220759"/>
    <w:rsid w:val="00220BAE"/>
    <w:rsid w:val="00220BB9"/>
    <w:rsid w:val="0022221C"/>
    <w:rsid w:val="002224CC"/>
    <w:rsid w:val="00222A14"/>
    <w:rsid w:val="00223420"/>
    <w:rsid w:val="00224408"/>
    <w:rsid w:val="00224644"/>
    <w:rsid w:val="00224679"/>
    <w:rsid w:val="00224DDA"/>
    <w:rsid w:val="002255F0"/>
    <w:rsid w:val="00225AFE"/>
    <w:rsid w:val="00226E49"/>
    <w:rsid w:val="00231171"/>
    <w:rsid w:val="00231610"/>
    <w:rsid w:val="00232667"/>
    <w:rsid w:val="0023388C"/>
    <w:rsid w:val="0023425A"/>
    <w:rsid w:val="002353CA"/>
    <w:rsid w:val="00235562"/>
    <w:rsid w:val="00235649"/>
    <w:rsid w:val="00235B77"/>
    <w:rsid w:val="00235EAA"/>
    <w:rsid w:val="00236F94"/>
    <w:rsid w:val="0023725A"/>
    <w:rsid w:val="00240F20"/>
    <w:rsid w:val="00241488"/>
    <w:rsid w:val="0024266C"/>
    <w:rsid w:val="00242FCC"/>
    <w:rsid w:val="00243714"/>
    <w:rsid w:val="00243840"/>
    <w:rsid w:val="00247DA7"/>
    <w:rsid w:val="0025012C"/>
    <w:rsid w:val="002506A8"/>
    <w:rsid w:val="002513CA"/>
    <w:rsid w:val="002514D5"/>
    <w:rsid w:val="00251D2E"/>
    <w:rsid w:val="00253397"/>
    <w:rsid w:val="00254E71"/>
    <w:rsid w:val="00255A28"/>
    <w:rsid w:val="00257BD3"/>
    <w:rsid w:val="002601DC"/>
    <w:rsid w:val="0026116A"/>
    <w:rsid w:val="002616D0"/>
    <w:rsid w:val="00261AE1"/>
    <w:rsid w:val="00261AE7"/>
    <w:rsid w:val="0026226A"/>
    <w:rsid w:val="00262FB5"/>
    <w:rsid w:val="0026327E"/>
    <w:rsid w:val="00264108"/>
    <w:rsid w:val="00264450"/>
    <w:rsid w:val="00265528"/>
    <w:rsid w:val="00266282"/>
    <w:rsid w:val="00267892"/>
    <w:rsid w:val="00270AEF"/>
    <w:rsid w:val="002716EC"/>
    <w:rsid w:val="00271DC8"/>
    <w:rsid w:val="00271DCF"/>
    <w:rsid w:val="00271F97"/>
    <w:rsid w:val="00272422"/>
    <w:rsid w:val="00272A3F"/>
    <w:rsid w:val="00273625"/>
    <w:rsid w:val="00273E29"/>
    <w:rsid w:val="0027409C"/>
    <w:rsid w:val="00275020"/>
    <w:rsid w:val="002754F0"/>
    <w:rsid w:val="00275A04"/>
    <w:rsid w:val="002760FA"/>
    <w:rsid w:val="00276268"/>
    <w:rsid w:val="00276883"/>
    <w:rsid w:val="00282BA3"/>
    <w:rsid w:val="00282FBB"/>
    <w:rsid w:val="00284576"/>
    <w:rsid w:val="002850DA"/>
    <w:rsid w:val="0028714C"/>
    <w:rsid w:val="002874E7"/>
    <w:rsid w:val="00287689"/>
    <w:rsid w:val="002900B2"/>
    <w:rsid w:val="002913A6"/>
    <w:rsid w:val="0029220C"/>
    <w:rsid w:val="002928AB"/>
    <w:rsid w:val="00292B1C"/>
    <w:rsid w:val="00293E80"/>
    <w:rsid w:val="0029623A"/>
    <w:rsid w:val="00296320"/>
    <w:rsid w:val="00297052"/>
    <w:rsid w:val="00297066"/>
    <w:rsid w:val="0029741A"/>
    <w:rsid w:val="002A028E"/>
    <w:rsid w:val="002A0921"/>
    <w:rsid w:val="002A1989"/>
    <w:rsid w:val="002A2A64"/>
    <w:rsid w:val="002A329B"/>
    <w:rsid w:val="002A4524"/>
    <w:rsid w:val="002A592F"/>
    <w:rsid w:val="002A6DBB"/>
    <w:rsid w:val="002A735B"/>
    <w:rsid w:val="002A781F"/>
    <w:rsid w:val="002A7BFA"/>
    <w:rsid w:val="002A7F12"/>
    <w:rsid w:val="002B034D"/>
    <w:rsid w:val="002B214D"/>
    <w:rsid w:val="002B3973"/>
    <w:rsid w:val="002B3C8A"/>
    <w:rsid w:val="002B41F9"/>
    <w:rsid w:val="002B642C"/>
    <w:rsid w:val="002B663E"/>
    <w:rsid w:val="002B6911"/>
    <w:rsid w:val="002B6DB3"/>
    <w:rsid w:val="002B6F51"/>
    <w:rsid w:val="002B72D1"/>
    <w:rsid w:val="002B790E"/>
    <w:rsid w:val="002B7DC4"/>
    <w:rsid w:val="002B7E60"/>
    <w:rsid w:val="002C0916"/>
    <w:rsid w:val="002C0DD4"/>
    <w:rsid w:val="002C1363"/>
    <w:rsid w:val="002C28D0"/>
    <w:rsid w:val="002C31EF"/>
    <w:rsid w:val="002C36CC"/>
    <w:rsid w:val="002C4B4F"/>
    <w:rsid w:val="002C4F69"/>
    <w:rsid w:val="002C5358"/>
    <w:rsid w:val="002C57B0"/>
    <w:rsid w:val="002D0D8F"/>
    <w:rsid w:val="002D0DC0"/>
    <w:rsid w:val="002D10F0"/>
    <w:rsid w:val="002D1462"/>
    <w:rsid w:val="002D1BB7"/>
    <w:rsid w:val="002D233D"/>
    <w:rsid w:val="002D2539"/>
    <w:rsid w:val="002D2566"/>
    <w:rsid w:val="002D29C7"/>
    <w:rsid w:val="002D2CD5"/>
    <w:rsid w:val="002D3443"/>
    <w:rsid w:val="002D34A9"/>
    <w:rsid w:val="002D4F5B"/>
    <w:rsid w:val="002D5E0C"/>
    <w:rsid w:val="002D63BA"/>
    <w:rsid w:val="002D69CC"/>
    <w:rsid w:val="002D765F"/>
    <w:rsid w:val="002D7954"/>
    <w:rsid w:val="002D7CFE"/>
    <w:rsid w:val="002E0A95"/>
    <w:rsid w:val="002E2196"/>
    <w:rsid w:val="002E34D5"/>
    <w:rsid w:val="002E3735"/>
    <w:rsid w:val="002E378F"/>
    <w:rsid w:val="002E4267"/>
    <w:rsid w:val="002E558B"/>
    <w:rsid w:val="002E6130"/>
    <w:rsid w:val="002E69B0"/>
    <w:rsid w:val="002F018F"/>
    <w:rsid w:val="002F0273"/>
    <w:rsid w:val="002F06BD"/>
    <w:rsid w:val="002F0D31"/>
    <w:rsid w:val="002F1558"/>
    <w:rsid w:val="002F1ECA"/>
    <w:rsid w:val="002F1FF1"/>
    <w:rsid w:val="002F2881"/>
    <w:rsid w:val="002F3183"/>
    <w:rsid w:val="002F3892"/>
    <w:rsid w:val="002F45F0"/>
    <w:rsid w:val="002F4A2E"/>
    <w:rsid w:val="002F7402"/>
    <w:rsid w:val="00300368"/>
    <w:rsid w:val="00300E5D"/>
    <w:rsid w:val="00301038"/>
    <w:rsid w:val="00302570"/>
    <w:rsid w:val="0030349F"/>
    <w:rsid w:val="00303C97"/>
    <w:rsid w:val="00305082"/>
    <w:rsid w:val="00305BC4"/>
    <w:rsid w:val="00306549"/>
    <w:rsid w:val="00306D45"/>
    <w:rsid w:val="00306F43"/>
    <w:rsid w:val="0030705A"/>
    <w:rsid w:val="00307F56"/>
    <w:rsid w:val="00311064"/>
    <w:rsid w:val="003113BF"/>
    <w:rsid w:val="003117BB"/>
    <w:rsid w:val="00311FA7"/>
    <w:rsid w:val="00312336"/>
    <w:rsid w:val="003124FF"/>
    <w:rsid w:val="003126E0"/>
    <w:rsid w:val="00312C6B"/>
    <w:rsid w:val="003134CD"/>
    <w:rsid w:val="003147BE"/>
    <w:rsid w:val="00317988"/>
    <w:rsid w:val="00317D16"/>
    <w:rsid w:val="003221C9"/>
    <w:rsid w:val="00323377"/>
    <w:rsid w:val="003241A0"/>
    <w:rsid w:val="003248A1"/>
    <w:rsid w:val="00325F71"/>
    <w:rsid w:val="003264B6"/>
    <w:rsid w:val="00326B00"/>
    <w:rsid w:val="00326B56"/>
    <w:rsid w:val="00326F0A"/>
    <w:rsid w:val="0033061C"/>
    <w:rsid w:val="00332DED"/>
    <w:rsid w:val="0033320A"/>
    <w:rsid w:val="00333DE7"/>
    <w:rsid w:val="00334497"/>
    <w:rsid w:val="00334AE1"/>
    <w:rsid w:val="003351C0"/>
    <w:rsid w:val="00340BCF"/>
    <w:rsid w:val="003441E3"/>
    <w:rsid w:val="00344F3C"/>
    <w:rsid w:val="003457D0"/>
    <w:rsid w:val="00345876"/>
    <w:rsid w:val="00345998"/>
    <w:rsid w:val="003469FC"/>
    <w:rsid w:val="00347726"/>
    <w:rsid w:val="0035022A"/>
    <w:rsid w:val="00350350"/>
    <w:rsid w:val="00350B4F"/>
    <w:rsid w:val="00350C3C"/>
    <w:rsid w:val="003514C3"/>
    <w:rsid w:val="0035173C"/>
    <w:rsid w:val="00355181"/>
    <w:rsid w:val="0035720E"/>
    <w:rsid w:val="00360494"/>
    <w:rsid w:val="00362596"/>
    <w:rsid w:val="003628F7"/>
    <w:rsid w:val="0036441B"/>
    <w:rsid w:val="00364AB9"/>
    <w:rsid w:val="00364BAE"/>
    <w:rsid w:val="003665AD"/>
    <w:rsid w:val="00366912"/>
    <w:rsid w:val="00367018"/>
    <w:rsid w:val="00372AE6"/>
    <w:rsid w:val="00372F8A"/>
    <w:rsid w:val="00373736"/>
    <w:rsid w:val="003737C4"/>
    <w:rsid w:val="00374ED6"/>
    <w:rsid w:val="00374EDC"/>
    <w:rsid w:val="00375A1A"/>
    <w:rsid w:val="00375AA0"/>
    <w:rsid w:val="00380AE1"/>
    <w:rsid w:val="00380E3E"/>
    <w:rsid w:val="00381AD6"/>
    <w:rsid w:val="00381B75"/>
    <w:rsid w:val="00383573"/>
    <w:rsid w:val="00383AAD"/>
    <w:rsid w:val="003850ED"/>
    <w:rsid w:val="0038777F"/>
    <w:rsid w:val="003878F5"/>
    <w:rsid w:val="003902DF"/>
    <w:rsid w:val="00391970"/>
    <w:rsid w:val="00391E0E"/>
    <w:rsid w:val="003920AD"/>
    <w:rsid w:val="003924CA"/>
    <w:rsid w:val="003925E1"/>
    <w:rsid w:val="00393159"/>
    <w:rsid w:val="003932AB"/>
    <w:rsid w:val="003941BE"/>
    <w:rsid w:val="00394280"/>
    <w:rsid w:val="003948BE"/>
    <w:rsid w:val="00394EB2"/>
    <w:rsid w:val="00395801"/>
    <w:rsid w:val="00397BF5"/>
    <w:rsid w:val="003A00C2"/>
    <w:rsid w:val="003A056A"/>
    <w:rsid w:val="003A109B"/>
    <w:rsid w:val="003A2CB1"/>
    <w:rsid w:val="003A2E5D"/>
    <w:rsid w:val="003A34D6"/>
    <w:rsid w:val="003A45E9"/>
    <w:rsid w:val="003A49F2"/>
    <w:rsid w:val="003A4FEB"/>
    <w:rsid w:val="003A52F0"/>
    <w:rsid w:val="003A54A1"/>
    <w:rsid w:val="003A573F"/>
    <w:rsid w:val="003A5892"/>
    <w:rsid w:val="003A6E0A"/>
    <w:rsid w:val="003A78E5"/>
    <w:rsid w:val="003A7B3D"/>
    <w:rsid w:val="003A7DFC"/>
    <w:rsid w:val="003B04DD"/>
    <w:rsid w:val="003B0581"/>
    <w:rsid w:val="003B092A"/>
    <w:rsid w:val="003B0A2B"/>
    <w:rsid w:val="003B1032"/>
    <w:rsid w:val="003B26FD"/>
    <w:rsid w:val="003B2E5A"/>
    <w:rsid w:val="003B349D"/>
    <w:rsid w:val="003B3733"/>
    <w:rsid w:val="003B38A6"/>
    <w:rsid w:val="003B4E92"/>
    <w:rsid w:val="003B6603"/>
    <w:rsid w:val="003B6A41"/>
    <w:rsid w:val="003B75A5"/>
    <w:rsid w:val="003B7810"/>
    <w:rsid w:val="003B79C2"/>
    <w:rsid w:val="003C0631"/>
    <w:rsid w:val="003C0B7B"/>
    <w:rsid w:val="003C23DE"/>
    <w:rsid w:val="003C2F61"/>
    <w:rsid w:val="003C334C"/>
    <w:rsid w:val="003C3CC1"/>
    <w:rsid w:val="003C4274"/>
    <w:rsid w:val="003C4781"/>
    <w:rsid w:val="003C6701"/>
    <w:rsid w:val="003C6E44"/>
    <w:rsid w:val="003C75F1"/>
    <w:rsid w:val="003D01B6"/>
    <w:rsid w:val="003D060A"/>
    <w:rsid w:val="003D0A83"/>
    <w:rsid w:val="003D0F3F"/>
    <w:rsid w:val="003D1432"/>
    <w:rsid w:val="003D2B38"/>
    <w:rsid w:val="003D2BCC"/>
    <w:rsid w:val="003D3B8B"/>
    <w:rsid w:val="003D44EB"/>
    <w:rsid w:val="003D4EA3"/>
    <w:rsid w:val="003D54FA"/>
    <w:rsid w:val="003E1282"/>
    <w:rsid w:val="003E33AA"/>
    <w:rsid w:val="003E441F"/>
    <w:rsid w:val="003E61AA"/>
    <w:rsid w:val="003E6461"/>
    <w:rsid w:val="003E6973"/>
    <w:rsid w:val="003E7022"/>
    <w:rsid w:val="003E7272"/>
    <w:rsid w:val="003E7BB7"/>
    <w:rsid w:val="003E7C6F"/>
    <w:rsid w:val="003F13D2"/>
    <w:rsid w:val="003F36BD"/>
    <w:rsid w:val="003F3B4B"/>
    <w:rsid w:val="003F66BA"/>
    <w:rsid w:val="003F6D28"/>
    <w:rsid w:val="003F7011"/>
    <w:rsid w:val="003F79F2"/>
    <w:rsid w:val="00401994"/>
    <w:rsid w:val="00402418"/>
    <w:rsid w:val="00403FF3"/>
    <w:rsid w:val="00404694"/>
    <w:rsid w:val="00404F5B"/>
    <w:rsid w:val="00406314"/>
    <w:rsid w:val="0040770F"/>
    <w:rsid w:val="004079D3"/>
    <w:rsid w:val="004102E1"/>
    <w:rsid w:val="00411062"/>
    <w:rsid w:val="004112F6"/>
    <w:rsid w:val="00414539"/>
    <w:rsid w:val="004145BC"/>
    <w:rsid w:val="00415155"/>
    <w:rsid w:val="00415222"/>
    <w:rsid w:val="00416594"/>
    <w:rsid w:val="00417B51"/>
    <w:rsid w:val="004205E5"/>
    <w:rsid w:val="00420FBC"/>
    <w:rsid w:val="004211C3"/>
    <w:rsid w:val="004219D9"/>
    <w:rsid w:val="004227BF"/>
    <w:rsid w:val="0042288E"/>
    <w:rsid w:val="00422A4A"/>
    <w:rsid w:val="0042536D"/>
    <w:rsid w:val="004259E7"/>
    <w:rsid w:val="00427F19"/>
    <w:rsid w:val="004301B0"/>
    <w:rsid w:val="004301FD"/>
    <w:rsid w:val="0043058B"/>
    <w:rsid w:val="004312D7"/>
    <w:rsid w:val="00432A18"/>
    <w:rsid w:val="004330C0"/>
    <w:rsid w:val="004331D7"/>
    <w:rsid w:val="004354F4"/>
    <w:rsid w:val="00435AF2"/>
    <w:rsid w:val="004374E1"/>
    <w:rsid w:val="004375D6"/>
    <w:rsid w:val="00437B90"/>
    <w:rsid w:val="00437ED7"/>
    <w:rsid w:val="0044103E"/>
    <w:rsid w:val="0044114F"/>
    <w:rsid w:val="004423C2"/>
    <w:rsid w:val="00442CE7"/>
    <w:rsid w:val="0044345C"/>
    <w:rsid w:val="00443584"/>
    <w:rsid w:val="0044409A"/>
    <w:rsid w:val="00445ADC"/>
    <w:rsid w:val="00447A69"/>
    <w:rsid w:val="00451AA2"/>
    <w:rsid w:val="00453810"/>
    <w:rsid w:val="00453EBE"/>
    <w:rsid w:val="00454184"/>
    <w:rsid w:val="00454A33"/>
    <w:rsid w:val="00455DB6"/>
    <w:rsid w:val="00455E14"/>
    <w:rsid w:val="00456A76"/>
    <w:rsid w:val="00457050"/>
    <w:rsid w:val="00457274"/>
    <w:rsid w:val="004575C8"/>
    <w:rsid w:val="004578CA"/>
    <w:rsid w:val="00460018"/>
    <w:rsid w:val="00460206"/>
    <w:rsid w:val="00460692"/>
    <w:rsid w:val="004616ED"/>
    <w:rsid w:val="00461B7E"/>
    <w:rsid w:val="0046347C"/>
    <w:rsid w:val="00464289"/>
    <w:rsid w:val="004659A5"/>
    <w:rsid w:val="00465B61"/>
    <w:rsid w:val="00465E45"/>
    <w:rsid w:val="00465FF2"/>
    <w:rsid w:val="00466231"/>
    <w:rsid w:val="0046629A"/>
    <w:rsid w:val="004666D2"/>
    <w:rsid w:val="00466ED9"/>
    <w:rsid w:val="0046744E"/>
    <w:rsid w:val="00472403"/>
    <w:rsid w:val="004730DE"/>
    <w:rsid w:val="0047312C"/>
    <w:rsid w:val="004731E8"/>
    <w:rsid w:val="004735A6"/>
    <w:rsid w:val="004755E3"/>
    <w:rsid w:val="004758AF"/>
    <w:rsid w:val="00475EDA"/>
    <w:rsid w:val="00476679"/>
    <w:rsid w:val="004768DA"/>
    <w:rsid w:val="0047723B"/>
    <w:rsid w:val="00477EC4"/>
    <w:rsid w:val="00480D03"/>
    <w:rsid w:val="004823A4"/>
    <w:rsid w:val="004825B9"/>
    <w:rsid w:val="00482726"/>
    <w:rsid w:val="00483AAB"/>
    <w:rsid w:val="004850D0"/>
    <w:rsid w:val="00486207"/>
    <w:rsid w:val="00486873"/>
    <w:rsid w:val="00487021"/>
    <w:rsid w:val="00487E59"/>
    <w:rsid w:val="004901AB"/>
    <w:rsid w:val="004901AE"/>
    <w:rsid w:val="00490210"/>
    <w:rsid w:val="00490301"/>
    <w:rsid w:val="00490321"/>
    <w:rsid w:val="00491250"/>
    <w:rsid w:val="00492C3D"/>
    <w:rsid w:val="00492EF7"/>
    <w:rsid w:val="004931BD"/>
    <w:rsid w:val="00493B58"/>
    <w:rsid w:val="004949B8"/>
    <w:rsid w:val="004949E1"/>
    <w:rsid w:val="00494EFE"/>
    <w:rsid w:val="00495BA1"/>
    <w:rsid w:val="00496C5A"/>
    <w:rsid w:val="004A0544"/>
    <w:rsid w:val="004A0CBE"/>
    <w:rsid w:val="004A11E5"/>
    <w:rsid w:val="004A2319"/>
    <w:rsid w:val="004A2544"/>
    <w:rsid w:val="004A3084"/>
    <w:rsid w:val="004A3D2E"/>
    <w:rsid w:val="004A475C"/>
    <w:rsid w:val="004A4C07"/>
    <w:rsid w:val="004A542F"/>
    <w:rsid w:val="004A569C"/>
    <w:rsid w:val="004A5A51"/>
    <w:rsid w:val="004A61B6"/>
    <w:rsid w:val="004A7DDE"/>
    <w:rsid w:val="004B0A68"/>
    <w:rsid w:val="004B1253"/>
    <w:rsid w:val="004B19F2"/>
    <w:rsid w:val="004B1B2B"/>
    <w:rsid w:val="004B1DFC"/>
    <w:rsid w:val="004B2EAD"/>
    <w:rsid w:val="004B346C"/>
    <w:rsid w:val="004B436E"/>
    <w:rsid w:val="004B4AB4"/>
    <w:rsid w:val="004B6D0F"/>
    <w:rsid w:val="004B71C5"/>
    <w:rsid w:val="004C14B7"/>
    <w:rsid w:val="004C1702"/>
    <w:rsid w:val="004C194F"/>
    <w:rsid w:val="004C350B"/>
    <w:rsid w:val="004C3A8E"/>
    <w:rsid w:val="004C4605"/>
    <w:rsid w:val="004C46EB"/>
    <w:rsid w:val="004C54EA"/>
    <w:rsid w:val="004C65A2"/>
    <w:rsid w:val="004C7530"/>
    <w:rsid w:val="004D065E"/>
    <w:rsid w:val="004D304F"/>
    <w:rsid w:val="004D4AD0"/>
    <w:rsid w:val="004D5535"/>
    <w:rsid w:val="004D58F5"/>
    <w:rsid w:val="004D6692"/>
    <w:rsid w:val="004D6BA4"/>
    <w:rsid w:val="004D761B"/>
    <w:rsid w:val="004D7B8F"/>
    <w:rsid w:val="004E221B"/>
    <w:rsid w:val="004E3489"/>
    <w:rsid w:val="004E3ACE"/>
    <w:rsid w:val="004E3B23"/>
    <w:rsid w:val="004E47BB"/>
    <w:rsid w:val="004E50FB"/>
    <w:rsid w:val="004E6040"/>
    <w:rsid w:val="004F0E14"/>
    <w:rsid w:val="004F1AC7"/>
    <w:rsid w:val="004F3E34"/>
    <w:rsid w:val="004F4142"/>
    <w:rsid w:val="004F49B0"/>
    <w:rsid w:val="004F7B1B"/>
    <w:rsid w:val="00500B88"/>
    <w:rsid w:val="00500BC6"/>
    <w:rsid w:val="00501D81"/>
    <w:rsid w:val="005030F2"/>
    <w:rsid w:val="005035C5"/>
    <w:rsid w:val="00505E66"/>
    <w:rsid w:val="005073CF"/>
    <w:rsid w:val="00510869"/>
    <w:rsid w:val="00510D7E"/>
    <w:rsid w:val="00511881"/>
    <w:rsid w:val="00512756"/>
    <w:rsid w:val="00512AE5"/>
    <w:rsid w:val="00512E06"/>
    <w:rsid w:val="00513331"/>
    <w:rsid w:val="005151B9"/>
    <w:rsid w:val="00515B86"/>
    <w:rsid w:val="00515CD9"/>
    <w:rsid w:val="00516B5D"/>
    <w:rsid w:val="00517647"/>
    <w:rsid w:val="005202F0"/>
    <w:rsid w:val="00520CC2"/>
    <w:rsid w:val="00520D65"/>
    <w:rsid w:val="00521BF2"/>
    <w:rsid w:val="0052228E"/>
    <w:rsid w:val="00523370"/>
    <w:rsid w:val="00524107"/>
    <w:rsid w:val="005244FD"/>
    <w:rsid w:val="00525523"/>
    <w:rsid w:val="00526746"/>
    <w:rsid w:val="005269CF"/>
    <w:rsid w:val="00530682"/>
    <w:rsid w:val="0053116E"/>
    <w:rsid w:val="00531672"/>
    <w:rsid w:val="005328E2"/>
    <w:rsid w:val="00532F48"/>
    <w:rsid w:val="005339BC"/>
    <w:rsid w:val="005354BD"/>
    <w:rsid w:val="005357A0"/>
    <w:rsid w:val="00536F23"/>
    <w:rsid w:val="00537B53"/>
    <w:rsid w:val="00543F56"/>
    <w:rsid w:val="00544C3D"/>
    <w:rsid w:val="0054545F"/>
    <w:rsid w:val="0054551E"/>
    <w:rsid w:val="0054637F"/>
    <w:rsid w:val="005478B2"/>
    <w:rsid w:val="00550D8B"/>
    <w:rsid w:val="00551936"/>
    <w:rsid w:val="005530CB"/>
    <w:rsid w:val="00553BC6"/>
    <w:rsid w:val="005544D1"/>
    <w:rsid w:val="00555731"/>
    <w:rsid w:val="00555E75"/>
    <w:rsid w:val="00557125"/>
    <w:rsid w:val="00560081"/>
    <w:rsid w:val="0056262E"/>
    <w:rsid w:val="00563200"/>
    <w:rsid w:val="00563565"/>
    <w:rsid w:val="005638F3"/>
    <w:rsid w:val="00563A2F"/>
    <w:rsid w:val="00564C7B"/>
    <w:rsid w:val="005650AA"/>
    <w:rsid w:val="005654EC"/>
    <w:rsid w:val="0056553D"/>
    <w:rsid w:val="00565B71"/>
    <w:rsid w:val="005661DE"/>
    <w:rsid w:val="0057083E"/>
    <w:rsid w:val="00573174"/>
    <w:rsid w:val="005738D9"/>
    <w:rsid w:val="00573927"/>
    <w:rsid w:val="00574FA1"/>
    <w:rsid w:val="0057514F"/>
    <w:rsid w:val="0057586C"/>
    <w:rsid w:val="0057798E"/>
    <w:rsid w:val="005808FD"/>
    <w:rsid w:val="00580926"/>
    <w:rsid w:val="00581E9D"/>
    <w:rsid w:val="00582E9A"/>
    <w:rsid w:val="00583E34"/>
    <w:rsid w:val="00584845"/>
    <w:rsid w:val="00584F09"/>
    <w:rsid w:val="0058661B"/>
    <w:rsid w:val="00586929"/>
    <w:rsid w:val="00586996"/>
    <w:rsid w:val="00591D4B"/>
    <w:rsid w:val="00592128"/>
    <w:rsid w:val="0059237F"/>
    <w:rsid w:val="005924D8"/>
    <w:rsid w:val="00592848"/>
    <w:rsid w:val="00596029"/>
    <w:rsid w:val="00596A69"/>
    <w:rsid w:val="00597A62"/>
    <w:rsid w:val="005A0311"/>
    <w:rsid w:val="005A1B7F"/>
    <w:rsid w:val="005A2176"/>
    <w:rsid w:val="005A225A"/>
    <w:rsid w:val="005A30EB"/>
    <w:rsid w:val="005A34DF"/>
    <w:rsid w:val="005A385D"/>
    <w:rsid w:val="005A4235"/>
    <w:rsid w:val="005A4571"/>
    <w:rsid w:val="005A5375"/>
    <w:rsid w:val="005A56B1"/>
    <w:rsid w:val="005A6A59"/>
    <w:rsid w:val="005B1640"/>
    <w:rsid w:val="005B25A9"/>
    <w:rsid w:val="005B2B9F"/>
    <w:rsid w:val="005B3F58"/>
    <w:rsid w:val="005B4FE4"/>
    <w:rsid w:val="005B7D3D"/>
    <w:rsid w:val="005B7DB6"/>
    <w:rsid w:val="005C1237"/>
    <w:rsid w:val="005C3626"/>
    <w:rsid w:val="005C408F"/>
    <w:rsid w:val="005C65F3"/>
    <w:rsid w:val="005C69B7"/>
    <w:rsid w:val="005C6FA5"/>
    <w:rsid w:val="005C7269"/>
    <w:rsid w:val="005C7766"/>
    <w:rsid w:val="005D1409"/>
    <w:rsid w:val="005D2649"/>
    <w:rsid w:val="005D279A"/>
    <w:rsid w:val="005D27AC"/>
    <w:rsid w:val="005D3307"/>
    <w:rsid w:val="005D3369"/>
    <w:rsid w:val="005D3955"/>
    <w:rsid w:val="005D3B72"/>
    <w:rsid w:val="005D4060"/>
    <w:rsid w:val="005D57C4"/>
    <w:rsid w:val="005D591A"/>
    <w:rsid w:val="005D594D"/>
    <w:rsid w:val="005D6255"/>
    <w:rsid w:val="005E17B2"/>
    <w:rsid w:val="005E19E7"/>
    <w:rsid w:val="005E2603"/>
    <w:rsid w:val="005E3ABB"/>
    <w:rsid w:val="005E5819"/>
    <w:rsid w:val="005E599F"/>
    <w:rsid w:val="005E5F32"/>
    <w:rsid w:val="005E6648"/>
    <w:rsid w:val="005E6726"/>
    <w:rsid w:val="005E75C5"/>
    <w:rsid w:val="005E7FA4"/>
    <w:rsid w:val="005F0161"/>
    <w:rsid w:val="005F0E8D"/>
    <w:rsid w:val="005F1938"/>
    <w:rsid w:val="005F4C5E"/>
    <w:rsid w:val="005F6D89"/>
    <w:rsid w:val="005F6E05"/>
    <w:rsid w:val="005F6EE0"/>
    <w:rsid w:val="005F7B10"/>
    <w:rsid w:val="006017E5"/>
    <w:rsid w:val="00601B7B"/>
    <w:rsid w:val="00601BAA"/>
    <w:rsid w:val="00601C98"/>
    <w:rsid w:val="00602A37"/>
    <w:rsid w:val="00602C65"/>
    <w:rsid w:val="00604270"/>
    <w:rsid w:val="00604B70"/>
    <w:rsid w:val="00605CE0"/>
    <w:rsid w:val="00606235"/>
    <w:rsid w:val="006063EA"/>
    <w:rsid w:val="00606670"/>
    <w:rsid w:val="00606D68"/>
    <w:rsid w:val="00606E15"/>
    <w:rsid w:val="0060701E"/>
    <w:rsid w:val="006079D2"/>
    <w:rsid w:val="00610055"/>
    <w:rsid w:val="006104D7"/>
    <w:rsid w:val="006105E4"/>
    <w:rsid w:val="00612B35"/>
    <w:rsid w:val="00612DC2"/>
    <w:rsid w:val="006141C3"/>
    <w:rsid w:val="0061553F"/>
    <w:rsid w:val="00615B6A"/>
    <w:rsid w:val="00615C43"/>
    <w:rsid w:val="00620486"/>
    <w:rsid w:val="006208C6"/>
    <w:rsid w:val="00620B60"/>
    <w:rsid w:val="006211BC"/>
    <w:rsid w:val="00622260"/>
    <w:rsid w:val="00622956"/>
    <w:rsid w:val="00623786"/>
    <w:rsid w:val="0062422E"/>
    <w:rsid w:val="00624CF0"/>
    <w:rsid w:val="00625E20"/>
    <w:rsid w:val="00630DB3"/>
    <w:rsid w:val="00631636"/>
    <w:rsid w:val="00632186"/>
    <w:rsid w:val="006324D7"/>
    <w:rsid w:val="00633588"/>
    <w:rsid w:val="006379D2"/>
    <w:rsid w:val="00637EF6"/>
    <w:rsid w:val="00637F39"/>
    <w:rsid w:val="006406FE"/>
    <w:rsid w:val="00641FF6"/>
    <w:rsid w:val="00642451"/>
    <w:rsid w:val="0064245C"/>
    <w:rsid w:val="00645316"/>
    <w:rsid w:val="00646821"/>
    <w:rsid w:val="006504BD"/>
    <w:rsid w:val="00650505"/>
    <w:rsid w:val="0065236D"/>
    <w:rsid w:val="00652A9A"/>
    <w:rsid w:val="00653769"/>
    <w:rsid w:val="0065383A"/>
    <w:rsid w:val="00653A17"/>
    <w:rsid w:val="00654789"/>
    <w:rsid w:val="00655830"/>
    <w:rsid w:val="00657F8B"/>
    <w:rsid w:val="00661354"/>
    <w:rsid w:val="00662345"/>
    <w:rsid w:val="00663882"/>
    <w:rsid w:val="00663892"/>
    <w:rsid w:val="006645B6"/>
    <w:rsid w:val="006648FB"/>
    <w:rsid w:val="00664B6B"/>
    <w:rsid w:val="00665A62"/>
    <w:rsid w:val="00666D6B"/>
    <w:rsid w:val="00666D92"/>
    <w:rsid w:val="006703BA"/>
    <w:rsid w:val="0067061C"/>
    <w:rsid w:val="00671988"/>
    <w:rsid w:val="00672384"/>
    <w:rsid w:val="00672A84"/>
    <w:rsid w:val="00672B4A"/>
    <w:rsid w:val="006732C1"/>
    <w:rsid w:val="00673B89"/>
    <w:rsid w:val="00673CE6"/>
    <w:rsid w:val="00676B55"/>
    <w:rsid w:val="00676CEF"/>
    <w:rsid w:val="00677CCF"/>
    <w:rsid w:val="006805ED"/>
    <w:rsid w:val="006827FB"/>
    <w:rsid w:val="006840A1"/>
    <w:rsid w:val="00684549"/>
    <w:rsid w:val="006857B5"/>
    <w:rsid w:val="00687B9D"/>
    <w:rsid w:val="006900B7"/>
    <w:rsid w:val="00690F5B"/>
    <w:rsid w:val="00691465"/>
    <w:rsid w:val="0069174C"/>
    <w:rsid w:val="00692B30"/>
    <w:rsid w:val="00693926"/>
    <w:rsid w:val="00694410"/>
    <w:rsid w:val="00696029"/>
    <w:rsid w:val="0069675F"/>
    <w:rsid w:val="00696B83"/>
    <w:rsid w:val="00697598"/>
    <w:rsid w:val="006975DC"/>
    <w:rsid w:val="00697E83"/>
    <w:rsid w:val="006A00B2"/>
    <w:rsid w:val="006A0C5C"/>
    <w:rsid w:val="006A0F98"/>
    <w:rsid w:val="006A1F36"/>
    <w:rsid w:val="006A215D"/>
    <w:rsid w:val="006A26DB"/>
    <w:rsid w:val="006A30C3"/>
    <w:rsid w:val="006A37FD"/>
    <w:rsid w:val="006A4F99"/>
    <w:rsid w:val="006A5A3B"/>
    <w:rsid w:val="006A671B"/>
    <w:rsid w:val="006B0292"/>
    <w:rsid w:val="006B085F"/>
    <w:rsid w:val="006B0B70"/>
    <w:rsid w:val="006B2E43"/>
    <w:rsid w:val="006B4B14"/>
    <w:rsid w:val="006B7517"/>
    <w:rsid w:val="006B7744"/>
    <w:rsid w:val="006B7A30"/>
    <w:rsid w:val="006C086F"/>
    <w:rsid w:val="006C0A05"/>
    <w:rsid w:val="006C0CEE"/>
    <w:rsid w:val="006C0D10"/>
    <w:rsid w:val="006C17C8"/>
    <w:rsid w:val="006C1CF5"/>
    <w:rsid w:val="006C21CF"/>
    <w:rsid w:val="006C36CA"/>
    <w:rsid w:val="006C452F"/>
    <w:rsid w:val="006C531E"/>
    <w:rsid w:val="006C5878"/>
    <w:rsid w:val="006C5DE1"/>
    <w:rsid w:val="006C79DF"/>
    <w:rsid w:val="006D07A4"/>
    <w:rsid w:val="006D225C"/>
    <w:rsid w:val="006D22AB"/>
    <w:rsid w:val="006D2D19"/>
    <w:rsid w:val="006D3397"/>
    <w:rsid w:val="006D38BA"/>
    <w:rsid w:val="006D38F0"/>
    <w:rsid w:val="006D4545"/>
    <w:rsid w:val="006D4DF0"/>
    <w:rsid w:val="006D5448"/>
    <w:rsid w:val="006D618B"/>
    <w:rsid w:val="006D6D3F"/>
    <w:rsid w:val="006E24B0"/>
    <w:rsid w:val="006E32C1"/>
    <w:rsid w:val="006E335D"/>
    <w:rsid w:val="006E540C"/>
    <w:rsid w:val="006E5856"/>
    <w:rsid w:val="006E5963"/>
    <w:rsid w:val="006E596E"/>
    <w:rsid w:val="006E59F2"/>
    <w:rsid w:val="006E5A7A"/>
    <w:rsid w:val="006F0BC6"/>
    <w:rsid w:val="006F0BE0"/>
    <w:rsid w:val="006F3C03"/>
    <w:rsid w:val="006F4262"/>
    <w:rsid w:val="006F5749"/>
    <w:rsid w:val="006F6671"/>
    <w:rsid w:val="006F7859"/>
    <w:rsid w:val="00701180"/>
    <w:rsid w:val="0070182A"/>
    <w:rsid w:val="00702047"/>
    <w:rsid w:val="00702CFF"/>
    <w:rsid w:val="007035D9"/>
    <w:rsid w:val="007044F6"/>
    <w:rsid w:val="0070457C"/>
    <w:rsid w:val="00704BD7"/>
    <w:rsid w:val="007057F7"/>
    <w:rsid w:val="00705971"/>
    <w:rsid w:val="007063C6"/>
    <w:rsid w:val="00707242"/>
    <w:rsid w:val="00707292"/>
    <w:rsid w:val="00710E09"/>
    <w:rsid w:val="00712433"/>
    <w:rsid w:val="00712BB7"/>
    <w:rsid w:val="007136E0"/>
    <w:rsid w:val="00713BF8"/>
    <w:rsid w:val="007144C4"/>
    <w:rsid w:val="007144E9"/>
    <w:rsid w:val="0071506B"/>
    <w:rsid w:val="00716DB3"/>
    <w:rsid w:val="007170F9"/>
    <w:rsid w:val="00720206"/>
    <w:rsid w:val="007207F8"/>
    <w:rsid w:val="0072155C"/>
    <w:rsid w:val="00721C67"/>
    <w:rsid w:val="0072260D"/>
    <w:rsid w:val="00722985"/>
    <w:rsid w:val="00723013"/>
    <w:rsid w:val="0072393D"/>
    <w:rsid w:val="00724392"/>
    <w:rsid w:val="00724811"/>
    <w:rsid w:val="00724C09"/>
    <w:rsid w:val="00725437"/>
    <w:rsid w:val="007254C2"/>
    <w:rsid w:val="00726FCA"/>
    <w:rsid w:val="007272CD"/>
    <w:rsid w:val="00727FE9"/>
    <w:rsid w:val="00730D26"/>
    <w:rsid w:val="00731736"/>
    <w:rsid w:val="007321DA"/>
    <w:rsid w:val="007325AD"/>
    <w:rsid w:val="007325F0"/>
    <w:rsid w:val="00733D19"/>
    <w:rsid w:val="00734234"/>
    <w:rsid w:val="0073469D"/>
    <w:rsid w:val="007347D5"/>
    <w:rsid w:val="00734E0B"/>
    <w:rsid w:val="00735A73"/>
    <w:rsid w:val="007362CE"/>
    <w:rsid w:val="00737580"/>
    <w:rsid w:val="0074028C"/>
    <w:rsid w:val="007416FB"/>
    <w:rsid w:val="00741DC7"/>
    <w:rsid w:val="0074245E"/>
    <w:rsid w:val="0074265E"/>
    <w:rsid w:val="00744B57"/>
    <w:rsid w:val="0074529F"/>
    <w:rsid w:val="007453D1"/>
    <w:rsid w:val="00745EFD"/>
    <w:rsid w:val="007460BD"/>
    <w:rsid w:val="00746A01"/>
    <w:rsid w:val="00747028"/>
    <w:rsid w:val="00747B00"/>
    <w:rsid w:val="00747B22"/>
    <w:rsid w:val="00747CBF"/>
    <w:rsid w:val="00750F28"/>
    <w:rsid w:val="0075176B"/>
    <w:rsid w:val="00751E40"/>
    <w:rsid w:val="0075256B"/>
    <w:rsid w:val="00753BD5"/>
    <w:rsid w:val="00754982"/>
    <w:rsid w:val="00755555"/>
    <w:rsid w:val="007566FE"/>
    <w:rsid w:val="0076285C"/>
    <w:rsid w:val="00763238"/>
    <w:rsid w:val="00764184"/>
    <w:rsid w:val="00764280"/>
    <w:rsid w:val="007650B2"/>
    <w:rsid w:val="00765F0B"/>
    <w:rsid w:val="00766409"/>
    <w:rsid w:val="007668ED"/>
    <w:rsid w:val="00766B8E"/>
    <w:rsid w:val="00771FDA"/>
    <w:rsid w:val="00772DE7"/>
    <w:rsid w:val="00772E42"/>
    <w:rsid w:val="007736C1"/>
    <w:rsid w:val="007742A5"/>
    <w:rsid w:val="007745DA"/>
    <w:rsid w:val="007756AB"/>
    <w:rsid w:val="00777B4A"/>
    <w:rsid w:val="00777D07"/>
    <w:rsid w:val="00781577"/>
    <w:rsid w:val="007831AF"/>
    <w:rsid w:val="00783D0B"/>
    <w:rsid w:val="00783F03"/>
    <w:rsid w:val="007843B8"/>
    <w:rsid w:val="007844FC"/>
    <w:rsid w:val="00785BD5"/>
    <w:rsid w:val="00786388"/>
    <w:rsid w:val="00786A29"/>
    <w:rsid w:val="00787E08"/>
    <w:rsid w:val="00790A58"/>
    <w:rsid w:val="00791707"/>
    <w:rsid w:val="00791C0C"/>
    <w:rsid w:val="00792F3D"/>
    <w:rsid w:val="00793532"/>
    <w:rsid w:val="0079396D"/>
    <w:rsid w:val="00793BD9"/>
    <w:rsid w:val="00794292"/>
    <w:rsid w:val="0079441D"/>
    <w:rsid w:val="007945B6"/>
    <w:rsid w:val="00794993"/>
    <w:rsid w:val="007953D8"/>
    <w:rsid w:val="007A2285"/>
    <w:rsid w:val="007A26A3"/>
    <w:rsid w:val="007A2826"/>
    <w:rsid w:val="007A29B9"/>
    <w:rsid w:val="007A3788"/>
    <w:rsid w:val="007A3C94"/>
    <w:rsid w:val="007A3F37"/>
    <w:rsid w:val="007A42D1"/>
    <w:rsid w:val="007A4FB2"/>
    <w:rsid w:val="007A5466"/>
    <w:rsid w:val="007A5556"/>
    <w:rsid w:val="007A63AD"/>
    <w:rsid w:val="007A6740"/>
    <w:rsid w:val="007A688D"/>
    <w:rsid w:val="007B041D"/>
    <w:rsid w:val="007B0AB3"/>
    <w:rsid w:val="007B153A"/>
    <w:rsid w:val="007B21F1"/>
    <w:rsid w:val="007B2A60"/>
    <w:rsid w:val="007B2AE3"/>
    <w:rsid w:val="007B3ED7"/>
    <w:rsid w:val="007B6CCE"/>
    <w:rsid w:val="007B6DB9"/>
    <w:rsid w:val="007C1A8A"/>
    <w:rsid w:val="007C21F8"/>
    <w:rsid w:val="007C23EB"/>
    <w:rsid w:val="007C3766"/>
    <w:rsid w:val="007C4F2A"/>
    <w:rsid w:val="007C5515"/>
    <w:rsid w:val="007C5953"/>
    <w:rsid w:val="007C59F8"/>
    <w:rsid w:val="007C6545"/>
    <w:rsid w:val="007C6D8D"/>
    <w:rsid w:val="007C71A5"/>
    <w:rsid w:val="007D02DD"/>
    <w:rsid w:val="007D03DE"/>
    <w:rsid w:val="007D03FD"/>
    <w:rsid w:val="007D11DE"/>
    <w:rsid w:val="007D4DD0"/>
    <w:rsid w:val="007D4FD4"/>
    <w:rsid w:val="007D6372"/>
    <w:rsid w:val="007D6B90"/>
    <w:rsid w:val="007D7101"/>
    <w:rsid w:val="007D7ACB"/>
    <w:rsid w:val="007E231D"/>
    <w:rsid w:val="007E27DF"/>
    <w:rsid w:val="007E2EFA"/>
    <w:rsid w:val="007E5869"/>
    <w:rsid w:val="007E5FD2"/>
    <w:rsid w:val="007E641E"/>
    <w:rsid w:val="007E6775"/>
    <w:rsid w:val="007E6922"/>
    <w:rsid w:val="007E70B9"/>
    <w:rsid w:val="007E7F62"/>
    <w:rsid w:val="007F0539"/>
    <w:rsid w:val="007F06A2"/>
    <w:rsid w:val="007F0FAB"/>
    <w:rsid w:val="007F1186"/>
    <w:rsid w:val="007F19D1"/>
    <w:rsid w:val="007F33E4"/>
    <w:rsid w:val="007F3475"/>
    <w:rsid w:val="007F4185"/>
    <w:rsid w:val="007F4BEB"/>
    <w:rsid w:val="007F542E"/>
    <w:rsid w:val="007F5754"/>
    <w:rsid w:val="007F58C0"/>
    <w:rsid w:val="007F7517"/>
    <w:rsid w:val="007F76FC"/>
    <w:rsid w:val="007F77A7"/>
    <w:rsid w:val="007F7D0A"/>
    <w:rsid w:val="00801E1C"/>
    <w:rsid w:val="00802224"/>
    <w:rsid w:val="0080237A"/>
    <w:rsid w:val="00802839"/>
    <w:rsid w:val="00802D88"/>
    <w:rsid w:val="00803B7E"/>
    <w:rsid w:val="008054B7"/>
    <w:rsid w:val="00805AFD"/>
    <w:rsid w:val="00805BE0"/>
    <w:rsid w:val="0080605A"/>
    <w:rsid w:val="0080648C"/>
    <w:rsid w:val="00807283"/>
    <w:rsid w:val="008076CB"/>
    <w:rsid w:val="0081135C"/>
    <w:rsid w:val="00812338"/>
    <w:rsid w:val="008127AA"/>
    <w:rsid w:val="00812BDF"/>
    <w:rsid w:val="00813959"/>
    <w:rsid w:val="008147ED"/>
    <w:rsid w:val="00814BFA"/>
    <w:rsid w:val="008153E3"/>
    <w:rsid w:val="008157CB"/>
    <w:rsid w:val="0081591D"/>
    <w:rsid w:val="0082157D"/>
    <w:rsid w:val="0082219F"/>
    <w:rsid w:val="0082244A"/>
    <w:rsid w:val="00823D1E"/>
    <w:rsid w:val="0082624A"/>
    <w:rsid w:val="00826ECD"/>
    <w:rsid w:val="008272B7"/>
    <w:rsid w:val="0082796D"/>
    <w:rsid w:val="008305D8"/>
    <w:rsid w:val="00831245"/>
    <w:rsid w:val="00832F7C"/>
    <w:rsid w:val="0083414A"/>
    <w:rsid w:val="00834C53"/>
    <w:rsid w:val="00835CAA"/>
    <w:rsid w:val="0083666A"/>
    <w:rsid w:val="008372BF"/>
    <w:rsid w:val="00840FB2"/>
    <w:rsid w:val="0084187F"/>
    <w:rsid w:val="00841B98"/>
    <w:rsid w:val="00842324"/>
    <w:rsid w:val="008425FE"/>
    <w:rsid w:val="0084281E"/>
    <w:rsid w:val="0084283C"/>
    <w:rsid w:val="0084332D"/>
    <w:rsid w:val="00844650"/>
    <w:rsid w:val="008458B3"/>
    <w:rsid w:val="00845E3E"/>
    <w:rsid w:val="00845FB7"/>
    <w:rsid w:val="00845FB9"/>
    <w:rsid w:val="00847B13"/>
    <w:rsid w:val="008513A6"/>
    <w:rsid w:val="008513BA"/>
    <w:rsid w:val="008515CC"/>
    <w:rsid w:val="00855AC7"/>
    <w:rsid w:val="00856724"/>
    <w:rsid w:val="00856DE2"/>
    <w:rsid w:val="0086020D"/>
    <w:rsid w:val="00862779"/>
    <w:rsid w:val="00864744"/>
    <w:rsid w:val="008654F4"/>
    <w:rsid w:val="0086667E"/>
    <w:rsid w:val="00867AC0"/>
    <w:rsid w:val="00867EEF"/>
    <w:rsid w:val="00870805"/>
    <w:rsid w:val="00871704"/>
    <w:rsid w:val="00871B4C"/>
    <w:rsid w:val="00871FD7"/>
    <w:rsid w:val="008722A8"/>
    <w:rsid w:val="008724A5"/>
    <w:rsid w:val="008739A5"/>
    <w:rsid w:val="00874DC3"/>
    <w:rsid w:val="00877E70"/>
    <w:rsid w:val="008806BD"/>
    <w:rsid w:val="00880987"/>
    <w:rsid w:val="008812DF"/>
    <w:rsid w:val="008826E2"/>
    <w:rsid w:val="00882D83"/>
    <w:rsid w:val="008853DB"/>
    <w:rsid w:val="008857BA"/>
    <w:rsid w:val="008868E9"/>
    <w:rsid w:val="00887E86"/>
    <w:rsid w:val="008902B8"/>
    <w:rsid w:val="008905C7"/>
    <w:rsid w:val="0089167F"/>
    <w:rsid w:val="00891B9C"/>
    <w:rsid w:val="008926B3"/>
    <w:rsid w:val="00892B21"/>
    <w:rsid w:val="00894437"/>
    <w:rsid w:val="00894DCB"/>
    <w:rsid w:val="00895CC5"/>
    <w:rsid w:val="008969FE"/>
    <w:rsid w:val="00896E27"/>
    <w:rsid w:val="008A02C1"/>
    <w:rsid w:val="008A13E3"/>
    <w:rsid w:val="008A1FC9"/>
    <w:rsid w:val="008A36B4"/>
    <w:rsid w:val="008A44AB"/>
    <w:rsid w:val="008A4B61"/>
    <w:rsid w:val="008A6EA3"/>
    <w:rsid w:val="008A6F37"/>
    <w:rsid w:val="008A7EA5"/>
    <w:rsid w:val="008B007D"/>
    <w:rsid w:val="008B2188"/>
    <w:rsid w:val="008B53FE"/>
    <w:rsid w:val="008B557B"/>
    <w:rsid w:val="008B5603"/>
    <w:rsid w:val="008B57B9"/>
    <w:rsid w:val="008C02F8"/>
    <w:rsid w:val="008C31AA"/>
    <w:rsid w:val="008C347B"/>
    <w:rsid w:val="008C49D1"/>
    <w:rsid w:val="008C58AF"/>
    <w:rsid w:val="008C5B5D"/>
    <w:rsid w:val="008C5EEF"/>
    <w:rsid w:val="008D0E58"/>
    <w:rsid w:val="008D15F2"/>
    <w:rsid w:val="008D2DF7"/>
    <w:rsid w:val="008D3041"/>
    <w:rsid w:val="008D3BC7"/>
    <w:rsid w:val="008D6772"/>
    <w:rsid w:val="008D6E64"/>
    <w:rsid w:val="008D7521"/>
    <w:rsid w:val="008E1F4E"/>
    <w:rsid w:val="008E32DC"/>
    <w:rsid w:val="008E37EF"/>
    <w:rsid w:val="008E5304"/>
    <w:rsid w:val="008E5708"/>
    <w:rsid w:val="008E7711"/>
    <w:rsid w:val="008E7CE0"/>
    <w:rsid w:val="008F0455"/>
    <w:rsid w:val="008F0822"/>
    <w:rsid w:val="008F0877"/>
    <w:rsid w:val="008F1826"/>
    <w:rsid w:val="008F1F8F"/>
    <w:rsid w:val="008F1FF5"/>
    <w:rsid w:val="008F3009"/>
    <w:rsid w:val="008F32C9"/>
    <w:rsid w:val="008F35B9"/>
    <w:rsid w:val="008F528C"/>
    <w:rsid w:val="008F5D45"/>
    <w:rsid w:val="008F6DD8"/>
    <w:rsid w:val="00900048"/>
    <w:rsid w:val="00900CAC"/>
    <w:rsid w:val="009010C0"/>
    <w:rsid w:val="00901A5C"/>
    <w:rsid w:val="00903996"/>
    <w:rsid w:val="00903F3A"/>
    <w:rsid w:val="00903FD1"/>
    <w:rsid w:val="00904B44"/>
    <w:rsid w:val="009078D1"/>
    <w:rsid w:val="009115A8"/>
    <w:rsid w:val="00914F09"/>
    <w:rsid w:val="0091531A"/>
    <w:rsid w:val="00916B1E"/>
    <w:rsid w:val="00917C66"/>
    <w:rsid w:val="0092097D"/>
    <w:rsid w:val="00921C61"/>
    <w:rsid w:val="00923FD5"/>
    <w:rsid w:val="009246EF"/>
    <w:rsid w:val="009246FE"/>
    <w:rsid w:val="0092492F"/>
    <w:rsid w:val="00924B86"/>
    <w:rsid w:val="00924E9F"/>
    <w:rsid w:val="009258DB"/>
    <w:rsid w:val="00925CE4"/>
    <w:rsid w:val="00926B63"/>
    <w:rsid w:val="00926BD3"/>
    <w:rsid w:val="00926EB5"/>
    <w:rsid w:val="00931CF6"/>
    <w:rsid w:val="0093286C"/>
    <w:rsid w:val="00932CC2"/>
    <w:rsid w:val="00933717"/>
    <w:rsid w:val="00933C23"/>
    <w:rsid w:val="00933E13"/>
    <w:rsid w:val="0093498C"/>
    <w:rsid w:val="00936630"/>
    <w:rsid w:val="00937B38"/>
    <w:rsid w:val="009407B7"/>
    <w:rsid w:val="00940B8B"/>
    <w:rsid w:val="009427A8"/>
    <w:rsid w:val="00944921"/>
    <w:rsid w:val="00945F4B"/>
    <w:rsid w:val="00946373"/>
    <w:rsid w:val="00947136"/>
    <w:rsid w:val="00947550"/>
    <w:rsid w:val="00947770"/>
    <w:rsid w:val="00950049"/>
    <w:rsid w:val="00952AEA"/>
    <w:rsid w:val="009535DF"/>
    <w:rsid w:val="00953C39"/>
    <w:rsid w:val="00953FD6"/>
    <w:rsid w:val="00954504"/>
    <w:rsid w:val="00954644"/>
    <w:rsid w:val="00955692"/>
    <w:rsid w:val="00955D3B"/>
    <w:rsid w:val="00955E85"/>
    <w:rsid w:val="00956191"/>
    <w:rsid w:val="00962146"/>
    <w:rsid w:val="009625F3"/>
    <w:rsid w:val="009633D4"/>
    <w:rsid w:val="00967B72"/>
    <w:rsid w:val="0097009F"/>
    <w:rsid w:val="00971ED4"/>
    <w:rsid w:val="00971F75"/>
    <w:rsid w:val="00972754"/>
    <w:rsid w:val="00973260"/>
    <w:rsid w:val="00973502"/>
    <w:rsid w:val="00973FA8"/>
    <w:rsid w:val="00974D7B"/>
    <w:rsid w:val="009768C7"/>
    <w:rsid w:val="0098076F"/>
    <w:rsid w:val="0098151D"/>
    <w:rsid w:val="00982F6A"/>
    <w:rsid w:val="00983C7C"/>
    <w:rsid w:val="00983D43"/>
    <w:rsid w:val="009842D6"/>
    <w:rsid w:val="00984B3D"/>
    <w:rsid w:val="009862CD"/>
    <w:rsid w:val="00986FBB"/>
    <w:rsid w:val="00987DC7"/>
    <w:rsid w:val="00987DD2"/>
    <w:rsid w:val="00990C1D"/>
    <w:rsid w:val="00991577"/>
    <w:rsid w:val="00993E5C"/>
    <w:rsid w:val="009A34C0"/>
    <w:rsid w:val="009A35BD"/>
    <w:rsid w:val="009A35FA"/>
    <w:rsid w:val="009A457F"/>
    <w:rsid w:val="009A4A2D"/>
    <w:rsid w:val="009B0195"/>
    <w:rsid w:val="009B09C2"/>
    <w:rsid w:val="009B16A0"/>
    <w:rsid w:val="009B1C88"/>
    <w:rsid w:val="009B2777"/>
    <w:rsid w:val="009B2A95"/>
    <w:rsid w:val="009B2AFC"/>
    <w:rsid w:val="009B2BE9"/>
    <w:rsid w:val="009B2F87"/>
    <w:rsid w:val="009B3421"/>
    <w:rsid w:val="009B3D60"/>
    <w:rsid w:val="009B4A0E"/>
    <w:rsid w:val="009B4B75"/>
    <w:rsid w:val="009B4F34"/>
    <w:rsid w:val="009B5C08"/>
    <w:rsid w:val="009B67B5"/>
    <w:rsid w:val="009B7741"/>
    <w:rsid w:val="009B7CEF"/>
    <w:rsid w:val="009C05C1"/>
    <w:rsid w:val="009C0657"/>
    <w:rsid w:val="009C0FF8"/>
    <w:rsid w:val="009C124E"/>
    <w:rsid w:val="009C22F3"/>
    <w:rsid w:val="009C30F9"/>
    <w:rsid w:val="009C33F9"/>
    <w:rsid w:val="009C5108"/>
    <w:rsid w:val="009C6F25"/>
    <w:rsid w:val="009C7A5C"/>
    <w:rsid w:val="009C7B3C"/>
    <w:rsid w:val="009D05A9"/>
    <w:rsid w:val="009D09DA"/>
    <w:rsid w:val="009D1517"/>
    <w:rsid w:val="009D1C09"/>
    <w:rsid w:val="009D265B"/>
    <w:rsid w:val="009D308C"/>
    <w:rsid w:val="009D318C"/>
    <w:rsid w:val="009D35F8"/>
    <w:rsid w:val="009D522D"/>
    <w:rsid w:val="009D6236"/>
    <w:rsid w:val="009D6E04"/>
    <w:rsid w:val="009D7405"/>
    <w:rsid w:val="009D7622"/>
    <w:rsid w:val="009D79C9"/>
    <w:rsid w:val="009D7D06"/>
    <w:rsid w:val="009E0A33"/>
    <w:rsid w:val="009E1F68"/>
    <w:rsid w:val="009E3758"/>
    <w:rsid w:val="009E490D"/>
    <w:rsid w:val="009E4A22"/>
    <w:rsid w:val="009E6174"/>
    <w:rsid w:val="009E680C"/>
    <w:rsid w:val="009E6E7C"/>
    <w:rsid w:val="009F0761"/>
    <w:rsid w:val="009F0EC6"/>
    <w:rsid w:val="009F1177"/>
    <w:rsid w:val="009F2642"/>
    <w:rsid w:val="009F3291"/>
    <w:rsid w:val="009F4032"/>
    <w:rsid w:val="009F4599"/>
    <w:rsid w:val="009F47CB"/>
    <w:rsid w:val="009F5B8E"/>
    <w:rsid w:val="009F66A7"/>
    <w:rsid w:val="00A013AB"/>
    <w:rsid w:val="00A01A43"/>
    <w:rsid w:val="00A035CD"/>
    <w:rsid w:val="00A03AC5"/>
    <w:rsid w:val="00A042AF"/>
    <w:rsid w:val="00A06E07"/>
    <w:rsid w:val="00A07031"/>
    <w:rsid w:val="00A07423"/>
    <w:rsid w:val="00A121DC"/>
    <w:rsid w:val="00A134BA"/>
    <w:rsid w:val="00A1410F"/>
    <w:rsid w:val="00A14717"/>
    <w:rsid w:val="00A1578B"/>
    <w:rsid w:val="00A17223"/>
    <w:rsid w:val="00A175AF"/>
    <w:rsid w:val="00A20645"/>
    <w:rsid w:val="00A22623"/>
    <w:rsid w:val="00A22775"/>
    <w:rsid w:val="00A22D26"/>
    <w:rsid w:val="00A2352E"/>
    <w:rsid w:val="00A2491E"/>
    <w:rsid w:val="00A25470"/>
    <w:rsid w:val="00A25F55"/>
    <w:rsid w:val="00A261A9"/>
    <w:rsid w:val="00A26464"/>
    <w:rsid w:val="00A30024"/>
    <w:rsid w:val="00A30DBD"/>
    <w:rsid w:val="00A32EDE"/>
    <w:rsid w:val="00A3376B"/>
    <w:rsid w:val="00A33843"/>
    <w:rsid w:val="00A34372"/>
    <w:rsid w:val="00A35264"/>
    <w:rsid w:val="00A37933"/>
    <w:rsid w:val="00A40B74"/>
    <w:rsid w:val="00A40D21"/>
    <w:rsid w:val="00A40FD5"/>
    <w:rsid w:val="00A415A5"/>
    <w:rsid w:val="00A41DC0"/>
    <w:rsid w:val="00A424CB"/>
    <w:rsid w:val="00A42C2C"/>
    <w:rsid w:val="00A4387E"/>
    <w:rsid w:val="00A45260"/>
    <w:rsid w:val="00A459E7"/>
    <w:rsid w:val="00A47FB3"/>
    <w:rsid w:val="00A50703"/>
    <w:rsid w:val="00A50800"/>
    <w:rsid w:val="00A50815"/>
    <w:rsid w:val="00A50992"/>
    <w:rsid w:val="00A51366"/>
    <w:rsid w:val="00A515CF"/>
    <w:rsid w:val="00A527C2"/>
    <w:rsid w:val="00A542B4"/>
    <w:rsid w:val="00A54D8E"/>
    <w:rsid w:val="00A55612"/>
    <w:rsid w:val="00A5575A"/>
    <w:rsid w:val="00A55AA2"/>
    <w:rsid w:val="00A60550"/>
    <w:rsid w:val="00A6164B"/>
    <w:rsid w:val="00A634B8"/>
    <w:rsid w:val="00A63E4C"/>
    <w:rsid w:val="00A64263"/>
    <w:rsid w:val="00A64E21"/>
    <w:rsid w:val="00A658AD"/>
    <w:rsid w:val="00A671A5"/>
    <w:rsid w:val="00A674AD"/>
    <w:rsid w:val="00A678BF"/>
    <w:rsid w:val="00A67C6C"/>
    <w:rsid w:val="00A7097B"/>
    <w:rsid w:val="00A7121C"/>
    <w:rsid w:val="00A7148F"/>
    <w:rsid w:val="00A71632"/>
    <w:rsid w:val="00A719E9"/>
    <w:rsid w:val="00A72123"/>
    <w:rsid w:val="00A737AB"/>
    <w:rsid w:val="00A73C80"/>
    <w:rsid w:val="00A75400"/>
    <w:rsid w:val="00A76C39"/>
    <w:rsid w:val="00A77217"/>
    <w:rsid w:val="00A773CF"/>
    <w:rsid w:val="00A77882"/>
    <w:rsid w:val="00A82793"/>
    <w:rsid w:val="00A832FB"/>
    <w:rsid w:val="00A832FE"/>
    <w:rsid w:val="00A83760"/>
    <w:rsid w:val="00A83A3B"/>
    <w:rsid w:val="00A84EE3"/>
    <w:rsid w:val="00A8755F"/>
    <w:rsid w:val="00A87C54"/>
    <w:rsid w:val="00A917AE"/>
    <w:rsid w:val="00A91D19"/>
    <w:rsid w:val="00A93C08"/>
    <w:rsid w:val="00A94B11"/>
    <w:rsid w:val="00A9575F"/>
    <w:rsid w:val="00A96CFB"/>
    <w:rsid w:val="00A97F55"/>
    <w:rsid w:val="00AA162B"/>
    <w:rsid w:val="00AA1DA9"/>
    <w:rsid w:val="00AA270F"/>
    <w:rsid w:val="00AA2718"/>
    <w:rsid w:val="00AA2823"/>
    <w:rsid w:val="00AA2A6C"/>
    <w:rsid w:val="00AA412B"/>
    <w:rsid w:val="00AA5254"/>
    <w:rsid w:val="00AA5C05"/>
    <w:rsid w:val="00AA62C3"/>
    <w:rsid w:val="00AA6455"/>
    <w:rsid w:val="00AA6907"/>
    <w:rsid w:val="00AA6C68"/>
    <w:rsid w:val="00AA71D9"/>
    <w:rsid w:val="00AA747E"/>
    <w:rsid w:val="00AB07B5"/>
    <w:rsid w:val="00AB17B5"/>
    <w:rsid w:val="00AB2048"/>
    <w:rsid w:val="00AB2922"/>
    <w:rsid w:val="00AB2DDB"/>
    <w:rsid w:val="00AB5EE3"/>
    <w:rsid w:val="00AB7372"/>
    <w:rsid w:val="00AB79A9"/>
    <w:rsid w:val="00AB7AEF"/>
    <w:rsid w:val="00AC0000"/>
    <w:rsid w:val="00AC20CA"/>
    <w:rsid w:val="00AC24E0"/>
    <w:rsid w:val="00AC26C3"/>
    <w:rsid w:val="00AC2DB4"/>
    <w:rsid w:val="00AC3AE7"/>
    <w:rsid w:val="00AC5400"/>
    <w:rsid w:val="00AC5AB3"/>
    <w:rsid w:val="00AC5ABE"/>
    <w:rsid w:val="00AC69B4"/>
    <w:rsid w:val="00AC6FA6"/>
    <w:rsid w:val="00AC7C6E"/>
    <w:rsid w:val="00AD04A1"/>
    <w:rsid w:val="00AD0B26"/>
    <w:rsid w:val="00AD202A"/>
    <w:rsid w:val="00AD29E6"/>
    <w:rsid w:val="00AD3A16"/>
    <w:rsid w:val="00AD3AA4"/>
    <w:rsid w:val="00AD3BBE"/>
    <w:rsid w:val="00AD48F0"/>
    <w:rsid w:val="00AD5472"/>
    <w:rsid w:val="00AE2A45"/>
    <w:rsid w:val="00AE2FEA"/>
    <w:rsid w:val="00AE363A"/>
    <w:rsid w:val="00AE3991"/>
    <w:rsid w:val="00AE3B51"/>
    <w:rsid w:val="00AE452F"/>
    <w:rsid w:val="00AE4F32"/>
    <w:rsid w:val="00AE4FBA"/>
    <w:rsid w:val="00AE586D"/>
    <w:rsid w:val="00AE58C9"/>
    <w:rsid w:val="00AE59AD"/>
    <w:rsid w:val="00AE5C22"/>
    <w:rsid w:val="00AE6220"/>
    <w:rsid w:val="00AE6A52"/>
    <w:rsid w:val="00AE700E"/>
    <w:rsid w:val="00AE730A"/>
    <w:rsid w:val="00AF256A"/>
    <w:rsid w:val="00AF3998"/>
    <w:rsid w:val="00AF4F8F"/>
    <w:rsid w:val="00AF5DF1"/>
    <w:rsid w:val="00AF6510"/>
    <w:rsid w:val="00B00A7C"/>
    <w:rsid w:val="00B02D9A"/>
    <w:rsid w:val="00B03471"/>
    <w:rsid w:val="00B0458B"/>
    <w:rsid w:val="00B049CF"/>
    <w:rsid w:val="00B06117"/>
    <w:rsid w:val="00B0675C"/>
    <w:rsid w:val="00B06E0F"/>
    <w:rsid w:val="00B07313"/>
    <w:rsid w:val="00B10403"/>
    <w:rsid w:val="00B12325"/>
    <w:rsid w:val="00B154F5"/>
    <w:rsid w:val="00B1567F"/>
    <w:rsid w:val="00B173D0"/>
    <w:rsid w:val="00B17F33"/>
    <w:rsid w:val="00B20682"/>
    <w:rsid w:val="00B20803"/>
    <w:rsid w:val="00B20AA6"/>
    <w:rsid w:val="00B21800"/>
    <w:rsid w:val="00B21A2E"/>
    <w:rsid w:val="00B227E9"/>
    <w:rsid w:val="00B22B65"/>
    <w:rsid w:val="00B2329B"/>
    <w:rsid w:val="00B23FFB"/>
    <w:rsid w:val="00B24332"/>
    <w:rsid w:val="00B24796"/>
    <w:rsid w:val="00B26ABB"/>
    <w:rsid w:val="00B27846"/>
    <w:rsid w:val="00B27B85"/>
    <w:rsid w:val="00B30B72"/>
    <w:rsid w:val="00B31D1D"/>
    <w:rsid w:val="00B3254C"/>
    <w:rsid w:val="00B32717"/>
    <w:rsid w:val="00B336F4"/>
    <w:rsid w:val="00B33C2E"/>
    <w:rsid w:val="00B3734B"/>
    <w:rsid w:val="00B37C9A"/>
    <w:rsid w:val="00B37E50"/>
    <w:rsid w:val="00B40277"/>
    <w:rsid w:val="00B4157A"/>
    <w:rsid w:val="00B43CAD"/>
    <w:rsid w:val="00B44949"/>
    <w:rsid w:val="00B44D22"/>
    <w:rsid w:val="00B45502"/>
    <w:rsid w:val="00B45F73"/>
    <w:rsid w:val="00B5050B"/>
    <w:rsid w:val="00B50FEB"/>
    <w:rsid w:val="00B5134B"/>
    <w:rsid w:val="00B52153"/>
    <w:rsid w:val="00B53073"/>
    <w:rsid w:val="00B53296"/>
    <w:rsid w:val="00B53353"/>
    <w:rsid w:val="00B5554C"/>
    <w:rsid w:val="00B55F46"/>
    <w:rsid w:val="00B574E0"/>
    <w:rsid w:val="00B57912"/>
    <w:rsid w:val="00B57BF0"/>
    <w:rsid w:val="00B6073F"/>
    <w:rsid w:val="00B61DA2"/>
    <w:rsid w:val="00B61E4E"/>
    <w:rsid w:val="00B6211E"/>
    <w:rsid w:val="00B62C3D"/>
    <w:rsid w:val="00B63051"/>
    <w:rsid w:val="00B64002"/>
    <w:rsid w:val="00B6757E"/>
    <w:rsid w:val="00B67C69"/>
    <w:rsid w:val="00B67E8B"/>
    <w:rsid w:val="00B71E47"/>
    <w:rsid w:val="00B7238C"/>
    <w:rsid w:val="00B72A09"/>
    <w:rsid w:val="00B73280"/>
    <w:rsid w:val="00B736FB"/>
    <w:rsid w:val="00B755C2"/>
    <w:rsid w:val="00B769AF"/>
    <w:rsid w:val="00B77233"/>
    <w:rsid w:val="00B80182"/>
    <w:rsid w:val="00B80A4D"/>
    <w:rsid w:val="00B80A9A"/>
    <w:rsid w:val="00B81678"/>
    <w:rsid w:val="00B82321"/>
    <w:rsid w:val="00B82B7F"/>
    <w:rsid w:val="00B82BB5"/>
    <w:rsid w:val="00B85B4E"/>
    <w:rsid w:val="00B86248"/>
    <w:rsid w:val="00B86D57"/>
    <w:rsid w:val="00B86FE7"/>
    <w:rsid w:val="00B87211"/>
    <w:rsid w:val="00B879CC"/>
    <w:rsid w:val="00B9122A"/>
    <w:rsid w:val="00B91829"/>
    <w:rsid w:val="00B923AB"/>
    <w:rsid w:val="00B9306F"/>
    <w:rsid w:val="00B9418C"/>
    <w:rsid w:val="00B94B46"/>
    <w:rsid w:val="00B94BD5"/>
    <w:rsid w:val="00B9597C"/>
    <w:rsid w:val="00B95E95"/>
    <w:rsid w:val="00B961B5"/>
    <w:rsid w:val="00B969C7"/>
    <w:rsid w:val="00B96F10"/>
    <w:rsid w:val="00B97057"/>
    <w:rsid w:val="00BA0606"/>
    <w:rsid w:val="00BA0906"/>
    <w:rsid w:val="00BA12A1"/>
    <w:rsid w:val="00BA1F67"/>
    <w:rsid w:val="00BA2285"/>
    <w:rsid w:val="00BA23D6"/>
    <w:rsid w:val="00BA3559"/>
    <w:rsid w:val="00BA6F41"/>
    <w:rsid w:val="00BA7D0F"/>
    <w:rsid w:val="00BA7DDA"/>
    <w:rsid w:val="00BB1882"/>
    <w:rsid w:val="00BB224F"/>
    <w:rsid w:val="00BB2457"/>
    <w:rsid w:val="00BB2526"/>
    <w:rsid w:val="00BB2693"/>
    <w:rsid w:val="00BB3060"/>
    <w:rsid w:val="00BB3D46"/>
    <w:rsid w:val="00BB465E"/>
    <w:rsid w:val="00BB47C4"/>
    <w:rsid w:val="00BB4B03"/>
    <w:rsid w:val="00BB72A5"/>
    <w:rsid w:val="00BB73C4"/>
    <w:rsid w:val="00BB7CA7"/>
    <w:rsid w:val="00BB7FAC"/>
    <w:rsid w:val="00BC1230"/>
    <w:rsid w:val="00BC1458"/>
    <w:rsid w:val="00BC1572"/>
    <w:rsid w:val="00BC16B6"/>
    <w:rsid w:val="00BC3076"/>
    <w:rsid w:val="00BC3D31"/>
    <w:rsid w:val="00BC43CB"/>
    <w:rsid w:val="00BC506F"/>
    <w:rsid w:val="00BC5A5D"/>
    <w:rsid w:val="00BC7193"/>
    <w:rsid w:val="00BD09DA"/>
    <w:rsid w:val="00BD1219"/>
    <w:rsid w:val="00BD1FB4"/>
    <w:rsid w:val="00BD4CA2"/>
    <w:rsid w:val="00BE09E7"/>
    <w:rsid w:val="00BE109E"/>
    <w:rsid w:val="00BE169A"/>
    <w:rsid w:val="00BE23C9"/>
    <w:rsid w:val="00BE23EA"/>
    <w:rsid w:val="00BE2A94"/>
    <w:rsid w:val="00BE42D5"/>
    <w:rsid w:val="00BE64BB"/>
    <w:rsid w:val="00BE7C3C"/>
    <w:rsid w:val="00BF0A69"/>
    <w:rsid w:val="00BF167C"/>
    <w:rsid w:val="00BF1908"/>
    <w:rsid w:val="00BF1DA1"/>
    <w:rsid w:val="00BF200B"/>
    <w:rsid w:val="00BF3A68"/>
    <w:rsid w:val="00BF539C"/>
    <w:rsid w:val="00BF5789"/>
    <w:rsid w:val="00C002E3"/>
    <w:rsid w:val="00C00461"/>
    <w:rsid w:val="00C01D06"/>
    <w:rsid w:val="00C03137"/>
    <w:rsid w:val="00C03C33"/>
    <w:rsid w:val="00C04F86"/>
    <w:rsid w:val="00C05343"/>
    <w:rsid w:val="00C1011F"/>
    <w:rsid w:val="00C11413"/>
    <w:rsid w:val="00C1226D"/>
    <w:rsid w:val="00C12652"/>
    <w:rsid w:val="00C134DD"/>
    <w:rsid w:val="00C1428F"/>
    <w:rsid w:val="00C172FA"/>
    <w:rsid w:val="00C20C12"/>
    <w:rsid w:val="00C22104"/>
    <w:rsid w:val="00C228A3"/>
    <w:rsid w:val="00C22CF8"/>
    <w:rsid w:val="00C22E1C"/>
    <w:rsid w:val="00C240F1"/>
    <w:rsid w:val="00C25613"/>
    <w:rsid w:val="00C256F3"/>
    <w:rsid w:val="00C2715D"/>
    <w:rsid w:val="00C30222"/>
    <w:rsid w:val="00C30F51"/>
    <w:rsid w:val="00C315F6"/>
    <w:rsid w:val="00C32E89"/>
    <w:rsid w:val="00C330C1"/>
    <w:rsid w:val="00C3352F"/>
    <w:rsid w:val="00C3378F"/>
    <w:rsid w:val="00C33878"/>
    <w:rsid w:val="00C338E6"/>
    <w:rsid w:val="00C3403D"/>
    <w:rsid w:val="00C34F86"/>
    <w:rsid w:val="00C3514C"/>
    <w:rsid w:val="00C35601"/>
    <w:rsid w:val="00C35BC9"/>
    <w:rsid w:val="00C3612A"/>
    <w:rsid w:val="00C36A29"/>
    <w:rsid w:val="00C3702D"/>
    <w:rsid w:val="00C37FBE"/>
    <w:rsid w:val="00C40745"/>
    <w:rsid w:val="00C41C74"/>
    <w:rsid w:val="00C41F31"/>
    <w:rsid w:val="00C42633"/>
    <w:rsid w:val="00C429CE"/>
    <w:rsid w:val="00C42A74"/>
    <w:rsid w:val="00C42F4A"/>
    <w:rsid w:val="00C43F97"/>
    <w:rsid w:val="00C43FB1"/>
    <w:rsid w:val="00C443D4"/>
    <w:rsid w:val="00C44D73"/>
    <w:rsid w:val="00C4573D"/>
    <w:rsid w:val="00C45AD8"/>
    <w:rsid w:val="00C4623D"/>
    <w:rsid w:val="00C46F18"/>
    <w:rsid w:val="00C509FD"/>
    <w:rsid w:val="00C525B7"/>
    <w:rsid w:val="00C53166"/>
    <w:rsid w:val="00C5396B"/>
    <w:rsid w:val="00C54F31"/>
    <w:rsid w:val="00C55C2C"/>
    <w:rsid w:val="00C5694D"/>
    <w:rsid w:val="00C571EC"/>
    <w:rsid w:val="00C6049E"/>
    <w:rsid w:val="00C61315"/>
    <w:rsid w:val="00C626BD"/>
    <w:rsid w:val="00C65185"/>
    <w:rsid w:val="00C65769"/>
    <w:rsid w:val="00C65D74"/>
    <w:rsid w:val="00C66409"/>
    <w:rsid w:val="00C67E27"/>
    <w:rsid w:val="00C710B6"/>
    <w:rsid w:val="00C72363"/>
    <w:rsid w:val="00C73A84"/>
    <w:rsid w:val="00C74808"/>
    <w:rsid w:val="00C74B80"/>
    <w:rsid w:val="00C7568D"/>
    <w:rsid w:val="00C75743"/>
    <w:rsid w:val="00C77A87"/>
    <w:rsid w:val="00C8021A"/>
    <w:rsid w:val="00C80554"/>
    <w:rsid w:val="00C814B6"/>
    <w:rsid w:val="00C81A4C"/>
    <w:rsid w:val="00C82775"/>
    <w:rsid w:val="00C82E8B"/>
    <w:rsid w:val="00C842F7"/>
    <w:rsid w:val="00C84D1C"/>
    <w:rsid w:val="00C84EB6"/>
    <w:rsid w:val="00C85097"/>
    <w:rsid w:val="00C8575D"/>
    <w:rsid w:val="00C86BC8"/>
    <w:rsid w:val="00C87AD5"/>
    <w:rsid w:val="00C90655"/>
    <w:rsid w:val="00C90C53"/>
    <w:rsid w:val="00C9290D"/>
    <w:rsid w:val="00C92C21"/>
    <w:rsid w:val="00C933DB"/>
    <w:rsid w:val="00C93578"/>
    <w:rsid w:val="00C935FA"/>
    <w:rsid w:val="00C943A4"/>
    <w:rsid w:val="00C944BA"/>
    <w:rsid w:val="00C95C88"/>
    <w:rsid w:val="00C9628A"/>
    <w:rsid w:val="00C96BF9"/>
    <w:rsid w:val="00C97473"/>
    <w:rsid w:val="00CA0676"/>
    <w:rsid w:val="00CA0A9B"/>
    <w:rsid w:val="00CA1794"/>
    <w:rsid w:val="00CA1945"/>
    <w:rsid w:val="00CA2397"/>
    <w:rsid w:val="00CA28CF"/>
    <w:rsid w:val="00CA2F2D"/>
    <w:rsid w:val="00CA3233"/>
    <w:rsid w:val="00CA3459"/>
    <w:rsid w:val="00CA3706"/>
    <w:rsid w:val="00CA43BF"/>
    <w:rsid w:val="00CA45D3"/>
    <w:rsid w:val="00CA6036"/>
    <w:rsid w:val="00CA7464"/>
    <w:rsid w:val="00CA75D9"/>
    <w:rsid w:val="00CA7901"/>
    <w:rsid w:val="00CB2150"/>
    <w:rsid w:val="00CB250C"/>
    <w:rsid w:val="00CB2D07"/>
    <w:rsid w:val="00CB47FD"/>
    <w:rsid w:val="00CB5D9D"/>
    <w:rsid w:val="00CB5DB8"/>
    <w:rsid w:val="00CB7456"/>
    <w:rsid w:val="00CC11E4"/>
    <w:rsid w:val="00CC1B6A"/>
    <w:rsid w:val="00CC25F9"/>
    <w:rsid w:val="00CC276E"/>
    <w:rsid w:val="00CC3F10"/>
    <w:rsid w:val="00CC50EF"/>
    <w:rsid w:val="00CC55B3"/>
    <w:rsid w:val="00CC58D1"/>
    <w:rsid w:val="00CC72A3"/>
    <w:rsid w:val="00CC7465"/>
    <w:rsid w:val="00CC7B8B"/>
    <w:rsid w:val="00CD0505"/>
    <w:rsid w:val="00CD1F5D"/>
    <w:rsid w:val="00CD1F9A"/>
    <w:rsid w:val="00CD380D"/>
    <w:rsid w:val="00CD4907"/>
    <w:rsid w:val="00CD4C29"/>
    <w:rsid w:val="00CD4D7C"/>
    <w:rsid w:val="00CD55AC"/>
    <w:rsid w:val="00CD5933"/>
    <w:rsid w:val="00CE20BA"/>
    <w:rsid w:val="00CE3441"/>
    <w:rsid w:val="00CE42B4"/>
    <w:rsid w:val="00CE4CF2"/>
    <w:rsid w:val="00CE63F1"/>
    <w:rsid w:val="00CE770D"/>
    <w:rsid w:val="00CE7AE7"/>
    <w:rsid w:val="00CF1099"/>
    <w:rsid w:val="00CF1CE8"/>
    <w:rsid w:val="00CF6124"/>
    <w:rsid w:val="00CF6BB5"/>
    <w:rsid w:val="00CF6C00"/>
    <w:rsid w:val="00CF7883"/>
    <w:rsid w:val="00D00E78"/>
    <w:rsid w:val="00D02C40"/>
    <w:rsid w:val="00D02E92"/>
    <w:rsid w:val="00D0309F"/>
    <w:rsid w:val="00D046B4"/>
    <w:rsid w:val="00D04D70"/>
    <w:rsid w:val="00D05B67"/>
    <w:rsid w:val="00D05C47"/>
    <w:rsid w:val="00D065B6"/>
    <w:rsid w:val="00D06EDA"/>
    <w:rsid w:val="00D0718D"/>
    <w:rsid w:val="00D11331"/>
    <w:rsid w:val="00D129E9"/>
    <w:rsid w:val="00D13673"/>
    <w:rsid w:val="00D14459"/>
    <w:rsid w:val="00D1447F"/>
    <w:rsid w:val="00D14AF2"/>
    <w:rsid w:val="00D154BD"/>
    <w:rsid w:val="00D1600A"/>
    <w:rsid w:val="00D16137"/>
    <w:rsid w:val="00D17707"/>
    <w:rsid w:val="00D2100C"/>
    <w:rsid w:val="00D2188C"/>
    <w:rsid w:val="00D219E4"/>
    <w:rsid w:val="00D22D68"/>
    <w:rsid w:val="00D22F72"/>
    <w:rsid w:val="00D23A84"/>
    <w:rsid w:val="00D24A65"/>
    <w:rsid w:val="00D258BF"/>
    <w:rsid w:val="00D3019A"/>
    <w:rsid w:val="00D3042C"/>
    <w:rsid w:val="00D30629"/>
    <w:rsid w:val="00D30B1A"/>
    <w:rsid w:val="00D324FD"/>
    <w:rsid w:val="00D333C6"/>
    <w:rsid w:val="00D34711"/>
    <w:rsid w:val="00D36AC9"/>
    <w:rsid w:val="00D36B5A"/>
    <w:rsid w:val="00D3749B"/>
    <w:rsid w:val="00D37B7D"/>
    <w:rsid w:val="00D37E97"/>
    <w:rsid w:val="00D37FA9"/>
    <w:rsid w:val="00D44002"/>
    <w:rsid w:val="00D446CA"/>
    <w:rsid w:val="00D44C38"/>
    <w:rsid w:val="00D44D3B"/>
    <w:rsid w:val="00D450F3"/>
    <w:rsid w:val="00D45546"/>
    <w:rsid w:val="00D5198D"/>
    <w:rsid w:val="00D52134"/>
    <w:rsid w:val="00D52582"/>
    <w:rsid w:val="00D5339D"/>
    <w:rsid w:val="00D5488E"/>
    <w:rsid w:val="00D54B5C"/>
    <w:rsid w:val="00D54F1E"/>
    <w:rsid w:val="00D565F6"/>
    <w:rsid w:val="00D566E1"/>
    <w:rsid w:val="00D5683B"/>
    <w:rsid w:val="00D568BD"/>
    <w:rsid w:val="00D56F1B"/>
    <w:rsid w:val="00D57928"/>
    <w:rsid w:val="00D57DFB"/>
    <w:rsid w:val="00D6024A"/>
    <w:rsid w:val="00D603B7"/>
    <w:rsid w:val="00D61593"/>
    <w:rsid w:val="00D61AE4"/>
    <w:rsid w:val="00D628E7"/>
    <w:rsid w:val="00D638CA"/>
    <w:rsid w:val="00D646BC"/>
    <w:rsid w:val="00D646C2"/>
    <w:rsid w:val="00D64CBF"/>
    <w:rsid w:val="00D65028"/>
    <w:rsid w:val="00D65727"/>
    <w:rsid w:val="00D66523"/>
    <w:rsid w:val="00D66B12"/>
    <w:rsid w:val="00D71E32"/>
    <w:rsid w:val="00D72409"/>
    <w:rsid w:val="00D736A0"/>
    <w:rsid w:val="00D736B9"/>
    <w:rsid w:val="00D74C78"/>
    <w:rsid w:val="00D7505C"/>
    <w:rsid w:val="00D77048"/>
    <w:rsid w:val="00D77465"/>
    <w:rsid w:val="00D80185"/>
    <w:rsid w:val="00D8055A"/>
    <w:rsid w:val="00D806FE"/>
    <w:rsid w:val="00D81B2A"/>
    <w:rsid w:val="00D82C5A"/>
    <w:rsid w:val="00D8360F"/>
    <w:rsid w:val="00D836F4"/>
    <w:rsid w:val="00D837AB"/>
    <w:rsid w:val="00D83A45"/>
    <w:rsid w:val="00D84BFC"/>
    <w:rsid w:val="00D85166"/>
    <w:rsid w:val="00D85790"/>
    <w:rsid w:val="00D85791"/>
    <w:rsid w:val="00D85DD8"/>
    <w:rsid w:val="00D8689F"/>
    <w:rsid w:val="00D86F11"/>
    <w:rsid w:val="00D86FDC"/>
    <w:rsid w:val="00D870BC"/>
    <w:rsid w:val="00D91AD7"/>
    <w:rsid w:val="00D93546"/>
    <w:rsid w:val="00D93911"/>
    <w:rsid w:val="00D9395F"/>
    <w:rsid w:val="00D93C6B"/>
    <w:rsid w:val="00D93E5B"/>
    <w:rsid w:val="00D955A3"/>
    <w:rsid w:val="00D95FD5"/>
    <w:rsid w:val="00D96AB3"/>
    <w:rsid w:val="00D96B56"/>
    <w:rsid w:val="00D97A41"/>
    <w:rsid w:val="00DA092D"/>
    <w:rsid w:val="00DA2E35"/>
    <w:rsid w:val="00DA36CB"/>
    <w:rsid w:val="00DA4BF9"/>
    <w:rsid w:val="00DA626B"/>
    <w:rsid w:val="00DA69D3"/>
    <w:rsid w:val="00DA70FA"/>
    <w:rsid w:val="00DB0409"/>
    <w:rsid w:val="00DB0EFE"/>
    <w:rsid w:val="00DB2444"/>
    <w:rsid w:val="00DB28FC"/>
    <w:rsid w:val="00DB30E6"/>
    <w:rsid w:val="00DB62A2"/>
    <w:rsid w:val="00DB6805"/>
    <w:rsid w:val="00DB7C3D"/>
    <w:rsid w:val="00DC0141"/>
    <w:rsid w:val="00DC0E7A"/>
    <w:rsid w:val="00DC0FA7"/>
    <w:rsid w:val="00DC0FC0"/>
    <w:rsid w:val="00DC10A1"/>
    <w:rsid w:val="00DC1652"/>
    <w:rsid w:val="00DC2B21"/>
    <w:rsid w:val="00DC3D10"/>
    <w:rsid w:val="00DC4226"/>
    <w:rsid w:val="00DC46F8"/>
    <w:rsid w:val="00DC50FB"/>
    <w:rsid w:val="00DC52C7"/>
    <w:rsid w:val="00DC6A6B"/>
    <w:rsid w:val="00DC7D51"/>
    <w:rsid w:val="00DC7E99"/>
    <w:rsid w:val="00DD0728"/>
    <w:rsid w:val="00DD12F2"/>
    <w:rsid w:val="00DD2493"/>
    <w:rsid w:val="00DD2C81"/>
    <w:rsid w:val="00DD32AB"/>
    <w:rsid w:val="00DD39EC"/>
    <w:rsid w:val="00DD3AE8"/>
    <w:rsid w:val="00DD3EEC"/>
    <w:rsid w:val="00DD4379"/>
    <w:rsid w:val="00DD485C"/>
    <w:rsid w:val="00DD4DD0"/>
    <w:rsid w:val="00DD543F"/>
    <w:rsid w:val="00DD57C4"/>
    <w:rsid w:val="00DD68BB"/>
    <w:rsid w:val="00DD7362"/>
    <w:rsid w:val="00DD78BD"/>
    <w:rsid w:val="00DD7FB9"/>
    <w:rsid w:val="00DE0DD5"/>
    <w:rsid w:val="00DE1324"/>
    <w:rsid w:val="00DE1933"/>
    <w:rsid w:val="00DE1F41"/>
    <w:rsid w:val="00DE24E6"/>
    <w:rsid w:val="00DE3914"/>
    <w:rsid w:val="00DE3B95"/>
    <w:rsid w:val="00DE4EEC"/>
    <w:rsid w:val="00DE6104"/>
    <w:rsid w:val="00DE71D3"/>
    <w:rsid w:val="00DE7C6F"/>
    <w:rsid w:val="00DE7D92"/>
    <w:rsid w:val="00DF0B9B"/>
    <w:rsid w:val="00DF0C5A"/>
    <w:rsid w:val="00DF1E77"/>
    <w:rsid w:val="00DF4754"/>
    <w:rsid w:val="00DF4C01"/>
    <w:rsid w:val="00DF693C"/>
    <w:rsid w:val="00DF69CD"/>
    <w:rsid w:val="00DF7881"/>
    <w:rsid w:val="00DF79F5"/>
    <w:rsid w:val="00E00A05"/>
    <w:rsid w:val="00E029DC"/>
    <w:rsid w:val="00E0308B"/>
    <w:rsid w:val="00E03E24"/>
    <w:rsid w:val="00E047BD"/>
    <w:rsid w:val="00E0592E"/>
    <w:rsid w:val="00E0687A"/>
    <w:rsid w:val="00E107C2"/>
    <w:rsid w:val="00E120F5"/>
    <w:rsid w:val="00E129DE"/>
    <w:rsid w:val="00E14394"/>
    <w:rsid w:val="00E14416"/>
    <w:rsid w:val="00E15CFC"/>
    <w:rsid w:val="00E16E46"/>
    <w:rsid w:val="00E17854"/>
    <w:rsid w:val="00E22B43"/>
    <w:rsid w:val="00E22DAA"/>
    <w:rsid w:val="00E25EF0"/>
    <w:rsid w:val="00E2698A"/>
    <w:rsid w:val="00E309DB"/>
    <w:rsid w:val="00E30FEA"/>
    <w:rsid w:val="00E32820"/>
    <w:rsid w:val="00E32FB3"/>
    <w:rsid w:val="00E331D9"/>
    <w:rsid w:val="00E34348"/>
    <w:rsid w:val="00E347DC"/>
    <w:rsid w:val="00E35176"/>
    <w:rsid w:val="00E35347"/>
    <w:rsid w:val="00E35613"/>
    <w:rsid w:val="00E36248"/>
    <w:rsid w:val="00E36656"/>
    <w:rsid w:val="00E36758"/>
    <w:rsid w:val="00E40521"/>
    <w:rsid w:val="00E4064A"/>
    <w:rsid w:val="00E407A6"/>
    <w:rsid w:val="00E42B29"/>
    <w:rsid w:val="00E42BEC"/>
    <w:rsid w:val="00E440CC"/>
    <w:rsid w:val="00E456C2"/>
    <w:rsid w:val="00E4650E"/>
    <w:rsid w:val="00E4740D"/>
    <w:rsid w:val="00E47823"/>
    <w:rsid w:val="00E47CFF"/>
    <w:rsid w:val="00E500EE"/>
    <w:rsid w:val="00E519F6"/>
    <w:rsid w:val="00E51B20"/>
    <w:rsid w:val="00E52617"/>
    <w:rsid w:val="00E5279F"/>
    <w:rsid w:val="00E54415"/>
    <w:rsid w:val="00E56539"/>
    <w:rsid w:val="00E60D47"/>
    <w:rsid w:val="00E61CD3"/>
    <w:rsid w:val="00E61E7F"/>
    <w:rsid w:val="00E621B5"/>
    <w:rsid w:val="00E62DC2"/>
    <w:rsid w:val="00E63B38"/>
    <w:rsid w:val="00E64BE8"/>
    <w:rsid w:val="00E64CC9"/>
    <w:rsid w:val="00E6539D"/>
    <w:rsid w:val="00E7043B"/>
    <w:rsid w:val="00E70655"/>
    <w:rsid w:val="00E7116F"/>
    <w:rsid w:val="00E71F6E"/>
    <w:rsid w:val="00E72052"/>
    <w:rsid w:val="00E7213D"/>
    <w:rsid w:val="00E72859"/>
    <w:rsid w:val="00E72FBB"/>
    <w:rsid w:val="00E75EF4"/>
    <w:rsid w:val="00E77251"/>
    <w:rsid w:val="00E7751F"/>
    <w:rsid w:val="00E808FA"/>
    <w:rsid w:val="00E81D38"/>
    <w:rsid w:val="00E83BE1"/>
    <w:rsid w:val="00E863C1"/>
    <w:rsid w:val="00E86CD0"/>
    <w:rsid w:val="00E87B7F"/>
    <w:rsid w:val="00E91332"/>
    <w:rsid w:val="00E915D8"/>
    <w:rsid w:val="00E91DD6"/>
    <w:rsid w:val="00E922C9"/>
    <w:rsid w:val="00E92FBB"/>
    <w:rsid w:val="00E93CCC"/>
    <w:rsid w:val="00E93EBF"/>
    <w:rsid w:val="00E95A1C"/>
    <w:rsid w:val="00E96F65"/>
    <w:rsid w:val="00E972A5"/>
    <w:rsid w:val="00E976A8"/>
    <w:rsid w:val="00E97D10"/>
    <w:rsid w:val="00EA01B7"/>
    <w:rsid w:val="00EA0AA1"/>
    <w:rsid w:val="00EA3145"/>
    <w:rsid w:val="00EA5AF0"/>
    <w:rsid w:val="00EA647D"/>
    <w:rsid w:val="00EA6E1F"/>
    <w:rsid w:val="00EA7840"/>
    <w:rsid w:val="00EA79B5"/>
    <w:rsid w:val="00EA7CE9"/>
    <w:rsid w:val="00EA7DFA"/>
    <w:rsid w:val="00EB2876"/>
    <w:rsid w:val="00EB3D58"/>
    <w:rsid w:val="00EB3D72"/>
    <w:rsid w:val="00EB5340"/>
    <w:rsid w:val="00EB59A6"/>
    <w:rsid w:val="00EB7476"/>
    <w:rsid w:val="00EB770C"/>
    <w:rsid w:val="00EB7E2F"/>
    <w:rsid w:val="00EC09FF"/>
    <w:rsid w:val="00EC1884"/>
    <w:rsid w:val="00EC1D7D"/>
    <w:rsid w:val="00EC2421"/>
    <w:rsid w:val="00EC3244"/>
    <w:rsid w:val="00EC436D"/>
    <w:rsid w:val="00EC5C6D"/>
    <w:rsid w:val="00EC5CF6"/>
    <w:rsid w:val="00EC5F6A"/>
    <w:rsid w:val="00EC6940"/>
    <w:rsid w:val="00ED18BD"/>
    <w:rsid w:val="00ED1A36"/>
    <w:rsid w:val="00ED2533"/>
    <w:rsid w:val="00ED2BA6"/>
    <w:rsid w:val="00ED2DC9"/>
    <w:rsid w:val="00ED4354"/>
    <w:rsid w:val="00ED47A2"/>
    <w:rsid w:val="00ED4B9A"/>
    <w:rsid w:val="00ED5482"/>
    <w:rsid w:val="00ED5CE9"/>
    <w:rsid w:val="00ED704D"/>
    <w:rsid w:val="00ED76E7"/>
    <w:rsid w:val="00EE0367"/>
    <w:rsid w:val="00EE08F2"/>
    <w:rsid w:val="00EE1791"/>
    <w:rsid w:val="00EE1DF8"/>
    <w:rsid w:val="00EE30BA"/>
    <w:rsid w:val="00EE4439"/>
    <w:rsid w:val="00EE5120"/>
    <w:rsid w:val="00EE62C9"/>
    <w:rsid w:val="00EE6821"/>
    <w:rsid w:val="00EE6A43"/>
    <w:rsid w:val="00EE703E"/>
    <w:rsid w:val="00EE79F9"/>
    <w:rsid w:val="00EE7A10"/>
    <w:rsid w:val="00EF0391"/>
    <w:rsid w:val="00EF0AEF"/>
    <w:rsid w:val="00EF3810"/>
    <w:rsid w:val="00EF4662"/>
    <w:rsid w:val="00EF59BC"/>
    <w:rsid w:val="00EF649D"/>
    <w:rsid w:val="00F000F2"/>
    <w:rsid w:val="00F0017C"/>
    <w:rsid w:val="00F00792"/>
    <w:rsid w:val="00F0228F"/>
    <w:rsid w:val="00F02530"/>
    <w:rsid w:val="00F0388F"/>
    <w:rsid w:val="00F0424A"/>
    <w:rsid w:val="00F04934"/>
    <w:rsid w:val="00F055F7"/>
    <w:rsid w:val="00F05C1E"/>
    <w:rsid w:val="00F060C9"/>
    <w:rsid w:val="00F063CD"/>
    <w:rsid w:val="00F06731"/>
    <w:rsid w:val="00F06BD3"/>
    <w:rsid w:val="00F06F75"/>
    <w:rsid w:val="00F0744A"/>
    <w:rsid w:val="00F07A47"/>
    <w:rsid w:val="00F109FA"/>
    <w:rsid w:val="00F10ECC"/>
    <w:rsid w:val="00F11F04"/>
    <w:rsid w:val="00F12C97"/>
    <w:rsid w:val="00F13CD5"/>
    <w:rsid w:val="00F14324"/>
    <w:rsid w:val="00F14899"/>
    <w:rsid w:val="00F150E8"/>
    <w:rsid w:val="00F15658"/>
    <w:rsid w:val="00F1693C"/>
    <w:rsid w:val="00F17E87"/>
    <w:rsid w:val="00F17F41"/>
    <w:rsid w:val="00F20C2B"/>
    <w:rsid w:val="00F21238"/>
    <w:rsid w:val="00F22E2B"/>
    <w:rsid w:val="00F23764"/>
    <w:rsid w:val="00F2404A"/>
    <w:rsid w:val="00F24B46"/>
    <w:rsid w:val="00F24EA3"/>
    <w:rsid w:val="00F25087"/>
    <w:rsid w:val="00F257CD"/>
    <w:rsid w:val="00F25C14"/>
    <w:rsid w:val="00F25DB5"/>
    <w:rsid w:val="00F30EC2"/>
    <w:rsid w:val="00F31252"/>
    <w:rsid w:val="00F31469"/>
    <w:rsid w:val="00F32F89"/>
    <w:rsid w:val="00F3373D"/>
    <w:rsid w:val="00F33E7E"/>
    <w:rsid w:val="00F3426F"/>
    <w:rsid w:val="00F34996"/>
    <w:rsid w:val="00F35A2C"/>
    <w:rsid w:val="00F36073"/>
    <w:rsid w:val="00F36426"/>
    <w:rsid w:val="00F3699C"/>
    <w:rsid w:val="00F36C1A"/>
    <w:rsid w:val="00F36CAA"/>
    <w:rsid w:val="00F36EDB"/>
    <w:rsid w:val="00F37457"/>
    <w:rsid w:val="00F37C02"/>
    <w:rsid w:val="00F37F07"/>
    <w:rsid w:val="00F40BA6"/>
    <w:rsid w:val="00F41063"/>
    <w:rsid w:val="00F41BED"/>
    <w:rsid w:val="00F420B1"/>
    <w:rsid w:val="00F42820"/>
    <w:rsid w:val="00F42F75"/>
    <w:rsid w:val="00F43706"/>
    <w:rsid w:val="00F445C5"/>
    <w:rsid w:val="00F45E46"/>
    <w:rsid w:val="00F463F9"/>
    <w:rsid w:val="00F46CEE"/>
    <w:rsid w:val="00F47E0E"/>
    <w:rsid w:val="00F506A8"/>
    <w:rsid w:val="00F52299"/>
    <w:rsid w:val="00F53800"/>
    <w:rsid w:val="00F54268"/>
    <w:rsid w:val="00F545F5"/>
    <w:rsid w:val="00F549D7"/>
    <w:rsid w:val="00F5735D"/>
    <w:rsid w:val="00F57474"/>
    <w:rsid w:val="00F57646"/>
    <w:rsid w:val="00F57ADF"/>
    <w:rsid w:val="00F57C5F"/>
    <w:rsid w:val="00F6061A"/>
    <w:rsid w:val="00F6189F"/>
    <w:rsid w:val="00F6212C"/>
    <w:rsid w:val="00F63446"/>
    <w:rsid w:val="00F637FC"/>
    <w:rsid w:val="00F64D68"/>
    <w:rsid w:val="00F659C2"/>
    <w:rsid w:val="00F65C49"/>
    <w:rsid w:val="00F67A38"/>
    <w:rsid w:val="00F67A68"/>
    <w:rsid w:val="00F716DE"/>
    <w:rsid w:val="00F7326F"/>
    <w:rsid w:val="00F73DA2"/>
    <w:rsid w:val="00F73FEE"/>
    <w:rsid w:val="00F745BD"/>
    <w:rsid w:val="00F74C45"/>
    <w:rsid w:val="00F751DC"/>
    <w:rsid w:val="00F75496"/>
    <w:rsid w:val="00F7582D"/>
    <w:rsid w:val="00F779F0"/>
    <w:rsid w:val="00F80243"/>
    <w:rsid w:val="00F8025E"/>
    <w:rsid w:val="00F808B8"/>
    <w:rsid w:val="00F80EE3"/>
    <w:rsid w:val="00F81417"/>
    <w:rsid w:val="00F81974"/>
    <w:rsid w:val="00F83057"/>
    <w:rsid w:val="00F834AF"/>
    <w:rsid w:val="00F858D0"/>
    <w:rsid w:val="00F862D8"/>
    <w:rsid w:val="00F86FB1"/>
    <w:rsid w:val="00F8701B"/>
    <w:rsid w:val="00F8714D"/>
    <w:rsid w:val="00F87166"/>
    <w:rsid w:val="00F871B7"/>
    <w:rsid w:val="00F8750A"/>
    <w:rsid w:val="00F91A12"/>
    <w:rsid w:val="00F920A9"/>
    <w:rsid w:val="00F92D75"/>
    <w:rsid w:val="00F936DA"/>
    <w:rsid w:val="00F940A0"/>
    <w:rsid w:val="00F94C14"/>
    <w:rsid w:val="00F94FDE"/>
    <w:rsid w:val="00F95114"/>
    <w:rsid w:val="00F97113"/>
    <w:rsid w:val="00FA0E45"/>
    <w:rsid w:val="00FA16AB"/>
    <w:rsid w:val="00FA23C1"/>
    <w:rsid w:val="00FA3255"/>
    <w:rsid w:val="00FA3C97"/>
    <w:rsid w:val="00FA5560"/>
    <w:rsid w:val="00FA5778"/>
    <w:rsid w:val="00FA6B89"/>
    <w:rsid w:val="00FB2179"/>
    <w:rsid w:val="00FB29F5"/>
    <w:rsid w:val="00FB2E9B"/>
    <w:rsid w:val="00FB2F03"/>
    <w:rsid w:val="00FB3320"/>
    <w:rsid w:val="00FB485F"/>
    <w:rsid w:val="00FB50DD"/>
    <w:rsid w:val="00FB5A82"/>
    <w:rsid w:val="00FB6CD1"/>
    <w:rsid w:val="00FB7C1E"/>
    <w:rsid w:val="00FC0551"/>
    <w:rsid w:val="00FC2759"/>
    <w:rsid w:val="00FC37F2"/>
    <w:rsid w:val="00FC3D35"/>
    <w:rsid w:val="00FC4A19"/>
    <w:rsid w:val="00FC4DDE"/>
    <w:rsid w:val="00FC52B3"/>
    <w:rsid w:val="00FC57A7"/>
    <w:rsid w:val="00FC5B76"/>
    <w:rsid w:val="00FC5F8D"/>
    <w:rsid w:val="00FC6F4E"/>
    <w:rsid w:val="00FC70A0"/>
    <w:rsid w:val="00FC766B"/>
    <w:rsid w:val="00FC7A36"/>
    <w:rsid w:val="00FD11FD"/>
    <w:rsid w:val="00FD129E"/>
    <w:rsid w:val="00FD32D0"/>
    <w:rsid w:val="00FD39A7"/>
    <w:rsid w:val="00FD4153"/>
    <w:rsid w:val="00FD43BB"/>
    <w:rsid w:val="00FD49D8"/>
    <w:rsid w:val="00FD612A"/>
    <w:rsid w:val="00FD7D4F"/>
    <w:rsid w:val="00FE3F13"/>
    <w:rsid w:val="00FE5843"/>
    <w:rsid w:val="00FE5D08"/>
    <w:rsid w:val="00FE5D69"/>
    <w:rsid w:val="00FE6607"/>
    <w:rsid w:val="00FE7791"/>
    <w:rsid w:val="00FF1884"/>
    <w:rsid w:val="00FF20DF"/>
    <w:rsid w:val="00FF2D3C"/>
    <w:rsid w:val="00FF3D0A"/>
    <w:rsid w:val="00FF422B"/>
    <w:rsid w:val="00FF4588"/>
    <w:rsid w:val="00FF5FBB"/>
    <w:rsid w:val="00FF738E"/>
  </w:rsids>
  <m:mathPr>
    <m:mathFont m:val="Cambria Math"/>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14:defaultImageDpi w14:val="300"/>
  <w14:docId w14:val="5201A6A9"/>
  <w15:docId w15:val="{FBE8003D-639E-4A9D-A6A4-6F36CA8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7465"/>
    <w:pPr>
      <w:spacing w:line="480" w:lineRule="auto"/>
      <w:ind w:firstLine="720"/>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034410"/>
    <w:pPr>
      <w:ind w:firstLine="0"/>
      <w:jc w:val="center"/>
      <w:outlineLvl w:val="0"/>
    </w:pPr>
    <w:rPr>
      <w:b/>
      <w:bCs/>
    </w:rPr>
  </w:style>
  <w:style w:type="paragraph" w:styleId="Heading2">
    <w:name w:val="heading 2"/>
    <w:basedOn w:val="Normal"/>
    <w:next w:val="Normal"/>
    <w:link w:val="Heading2Char"/>
    <w:uiPriority w:val="9"/>
    <w:unhideWhenUsed/>
    <w:qFormat/>
    <w:rsid w:val="00034410"/>
    <w:pPr>
      <w:ind w:firstLine="0"/>
      <w:outlineLvl w:val="1"/>
    </w:pPr>
    <w:rPr>
      <w:b/>
      <w:bCs/>
    </w:rPr>
  </w:style>
  <w:style w:type="paragraph" w:styleId="Heading3">
    <w:name w:val="heading 3"/>
    <w:basedOn w:val="Heading2"/>
    <w:next w:val="Normal"/>
    <w:link w:val="Heading3Char"/>
    <w:uiPriority w:val="9"/>
    <w:unhideWhenUsed/>
    <w:qFormat/>
    <w:rsid w:val="00974D7B"/>
    <w:pPr>
      <w:ind w:firstLine="72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923"/>
    <w:rPr>
      <w:color w:val="0000FF" w:themeColor="hyperlink"/>
      <w:u w:val="single"/>
    </w:rPr>
  </w:style>
  <w:style w:type="paragraph" w:styleId="ListParagraph">
    <w:name w:val="List Paragraph"/>
    <w:basedOn w:val="Normal"/>
    <w:uiPriority w:val="34"/>
    <w:qFormat/>
    <w:rsid w:val="00167923"/>
    <w:pPr>
      <w:ind w:left="720"/>
      <w:contextualSpacing/>
    </w:pPr>
  </w:style>
  <w:style w:type="paragraph" w:customStyle="1" w:styleId="UPSectionHeading">
    <w:name w:val="UP Section Heading"/>
    <w:basedOn w:val="Normal"/>
    <w:qFormat/>
    <w:rsid w:val="00167923"/>
    <w:rPr>
      <w:rFonts w:ascii="Arial" w:hAnsi="Arial" w:eastAsiaTheme="minorEastAsia"/>
      <w:b/>
      <w:color w:val="auto"/>
      <w:sz w:val="26"/>
    </w:rPr>
  </w:style>
  <w:style w:type="paragraph" w:styleId="CommentText">
    <w:name w:val="annotation text"/>
    <w:basedOn w:val="Normal"/>
    <w:link w:val="CommentTextChar"/>
    <w:uiPriority w:val="99"/>
    <w:unhideWhenUsed/>
    <w:rsid w:val="000D2430"/>
  </w:style>
  <w:style w:type="character" w:customStyle="1" w:styleId="CommentTextChar">
    <w:name w:val="Comment Text Char"/>
    <w:basedOn w:val="DefaultParagraphFont"/>
    <w:link w:val="CommentText"/>
    <w:uiPriority w:val="99"/>
    <w:rsid w:val="000D2430"/>
    <w:rPr>
      <w:rFonts w:ascii="Cambria" w:eastAsia="Times New Roman" w:hAnsi="Cambria" w:cs="Cambria"/>
      <w:color w:val="000000"/>
      <w:sz w:val="20"/>
      <w:szCs w:val="20"/>
      <w:lang w:val="en-US"/>
    </w:rPr>
  </w:style>
  <w:style w:type="character" w:styleId="CommentReference">
    <w:name w:val="annotation reference"/>
    <w:basedOn w:val="DefaultParagraphFont"/>
    <w:uiPriority w:val="99"/>
    <w:semiHidden/>
    <w:unhideWhenUsed/>
    <w:rsid w:val="000D2430"/>
    <w:rPr>
      <w:sz w:val="16"/>
      <w:szCs w:val="16"/>
    </w:rPr>
  </w:style>
  <w:style w:type="paragraph" w:styleId="Bibliography">
    <w:name w:val="Bibliography"/>
    <w:basedOn w:val="Normal"/>
    <w:next w:val="Normal"/>
    <w:uiPriority w:val="37"/>
    <w:unhideWhenUsed/>
    <w:rsid w:val="003A109B"/>
    <w:pPr>
      <w:ind w:left="284" w:hanging="284"/>
    </w:pPr>
  </w:style>
  <w:style w:type="character" w:customStyle="1" w:styleId="Heading1Char">
    <w:name w:val="Heading 1 Char"/>
    <w:basedOn w:val="DefaultParagraphFont"/>
    <w:link w:val="Heading1"/>
    <w:uiPriority w:val="9"/>
    <w:rsid w:val="00034410"/>
    <w:rPr>
      <w:rFonts w:ascii="CMU Serif Roman" w:eastAsia="Times New Roman" w:hAnsi="CMU Serif Roman" w:cs="CMU Serif Roman"/>
      <w:b/>
      <w:bCs/>
      <w:color w:val="000000"/>
      <w:sz w:val="18"/>
      <w:szCs w:val="18"/>
    </w:rPr>
  </w:style>
  <w:style w:type="character" w:customStyle="1" w:styleId="Heading2Char">
    <w:name w:val="Heading 2 Char"/>
    <w:basedOn w:val="DefaultParagraphFont"/>
    <w:link w:val="Heading2"/>
    <w:uiPriority w:val="9"/>
    <w:rsid w:val="00034410"/>
    <w:rPr>
      <w:rFonts w:ascii="CMU Serif Roman" w:eastAsia="Times New Roman" w:hAnsi="CMU Serif Roman" w:cs="CMU Serif Roman"/>
      <w:b/>
      <w:bCs/>
      <w:color w:val="000000"/>
      <w:sz w:val="18"/>
      <w:szCs w:val="18"/>
    </w:rPr>
  </w:style>
  <w:style w:type="paragraph" w:styleId="CommentSubject">
    <w:name w:val="annotation subject"/>
    <w:basedOn w:val="CommentText"/>
    <w:next w:val="CommentText"/>
    <w:link w:val="CommentSubjectChar"/>
    <w:uiPriority w:val="99"/>
    <w:semiHidden/>
    <w:unhideWhenUsed/>
    <w:rsid w:val="00AE700E"/>
    <w:rPr>
      <w:b/>
      <w:bCs/>
    </w:rPr>
  </w:style>
  <w:style w:type="character" w:customStyle="1" w:styleId="CommentSubjectChar">
    <w:name w:val="Comment Subject Char"/>
    <w:basedOn w:val="CommentTextChar"/>
    <w:link w:val="CommentSubject"/>
    <w:uiPriority w:val="99"/>
    <w:semiHidden/>
    <w:rsid w:val="00AE700E"/>
    <w:rPr>
      <w:rFonts w:ascii="Cambria" w:eastAsia="Times New Roman" w:hAnsi="Cambria" w:cs="Cambria"/>
      <w:b/>
      <w:bCs/>
      <w:color w:val="000000"/>
      <w:sz w:val="20"/>
      <w:szCs w:val="20"/>
      <w:lang w:val="en-US"/>
    </w:rPr>
  </w:style>
  <w:style w:type="table" w:styleId="TableGrid">
    <w:name w:val="Table Grid"/>
    <w:basedOn w:val="TableNormal"/>
    <w:uiPriority w:val="59"/>
    <w:rsid w:val="00B62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7CD4"/>
  </w:style>
  <w:style w:type="character" w:styleId="PlaceholderText">
    <w:name w:val="Placeholder Text"/>
    <w:basedOn w:val="DefaultParagraphFont"/>
    <w:uiPriority w:val="99"/>
    <w:semiHidden/>
    <w:rsid w:val="00364AB9"/>
    <w:rPr>
      <w:color w:val="808080"/>
    </w:rPr>
  </w:style>
  <w:style w:type="paragraph" w:styleId="Caption">
    <w:name w:val="caption"/>
    <w:basedOn w:val="Normal"/>
    <w:next w:val="Normal"/>
    <w:uiPriority w:val="35"/>
    <w:unhideWhenUsed/>
    <w:qFormat/>
    <w:rsid w:val="0059237F"/>
    <w:pPr>
      <w:spacing w:after="200"/>
    </w:pPr>
    <w:rPr>
      <w:i/>
      <w:iCs/>
      <w:color w:val="1F497D" w:themeColor="text2"/>
    </w:rPr>
  </w:style>
  <w:style w:type="character" w:customStyle="1" w:styleId="Heading3Char">
    <w:name w:val="Heading 3 Char"/>
    <w:basedOn w:val="DefaultParagraphFont"/>
    <w:link w:val="Heading3"/>
    <w:uiPriority w:val="9"/>
    <w:rsid w:val="00974D7B"/>
    <w:rPr>
      <w:rFonts w:ascii="Times New Roman" w:eastAsia="Times New Roman" w:hAnsi="Times New Roman" w:cs="Times New Roman"/>
      <w:b/>
      <w:bCs/>
      <w:color w:val="000000"/>
    </w:rPr>
  </w:style>
  <w:style w:type="character" w:styleId="UnresolvedMention">
    <w:name w:val="Unresolved Mention"/>
    <w:basedOn w:val="DefaultParagraphFont"/>
    <w:uiPriority w:val="99"/>
    <w:semiHidden/>
    <w:unhideWhenUsed/>
    <w:rsid w:val="000B4D42"/>
    <w:rPr>
      <w:color w:val="605E5C"/>
      <w:shd w:val="clear" w:color="auto" w:fill="E1DFDD"/>
    </w:rPr>
  </w:style>
  <w:style w:type="character" w:styleId="FollowedHyperlink">
    <w:name w:val="FollowedHyperlink"/>
    <w:basedOn w:val="DefaultParagraphFont"/>
    <w:uiPriority w:val="99"/>
    <w:semiHidden/>
    <w:unhideWhenUsed/>
    <w:rsid w:val="000B4D42"/>
    <w:rPr>
      <w:color w:val="800080" w:themeColor="followedHyperlink"/>
      <w:u w:val="single"/>
    </w:rPr>
  </w:style>
  <w:style w:type="paragraph" w:styleId="FootnoteText">
    <w:name w:val="footnote text"/>
    <w:basedOn w:val="Normal"/>
    <w:link w:val="FootnoteTextChar"/>
    <w:uiPriority w:val="99"/>
    <w:unhideWhenUsed/>
    <w:rsid w:val="00F94C14"/>
    <w:pPr>
      <w:spacing w:line="240" w:lineRule="auto"/>
      <w:ind w:firstLine="0"/>
    </w:pPr>
  </w:style>
  <w:style w:type="character" w:customStyle="1" w:styleId="FootnoteTextChar">
    <w:name w:val="Footnote Text Char"/>
    <w:basedOn w:val="DefaultParagraphFont"/>
    <w:link w:val="FootnoteText"/>
    <w:uiPriority w:val="99"/>
    <w:rsid w:val="00F94C14"/>
    <w:rPr>
      <w:rFonts w:ascii="Times New Roman" w:eastAsia="Times New Roman" w:hAnsi="Times New Roman" w:cs="Times New Roman"/>
      <w:color w:val="000000"/>
    </w:rPr>
  </w:style>
  <w:style w:type="character" w:styleId="FootnoteReference">
    <w:name w:val="footnote reference"/>
    <w:basedOn w:val="DefaultParagraphFont"/>
    <w:uiPriority w:val="99"/>
    <w:semiHidden/>
    <w:unhideWhenUsed/>
    <w:rsid w:val="007C23EB"/>
    <w:rPr>
      <w:vertAlign w:val="superscript"/>
    </w:rPr>
  </w:style>
  <w:style w:type="character" w:styleId="EndnoteReference">
    <w:name w:val="endnote reference"/>
    <w:basedOn w:val="DefaultParagraphFont"/>
    <w:uiPriority w:val="99"/>
    <w:semiHidden/>
    <w:unhideWhenUsed/>
    <w:rsid w:val="006C1CF5"/>
    <w:rPr>
      <w:vertAlign w:val="superscript"/>
    </w:rPr>
  </w:style>
  <w:style w:type="character" w:customStyle="1" w:styleId="mord">
    <w:name w:val="mord"/>
    <w:basedOn w:val="DefaultParagraphFont"/>
    <w:rsid w:val="001475A4"/>
  </w:style>
  <w:style w:type="character" w:customStyle="1" w:styleId="mrel">
    <w:name w:val="mrel"/>
    <w:basedOn w:val="DefaultParagraphFont"/>
    <w:rsid w:val="001475A4"/>
  </w:style>
  <w:style w:type="character" w:customStyle="1" w:styleId="mbin">
    <w:name w:val="mbin"/>
    <w:basedOn w:val="DefaultParagraphFont"/>
    <w:rsid w:val="001475A4"/>
  </w:style>
  <w:style w:type="character" w:customStyle="1" w:styleId="vlist-s">
    <w:name w:val="vlist-s"/>
    <w:basedOn w:val="DefaultParagraphFont"/>
    <w:rsid w:val="001475A4"/>
  </w:style>
  <w:style w:type="paragraph" w:customStyle="1" w:styleId="abstract">
    <w:name w:val="abstract"/>
    <w:basedOn w:val="Normal"/>
    <w:qFormat/>
    <w:rsid w:val="00043D43"/>
    <w:pPr>
      <w:ind w:left="720" w:right="740" w:firstLine="0"/>
    </w:pPr>
    <w:rPr>
      <w:sz w:val="20"/>
      <w:szCs w:val="20"/>
    </w:rPr>
  </w:style>
  <w:style w:type="paragraph" w:customStyle="1" w:styleId="authors">
    <w:name w:val="authors"/>
    <w:basedOn w:val="Normal"/>
    <w:qFormat/>
    <w:rsid w:val="00043D43"/>
    <w:pPr>
      <w:ind w:firstLine="0"/>
      <w:jc w:val="center"/>
    </w:pPr>
  </w:style>
  <w:style w:type="paragraph" w:customStyle="1" w:styleId="Title1">
    <w:name w:val="Title1"/>
    <w:basedOn w:val="Normal"/>
    <w:qFormat/>
    <w:rsid w:val="00D77465"/>
    <w:pPr>
      <w:ind w:firstLine="0"/>
      <w:jc w:val="center"/>
    </w:pPr>
  </w:style>
  <w:style w:type="paragraph" w:styleId="Header">
    <w:name w:val="header"/>
    <w:basedOn w:val="Normal"/>
    <w:link w:val="HeaderChar"/>
    <w:uiPriority w:val="99"/>
    <w:unhideWhenUsed/>
    <w:rsid w:val="008153E3"/>
    <w:pPr>
      <w:tabs>
        <w:tab w:val="center" w:pos="4513"/>
        <w:tab w:val="right" w:pos="9026"/>
      </w:tabs>
    </w:pPr>
  </w:style>
  <w:style w:type="character" w:customStyle="1" w:styleId="HeaderChar">
    <w:name w:val="Header Char"/>
    <w:basedOn w:val="DefaultParagraphFont"/>
    <w:link w:val="Header"/>
    <w:uiPriority w:val="99"/>
    <w:rsid w:val="008153E3"/>
    <w:rPr>
      <w:rFonts w:ascii="CMU Serif Roman" w:eastAsia="Times New Roman" w:hAnsi="CMU Serif Roman" w:cs="CMU Serif Roman"/>
      <w:color w:val="000000"/>
      <w:sz w:val="18"/>
      <w:szCs w:val="18"/>
    </w:rPr>
  </w:style>
  <w:style w:type="paragraph" w:styleId="Footer">
    <w:name w:val="footer"/>
    <w:basedOn w:val="FootnoteText"/>
    <w:link w:val="FooterChar"/>
    <w:uiPriority w:val="99"/>
    <w:unhideWhenUsed/>
    <w:rsid w:val="00F94C14"/>
  </w:style>
  <w:style w:type="character" w:customStyle="1" w:styleId="FooterChar">
    <w:name w:val="Footer Char"/>
    <w:basedOn w:val="DefaultParagraphFont"/>
    <w:link w:val="Footer"/>
    <w:uiPriority w:val="99"/>
    <w:rsid w:val="00F94C14"/>
    <w:rPr>
      <w:rFonts w:ascii="Times New Roman" w:eastAsia="Times New Roman" w:hAnsi="Times New Roman" w:cs="Times New Roman"/>
      <w:color w:val="000000"/>
    </w:rPr>
  </w:style>
  <w:style w:type="character" w:styleId="PageNumber">
    <w:name w:val="page number"/>
    <w:basedOn w:val="DefaultParagraphFont"/>
    <w:uiPriority w:val="99"/>
    <w:semiHidden/>
    <w:unhideWhenUsed/>
    <w:rsid w:val="008153E3"/>
  </w:style>
  <w:style w:type="paragraph" w:customStyle="1" w:styleId="table">
    <w:name w:val="table"/>
    <w:basedOn w:val="Normal"/>
    <w:qFormat/>
    <w:rsid w:val="000967B0"/>
    <w:pPr>
      <w:ind w:firstLine="14"/>
    </w:pPr>
    <w:rPr>
      <w:sz w:val="16"/>
      <w:szCs w:val="16"/>
    </w:rPr>
  </w:style>
  <w:style w:type="table" w:customStyle="1" w:styleId="TableGrid1">
    <w:name w:val="Table Grid1"/>
    <w:basedOn w:val="TableNormal"/>
    <w:next w:val="TableGrid"/>
    <w:uiPriority w:val="39"/>
    <w:rsid w:val="00601B7B"/>
    <w:rPr>
      <w:rFonts w:eastAsia="MS Mincho"/>
      <w:kern w:val="2"/>
      <w:lang w:va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www.discoveringstatistics.com/repository/fieldgillett/how_to_do_a_meta_analysis.html" TargetMode="External" /><Relationship Id="rId11" Type="http://schemas.openxmlformats.org/officeDocument/2006/relationships/image" Target="media/image1.png" /><Relationship Id="rId12" Type="http://schemas.openxmlformats.org/officeDocument/2006/relationships/image" Target="media/image2.png" /><Relationship Id="rId13" Type="http://schemas.openxmlformats.org/officeDocument/2006/relationships/image" Target="media/image3.emf" /><Relationship Id="rId14" Type="http://schemas.openxmlformats.org/officeDocument/2006/relationships/image" Target="media/image4.emf" /><Relationship Id="rId15" Type="http://schemas.openxmlformats.org/officeDocument/2006/relationships/image" Target="media/image5.emf"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customXml" Target="../customXml/item1.xm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94F73-804E-7F47-8C61-7355FF5C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50</Pages>
  <Words>33730</Words>
  <Characters>192263</Characters>
  <Application>Microsoft Office Word</Application>
  <DocSecurity>0</DocSecurity>
  <Lines>1602</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Imogen</dc:creator>
  <cp:lastModifiedBy>Hussey, Ian (PSY)</cp:lastModifiedBy>
  <cp:revision>2201</cp:revision>
  <cp:lastPrinted>2024-08-01T11:55:00Z</cp:lastPrinted>
  <dcterms:created xsi:type="dcterms:W3CDTF">2024-08-01T11:55:00Z</dcterms:created>
  <dcterms:modified xsi:type="dcterms:W3CDTF">2024-10-18T16:39:00Z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id="QIm1KlPY"/&gt;&lt;style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