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F84A7" w14:textId="77777777" w:rsidR="00C240F1" w:rsidRDefault="00C240F1" w:rsidP="00805BE0">
      <w:pPr>
        <w:ind w:firstLine="0"/>
        <w:sectPr w:rsidR="00C240F1" w:rsidSect="00D77465">
          <w:headerReference w:type="even" r:id="rId8"/>
          <w:headerReference w:type="default" r:id="rId9"/>
          <w:footerReference w:type="even" r:id="rId10"/>
          <w:footerReference w:type="default" r:id="rId11"/>
          <w:pgSz w:w="11900" w:h="16840"/>
          <w:pgMar w:top="1440" w:right="1440" w:bottom="1440" w:left="1440" w:header="709" w:footer="709" w:gutter="0"/>
          <w:cols w:space="708"/>
          <w:docGrid w:linePitch="360"/>
          <w15:footnoteColumns w:val="1"/>
        </w:sectPr>
      </w:pPr>
    </w:p>
    <w:p w14:paraId="2DDFE060" w14:textId="7E6FE495" w:rsidR="00D77465" w:rsidRPr="00805BE0" w:rsidRDefault="00D77465" w:rsidP="00C240F1">
      <w:pPr>
        <w:pStyle w:val="Title1"/>
        <w:jc w:val="left"/>
      </w:pPr>
      <w:r w:rsidRPr="00805BE0">
        <w:t>Verification Report: A critical reanalysis of Vahey et al. (2015) “A meta-analysis of criterion effects for the Implicit Relational Assessment Procedure (IRAP) in the clinical domain”</w:t>
      </w:r>
    </w:p>
    <w:p w14:paraId="09B4F2AD" w14:textId="77777777" w:rsidR="00D77465" w:rsidRDefault="00D77465" w:rsidP="00D77465"/>
    <w:p w14:paraId="2AB0CFA3" w14:textId="4BDA1DC5" w:rsidR="0080605A" w:rsidRPr="00E92FBB" w:rsidRDefault="00000000" w:rsidP="00D77465">
      <w:r w:rsidRPr="00D77465">
        <w:t>There is now a growing literature on post-</w:t>
      </w:r>
      <w:r>
        <w:t xml:space="preserve">publication scientific error detection in meta-analyses. Much of this has focused on quantifying the prevalence of issues that undermine the validity of meta-analysis results, such as errors in effect size extraction </w:t>
      </w:r>
      <w:r>
        <w:fldChar w:fldCharType="begin"/>
      </w:r>
      <w:r>
        <w:instrText xml:space="preserve"> ADDIN ZOTERO_ITEM CSL_CITATION {"citationID":"MK9rz5ZD","properties":{"formattedCitation":"(e.g., G\\uc0\\u248{}tzsche et al., 2007; Lakens et al., 2017; Maassen et al., 2020)","plainCitation":"(e.g., Gøtzsche et al., 2007; Lakens et al., 2017; Maassen et al., 2020)","noteIndex":0},"citationItems":[{"id":4753,"uris":["http://zotero.org/users/1687755/items/QR5MWFKZ"],"itemData":{"id":4753,"type":"article-journal","abstract":"ContextMeta-analysis of trials that have used different continuous or rating scales to record outcomes of a similar nature requires sophisticated data handling and data transformation to a uniform scale, the standardized mean difference (SMD). It is not known how reliable such meta-analyses are.ObjectiveTo study whether SMDs in meta-analyses are accurate.Data SourcesSystematic review of meta-analyses published in 2004 that reported a result as an SMD, with no language restrictions. Two trials were randomly selected from each meta-analysis. We attempted to replicate the results in each meta-analysis by independently calculating SMD using Hedges adjusted g.Data ExtractionOur primary outcome was the proportion of meta-analyses for which our result differed from that of the authors by 0.1 or more, either for the point estimate or for its confidence interval, for at least 1 of the 2 selected trials. We chose 0.1 as cut point because many commonly used treatments have an effect of 0.1 to 0.5, compared with placebo.ResultsOf the 27 meta-analyses included in this study, we could not replicate the result for at least 1 of the 2 trials within 0.1 in 10 of the meta-analyses (37%), and in 4 cases, the discrepancy was 0.6 or more for the point estimate. Common problems were erroneous number of patients, means, standard deviations, and sign for the effect estimate. In total, 17 meta-analyses (63%) had errors for at least 1 of the 2 trials examined. For the 10 meta-analyses with errors of at least 0.1, we checked the data from all the trials and conducted our own meta-analysis, using the authors' methods. Seven of these 10 meta-analyses were erroneous (70%); 1 was subsequently retracted, and in 2 a significant difference disappeared or appeared.ConclusionsThe high proportion of meta-analyses based on SMDs that show errors indicates that although the statistical process is ostensibly simple, data extraction is particularly liable to errors that can negate or even reverse the findings of the study. This has implications for researchers and implies that all readers, including journal reviewers and policy makers, should approach such meta-analyses with caution.","container-title":"JAMA","DOI":"10.1001/jama.298.4.430","ISSN":"0098-7484","issue":"4","journalAbbreviation":"JAMA","page":"430-437","source":"Silverchair","title":"Data Extraction Errors in Meta-analyses That Use Standardized Mean Differences","volume":"298","author":[{"family":"Gøtzsche","given":"Peter C."},{"family":"Hróbjartsson","given":"Asbjørn"},{"family":"Marić","given":"Katja"},{"family":"Tendal","given":"Britta"}],"issued":{"date-parts":[["2007",7,25]]}},"label":"page","prefix":"e.g., "},{"id":4644,"uris":["http://zotero.org/users/1687755/items/IBB5XYVT"],"itemData":{"id":4644,"type":"report","abstract":"Meta-analyses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M."}],"accessed":{"date-parts":[["2020",6,17]]},"issued":{"date-parts":[["2017",3,31]]}}},{"id":4654,"uris":["http://zotero.org/users/1687755/items/WUWAGAGT"],"itemData":{"id":4654,"type":"article-journal","abstract":"To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M."}],"issued":{"date-parts":[["2020",5,27]]}}}],"schema":"https://github.com/citation-style-language/schema/raw/master/csl-citation.json"} </w:instrText>
      </w:r>
      <w:r>
        <w:fldChar w:fldCharType="separate"/>
      </w:r>
      <w:r w:rsidRPr="00C11413">
        <w:t>(e.g., Gøtzsche et al., 2007; Lakens et al., 2017; Maassen et al., 2020)</w:t>
      </w:r>
      <w:r>
        <w:fldChar w:fldCharType="end"/>
      </w:r>
      <w:r>
        <w:t xml:space="preserve">, or indicators of reproducibility such as the </w:t>
      </w:r>
      <w:r w:rsidRPr="00C11413">
        <w:t>reproducib</w:t>
      </w:r>
      <w:r>
        <w:t xml:space="preserve">ility of the systematic </w:t>
      </w:r>
      <w:r w:rsidRPr="00C11413">
        <w:t xml:space="preserve">search </w:t>
      </w:r>
      <w:r>
        <w:t xml:space="preserve">strategy, </w:t>
      </w:r>
      <w:r w:rsidRPr="00C11413">
        <w:t xml:space="preserve">specification of the exact method to compute effect sizes, </w:t>
      </w:r>
      <w:r>
        <w:t xml:space="preserve">choice of </w:t>
      </w:r>
      <w:r w:rsidRPr="00C11413">
        <w:t>weighting</w:t>
      </w:r>
      <w:r>
        <w:t>s</w:t>
      </w:r>
      <w:r w:rsidRPr="00C11413">
        <w:t xml:space="preserve"> and estimator</w:t>
      </w:r>
      <w:r>
        <w:t xml:space="preserve"> function</w:t>
      </w:r>
      <w:r w:rsidRPr="00C11413">
        <w:t xml:space="preserve">, </w:t>
      </w:r>
      <w:r>
        <w:t xml:space="preserve">and sharing of data and code </w:t>
      </w:r>
      <w:r>
        <w:fldChar w:fldCharType="begin"/>
      </w:r>
      <w:r>
        <w:instrText xml:space="preserve"> ADDIN ZOTERO_ITEM CSL_CITATION {"citationID":"Ms4MoTlj","properties":{"formattedCitation":"(L\\uc0\\u243{}pez-Nicol\\uc0\\u225{}s et al., 2022)","plainCitation":"(López-Nicolás et al., 2022)","noteIndex":0},"citationItems":[{"id":4600,"uris":["http://zotero.org/users/1687755/items/MH7F7IGH"],"itemData":{"id":4600,"type":"article-journal","abstract":"Meta-analysis is a powerful and important tool to synthesize the literature about a research topic. Like other kinds of research, meta-analyses must be reproducible to be compliant with the principles of the scientific method. Furthermore, reproducible meta-analyses can be easily updated with new data and reanalysed applying new and more refined analysis techniques. We attempted to empirically assess the prevalence of transparency and reproducibility-related reporting practices in published meta-analyses from clinical psychology by examining a random sample of 100 meta-analyses. Our purpose was to identify the key points that could be improved, with the aim of providing some recommendations for carrying out reproducible meta-analyses. We conducted a meta-review of meta-analyses of psychological interventions published between 2000 and 2020. We searched PubMed, PsycInfo and Web of Science databases. A structured coding form to assess transparency indicators was created based on previous studies and existing meta-analysis guidelines. We found major issues concerning: completely reproducible search procedures report, specification of the exact method to compute effect sizes, choice of weighting factors and estimators, lack of availability of the raw statistics used to compute the effect size and of interoperability of available data, and practically total absence of analysis script code sharing. Based on our findings, we conclude with recommendations intended to improve the transparency, openness, and reproducibility-related reporting practices of meta-analyses in clinical psychology and related areas.","container-title":"Behavior Research Methods","DOI":"10.3758/s13428-021-01644-z","ISSN":"1554-3528","issue":"1","journalAbbreviation":"Behav Res","language":"en","page":"334-349","source":"Springer Link","title":"A meta-review of transparency and reproducibility-related reporting practices in published meta-analyses on clinical psychological interventions (2000–2020)","volume":"54","author":[{"family":"López-Nicolás","given":"Rubén"},{"family":"López-López","given":"José Antonio"},{"family":"Rubio-Aparicio","given":"María"},{"family":"Sánchez-Meca","given":"Julio"}],"issued":{"date-parts":[["2022",2,1]]}}}],"schema":"https://github.com/citation-style-language/schema/raw/master/csl-citation.json"} </w:instrText>
      </w:r>
      <w:r>
        <w:fldChar w:fldCharType="separate"/>
      </w:r>
      <w:r w:rsidRPr="00C11413">
        <w:t>(López-Nicolás et al., 2022)</w:t>
      </w:r>
      <w:r>
        <w:fldChar w:fldCharType="end"/>
      </w:r>
      <w:r>
        <w:t>. More recently, this has been supplemented with</w:t>
      </w:r>
      <w:r w:rsidR="00224408">
        <w:t xml:space="preserve"> work that is explicitly focused on</w:t>
      </w:r>
      <w:r>
        <w:t xml:space="preserve"> error detection that has the goal of examining what features of a meta-analysis can be checked and how, and where meta-analyses tend to make errors </w:t>
      </w:r>
      <w:r>
        <w:fldChar w:fldCharType="begin"/>
      </w:r>
      <w:r>
        <w:instrText xml:space="preserve"> ADDIN ZOTERO_ITEM CSL_CITATION {"citationID":"0ufZDgN2","properties":{"formattedCitation":"(Kadlec et al., 2023)","plainCitation":"(Kadlec et al., 2023)","noteIndex":0},"citationItems":[{"id":54,"uris":["http://zotero.org/users/1687755/items/WWKVT2EA"],"itemData":{"id":54,"type":"article-journal","abstract":"Meta-analysis and meta-regression are often highly cited and may influence practice. Unfortunately, statistical errors in meta-analyses are widespread and can lead to flawed conclusions. The purpose of this article was to review common statistical errors in meta-analyses and to document their frequency in highly cited meta-analyses from strength and conditioning research.","container-title":"Sports Medicine","DOI":"10.1007/s40279-022-01766-0","ISSN":"1179-2035","issue":"2","journalAbbreviation":"Sports Med","language":"en","page":"313-325","source":"Springer Link","title":"With Great Power Comes Great Responsibility: Common Errors in Meta-Analyses and Meta-Regressions in Strength &amp; Conditioning Research","title-short":"With Great Power Comes Great Responsibility","volume":"53","author":[{"family":"Kadlec","given":"Daniel"},{"family":"Sainani","given":"Kristin L."},{"family":"Nimphius","given":"Sophia"}],"issued":{"date-parts":[["2023",2,1]]}},"label":"page"}],"schema":"https://github.com/citation-style-language/schema/raw/master/csl-citation.json"} </w:instrText>
      </w:r>
      <w:r>
        <w:fldChar w:fldCharType="separate"/>
      </w:r>
      <w:r>
        <w:rPr>
          <w:noProof/>
        </w:rPr>
        <w:t>(Kadlec et al., 2023)</w:t>
      </w:r>
      <w:r>
        <w:fldChar w:fldCharType="end"/>
      </w:r>
      <w:r>
        <w:t>. Th</w:t>
      </w:r>
      <w:r w:rsidR="00F063CD">
        <w:t>is</w:t>
      </w:r>
      <w:r>
        <w:t xml:space="preserve"> article continues in this vein: following the logic of error detection tools for original research articles </w:t>
      </w:r>
      <w:r>
        <w:fldChar w:fldCharType="begin"/>
      </w:r>
      <w:r>
        <w:instrText xml:space="preserve"> ADDIN ZOTERO_ITEM CSL_CITATION {"citationID":"AadGykF4","properties":{"formattedCitation":"(e.g., Heathers et al., 2018)","plainCitation":"(e.g., Heathers et al., 2018)","noteIndex":0},"citationItems":[{"id":75,"uris":["http://zotero.org/users/1687755/items/M3ZLFXPT"],"itemData":{"id":75,"type":"report","abstract":"Scientific publications have not traditionally been accompanied by data, either during the peer review process or when published. Concern has arisen that the literature in many fields may contain inaccuracies or errors that cannot be detected without inspecting the original data. Here, we introduce SPRITE (Sample Parameter Reconstruction via Interative TEchniques), a heuristic method for reconstructing plausible samples from descriptive statistics of granular data, allowing reviewers, editors, readers, and future researchers to gain insights into the possible distributions of item values in the original data set. This paper presents the principles of operation of SPRITE, as well as worked examples of its practical use for error detection in real published work. Full source code for three software implementations of SPRITE (in MATLAB, R, and Python) and two web-based implementations requiring no local installation (1, 2) are available for readers.","language":"en","note":"ISSN: 2167-9843\nDOI: 10.7287/peerj.preprints.26968v1","number":"e26968v1","publisher":"PeerJ Inc.","source":"peerj.com","title":"Recovering data from summary statistics: Sample Parameter Reconstruction via Iterative TEchniques (SPRITE)","title-short":"Recovering data from summary statistics","URL":"https://peerj.com/preprints/26968","author":[{"family":"Heathers","given":"James A."},{"family":"Anaya","given":"Jordan"},{"family":"Zee","given":"Tim","dropping-particle":"van der"},{"family":"Brown","given":"Nicholas JL"}],"accessed":{"date-parts":[["2023",5,31]]},"issued":{"date-parts":[["2018",5,30]]}},"label":"page","prefix":"e.g., "}],"schema":"https://github.com/citation-style-language/schema/raw/master/csl-citation.json"} </w:instrText>
      </w:r>
      <w:r>
        <w:fldChar w:fldCharType="separate"/>
      </w:r>
      <w:r>
        <w:rPr>
          <w:noProof/>
        </w:rPr>
        <w:t>(e.g., Heathers et al., 2018)</w:t>
      </w:r>
      <w:r>
        <w:fldChar w:fldCharType="end"/>
      </w:r>
      <w:r>
        <w:t xml:space="preserve">, it focuses on features of meta-analyses that are either informative but often overlooked or that repeat information. Both provide vectors for error detection. </w:t>
      </w:r>
      <w:r w:rsidR="0074245E">
        <w:t xml:space="preserve">Indeed, these principles of examining overlooked repeated information to assess the trustworthiness of published work are now being integrated into Cochrane’s systematic review process </w:t>
      </w:r>
      <w:r w:rsidR="0074245E">
        <w:fldChar w:fldCharType="begin"/>
      </w:r>
      <w:r w:rsidR="0074245E">
        <w:instrText xml:space="preserve"> ADDIN ZOTERO_ITEM CSL_CITATION {"citationID":"IBHTGa12","properties":{"formattedCitation":"(Wilkinson et al., 2023)","plainCitation":"(Wilkinson et al., 2023)","noteIndex":0},"citationItems":[{"id":26250,"uris":["http://zotero.org/users/1687755/items/GPA4IIIS"],"itemData":{"id":26250,"type":"article","abstract":"Introduction Randomised controlled trials (RCTs) inform healthcare decisions. It is now apparent that some published RCTs contain false data, and some appear to have been entirely fabricated. Systematic reviews are performed to identify and synthesise all RCTs that have been conducted on a given topic. While it is usual to assess methodological features of the RCTs in the process of undertaking a systematic review, it is not usual to consider whether the RCTs contain false data. Studies containing false data therefore go unnoticed, and contribute to systematic review conclusions. The INSPECT-SR project will develop a tool to assess the trustworthiness of RCTs in systematic reviews of healthcare related interventions.\nMethods and analysis The INSPECT-SR tool will be developed using expert consensus in combination with empirical evidence, over five stages: 1) a survey of experts to assemble a comprehensive list of checks for detecting problematic RCTs, 2) an evaluation of the feasibility and impact of applying the checks to systematic reviews, 3) a Delphi survey to determine which of the checks are supported by expert consensus, culminating in 4) a consensus meeting to select checks to be included in a draft tool and to determine its format, 5) prospective testing of the draft tool in the production of new health systematic reviews, to allow refinement based on user feedback. We anticipate that the INSPECT-SR tool will help researchers to identify problematic studies, and will help patients by protecting them from the influence of false data on their healthcare.","DOI":"10.1101/2023.09.21.23295626","language":"en","license":"© 2023, Posted by Cold Spring Harbor Laboratory. This pre-print is available under a Creative Commons License (Attribution 4.0 International), CC BY 4.0, as described at http://creativecommons.org/licenses/by/4.0/","note":"page: 2023.09.21.23295626","publisher":"medRxiv","source":"medRxiv","title":"Protocol for the development of a tool (INSPECT-SR) to identify problematic randomised controlled trials in systematic reviews of health interventions","URL":"https://www.medrxiv.org/content/10.1101/2023.09.21.23295626v1","author":[{"family":"Wilkinson","given":"Jack"},{"family":"Heal","given":"Calvin"},{"family":"Antoniou","given":"George A."},{"family":"Alfirevic","given":"Zarko"},{"family":"Avenell","given":"Alison"},{"family":"Barbour","given":"Virginia"},{"family":"Brown","given":"Nicholas J. L."},{"family":"Carlisle","given":"John"},{"family":"Dicker","given":"Patrick"},{"family":"Dumville","given":"Jo"},{"family":"Grey","given":"Andrew"},{"family":"Gurrin","given":"Lyle C."},{"family":"Hayden","given":"Jill A."},{"family":"Heathers","given":"James"},{"family":"Hunter","given":"Kylie E."},{"family":"Lasserson","given":"Toby"},{"family":"Lam","given":"Emily"},{"family":"Lensen","given":"Sarah"},{"family":"Li","given":"Tianjing"},{"family":"Li","given":"Wentao"},{"family":"Loder","given":"Elizabeth"},{"family":"Lundh","given":"Andreas"},{"family":"Meyerowitz-Katz","given":"Gideon"},{"family":"Mol","given":"Ben W."},{"family":"Connell","given":"Neil E. O’"},{"family":"Parker","given":"Lisa"},{"family":"Redman","given":"Barbara K."},{"family":"Seidler","given":"Anna Lene"},{"family":"Sheldrick","given":"Kyle A."},{"family":"Sydenham","given":"Emma"},{"family":"Torgerson","given":"David J."},{"family":"Wely","given":"Madelon","dropping-particle":"van"},{"family":"Wang","given":"Rui"},{"family":"Bero","given":"Lisa"},{"family":"Kirkham","given":"Jamie J."}],"accessed":{"date-parts":[["2024",1,24]]},"issued":{"date-parts":[["2023",9,25]]}}}],"schema":"https://github.com/citation-style-language/schema/raw/master/csl-citation.json"} </w:instrText>
      </w:r>
      <w:r w:rsidR="0074245E">
        <w:fldChar w:fldCharType="separate"/>
      </w:r>
      <w:r w:rsidR="0074245E">
        <w:rPr>
          <w:noProof/>
        </w:rPr>
        <w:t>(Wilkinson et al., 2023)</w:t>
      </w:r>
      <w:r w:rsidR="0074245E">
        <w:fldChar w:fldCharType="end"/>
      </w:r>
      <w:r w:rsidR="0074245E">
        <w:t xml:space="preserve">. </w:t>
      </w:r>
      <w:r>
        <w:t xml:space="preserve">The intended meta-scientific utility of this manuscript is therefore to provide a relatively fine-grain description of what information was inspected for errors and how, in the hope that some of these methods of </w:t>
      </w:r>
      <w:r w:rsidRPr="00E92FBB">
        <w:t>verification allow other meta-analyses to be more efficiently and effectively inspected for errors.</w:t>
      </w:r>
    </w:p>
    <w:p w14:paraId="3EB539E4" w14:textId="707283B6" w:rsidR="00BC1572" w:rsidRDefault="00DA092D" w:rsidP="00D77465">
      <w:r>
        <w:t xml:space="preserve">Briefly, </w:t>
      </w:r>
      <w:r w:rsidR="00BC1572" w:rsidRPr="00E92FBB">
        <w:t xml:space="preserve">Implicit Relational Assessment Procedure </w:t>
      </w:r>
      <w:r w:rsidR="007F3475" w:rsidRPr="00E92FBB">
        <w:fldChar w:fldCharType="begin"/>
      </w:r>
      <w:r w:rsidR="007F3475" w:rsidRPr="00E92FBB">
        <w:instrText xml:space="preserve"> ADDIN ZOTERO_ITEM CSL_CITATION {"citationID":"GegimLVW","properties":{"formattedCitation":"(IRAP: Barnes-Holmes et al., 2006, 2010)","plainCitation":"(IRAP: Barnes-Holmes et al., 2006, 2010)","noteIndex":0},"citationItems":[{"id":1724,"uris":["http://zotero.org/users/1687755/items/A8CJRWUP"],"itemData":{"id":1724,"type":"article-journal","container-title":"The Irish Psychologist","issue":"7","page":"169–177","source":"Google Scholar","title":"Do you really know what you believe? Developing the Implicit Relational Assessment Procedure (IRAP) as a direct measure of implicit beliefs","title-short":"Do you really know what you believe?","volume":"32","author":[{"family":"Barnes-Holmes","given":"Dermot"},{"family":"Barnes-Holmes","given":"Yvonne"},{"family":"Power","given":"Patricia"},{"family":"Hayden","given":"Eilish"},{"family":"Milne","given":"Rebecca"},{"family":"Stewart","given":"Ian"}],"issued":{"date-parts":[["2006"]]}},"label":"page","prefix":"IRAP: "},{"id":4868,"uris":["http://zotero.org/users/1687755/items/XI3TJMRH"],"itemData":{"id":4868,"type":"article-journal","container-title":"The Psychological Record","DOI":"https://doi.org/10.1007/BF03395726","issue":"3","page":"527-542","title":"A sketch of the Implicit Relational Assessment Procedure (IRAP) and the Relational Elaboration and Coherence (REC) model","volume":"60","author":[{"family":"Barnes-Holmes","given":"Dermot"},{"family":"Barnes-Holmes","given":"Yvonne"},{"family":"Stewart","given":"Ian"},{"family":"Boles","given":"Shawn"}],"issued":{"date-parts":[["2010"]]}}}],"schema":"https://github.com/citation-style-language/schema/raw/master/csl-citation.json"} </w:instrText>
      </w:r>
      <w:r w:rsidR="007F3475" w:rsidRPr="00E92FBB">
        <w:fldChar w:fldCharType="separate"/>
      </w:r>
      <w:r w:rsidR="007F3475" w:rsidRPr="00E92FBB">
        <w:t>(IRAP: Barnes-Holmes et al., 2006, 2010)</w:t>
      </w:r>
      <w:r w:rsidR="007F3475" w:rsidRPr="00E92FBB">
        <w:fldChar w:fldCharType="end"/>
      </w:r>
      <w:r w:rsidR="007F3475">
        <w:t xml:space="preserve"> is a reaction-time based measure that has been used in over 150 publications </w:t>
      </w:r>
      <w:r w:rsidR="007F3475">
        <w:lastRenderedPageBreak/>
        <w:fldChar w:fldCharType="begin"/>
      </w:r>
      <w:r w:rsidR="007F3475">
        <w:instrText xml:space="preserve"> ADDIN ZOTERO_ITEM CSL_CITATION {"citationID":"mbJoRt8A","properties":{"formattedCitation":"(Hussey, 2023)","plainCitation":"(Hussey, 2023)","noteIndex":0},"citationItems":[{"id":5224,"uris":["http://zotero.org/users/1687755/items/V6AXJF9Q"],"itemData":{"id":5224,"type":"article-journal","abstract":"Following recent calls to examine the replicability of behavioral research, I examined two key determinants of replicability, namely sample sizes and statistical power, in research using the Implicit Relational Assessment Procedure (IRAP).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0.34). At the current rate of growth, the median study will only reach the recommended minimum power of at least 0.80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indeed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needed.","container-title":"Journal of Contextual Behavioral Science","DOI":"10.1016/j.jcbs.2023.06.008","ISSN":"2212-1447","journalAbbreviation":"Journal of Contextual Behavioral Science","page":"86-97","source":"ScienceDirect","title":"A systematic review of null hypothesis significance testing, sample sizes, and statistical power in research using the Implicit Relational Assessment Procedure","volume":"29","author":[{"family":"Hussey","given":"Ian"}],"issued":{"date-parts":[["2023",7,1]]}}}],"schema":"https://github.com/citation-style-language/schema/raw/master/csl-citation.json"} </w:instrText>
      </w:r>
      <w:r w:rsidR="007F3475">
        <w:fldChar w:fldCharType="separate"/>
      </w:r>
      <w:r w:rsidR="007F3475">
        <w:rPr>
          <w:noProof/>
        </w:rPr>
        <w:t>(Hussey, 2023)</w:t>
      </w:r>
      <w:r w:rsidR="007F3475">
        <w:fldChar w:fldCharType="end"/>
      </w:r>
      <w:r w:rsidR="007F3475">
        <w:t>. Typical implementations of the IRAP</w:t>
      </w:r>
      <w:r w:rsidR="0023388C">
        <w:t xml:space="preserve"> </w:t>
      </w:r>
      <w:r w:rsidR="007F3475">
        <w:t>involve presenting “sample” words</w:t>
      </w:r>
      <w:r w:rsidR="00C93578">
        <w:t xml:space="preserve"> or images</w:t>
      </w:r>
      <w:r w:rsidR="007F3475">
        <w:t xml:space="preserve"> at the top of the screen and “target” words</w:t>
      </w:r>
      <w:r w:rsidR="00C93578">
        <w:t xml:space="preserve"> or images</w:t>
      </w:r>
      <w:r w:rsidR="007F3475">
        <w:t xml:space="preserve"> in the middle of the screen. Participants must respond with one of two response options that involve opposing relational terms, such as True/False or (</w:t>
      </w:r>
      <w:r w:rsidR="006B4B14">
        <w:t xml:space="preserve">more rarely) similar/different, which are assigned to a left vs. right response key on the keyboard. </w:t>
      </w:r>
      <w:r w:rsidR="00C93578">
        <w:t xml:space="preserve">Participants complete pairs of blocks of trials, most commonly three pairs of blocks of ‘consistent’ vs. ‘inconsistent’ trials, with 24 trials per block. Each trial requires the participant to provide a specific response to advance to the next trial. The other incorrect response causes corrective feedback to be presented on screen, most commonly a red X. The required response swaps between blocks. For example, a disgust IRAP could employ disgusting vs. pleasant images as sample stimuli and positive vs. negative words as target stimuli. On the ‘consistent’ blocks, when presented with a disgusting image and the words “I feel sick”, the required response would be “True”. On ‘inconsistent’ blocks, the required response would instead be “False”. </w:t>
      </w:r>
      <w:r w:rsidR="008F6DD8">
        <w:t>Participants are instructed and trained to maintain accuracy and speed criteria in practice blocks (e.g., median reaction time &lt; 2000ms and percentage accuracy &gt; 80%)</w:t>
      </w:r>
      <w:r w:rsidR="00982F6A">
        <w:t xml:space="preserve"> before being presented with a fixed number of test blocks. </w:t>
      </w:r>
      <w:r w:rsidR="00BB7CA7">
        <w:t>Reaction time d</w:t>
      </w:r>
      <w:r w:rsidR="00982F6A">
        <w:t xml:space="preserve">ata from the test blocks are typically scored using a version of the Greenwald </w:t>
      </w:r>
      <w:r w:rsidR="00982F6A" w:rsidRPr="00982F6A">
        <w:rPr>
          <w:i/>
          <w:iCs/>
        </w:rPr>
        <w:t>D</w:t>
      </w:r>
      <w:r w:rsidR="00982F6A">
        <w:t xml:space="preserve"> metric developed for the Implicit Association Test </w:t>
      </w:r>
      <w:r w:rsidR="00982F6A">
        <w:fldChar w:fldCharType="begin"/>
      </w:r>
      <w:r w:rsidR="00475EDA">
        <w:instrText xml:space="preserve"> ADDIN ZOTERO_ITEM CSL_CITATION {"citationID":"kHOXouLU","properties":{"unsorted":true,"formattedCitation":"(Greenwald et al., 2003; Hussey et al., 2015; although for issues with D and a more robust alterantive see De Schryver et al., 2018)","plainCitation":"(Greenwald et al., 2003; Hussey et al., 2015; although for issues with D and a more robust alterantive see De Schryver et al., 2018)","noteIndex":0},"citationItems":[{"id":1735,"uris":["http://zotero.org/users/1687755/items/BDWCSHP8"],"itemData":{"id":1735,"type":"article-journal","container-title":"Journal of Personality and Social Psychology","DOI":"10.1037/0022-3514.85.2.197","ISSN":"1939-1315, 0022-3514","issue":"2","language":"en","page":"197-216","source":"CrossRef","title":"Understanding and using the Implicit Association Test: I. An improved scoring algorithm.","title-short":"Understanding and using the Implicit Association Test","volume":"85","author":[{"family":"Greenwald","given":"Anthony G."},{"family":"Nosek","given":"Brian A."},{"family":"Banaji","given":"Mahzarin R."}],"issued":{"date-parts":[["2003"]]}}},{"id":2687,"uris":["http://zotero.org/users/1687755/items/QDNB6VD9"],"itemData":{"id":2687,"type":"article-journal","abstract":"This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id":1101,"uris":["http://zotero.org/users/1687755/items/GWGYDUED"],"itemData":{"id":1101,"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Neve","given":"Jan"},{"family":"Cartwright","given":"Aoife"},{"family":"Barnes-Holmes","given":"Dermot"}],"issued":{"date-parts":[["2018",1,1]]}},"label":"page","prefix":"although for issues with D and a more robust alterantive see "}],"schema":"https://github.com/citation-style-language/schema/raw/master/csl-citation.json"} </w:instrText>
      </w:r>
      <w:r w:rsidR="00982F6A">
        <w:fldChar w:fldCharType="separate"/>
      </w:r>
      <w:r w:rsidR="00475EDA">
        <w:rPr>
          <w:noProof/>
        </w:rPr>
        <w:t xml:space="preserve">(Greenwald et al., 2003; Hussey et al., 2015; although for issues with </w:t>
      </w:r>
      <w:r w:rsidR="00475EDA" w:rsidRPr="00475EDA">
        <w:rPr>
          <w:i/>
          <w:iCs/>
          <w:noProof/>
        </w:rPr>
        <w:t>D</w:t>
      </w:r>
      <w:r w:rsidR="00475EDA">
        <w:rPr>
          <w:noProof/>
        </w:rPr>
        <w:t xml:space="preserve"> and a more robust alterantive see De Schryver et al., 2018)</w:t>
      </w:r>
      <w:r w:rsidR="00982F6A">
        <w:fldChar w:fldCharType="end"/>
      </w:r>
      <w:r w:rsidR="00F80EE3">
        <w:t xml:space="preserve"> to quantify the IRAP effect: the relative speed at which participants emit one pattern of relational responses relative to the other. This </w:t>
      </w:r>
      <w:r w:rsidR="00D2188C">
        <w:t>effect is sometimes used as a metric of (relational) implicit attitudes or beliefs and at other times is used in the study of the dynamics of relational responding</w:t>
      </w:r>
      <w:r w:rsidR="00DF0C5A">
        <w:t xml:space="preserve">. </w:t>
      </w:r>
    </w:p>
    <w:p w14:paraId="5C1A794E" w14:textId="651147EE" w:rsidR="00C842F7" w:rsidRDefault="00000000" w:rsidP="00D77465">
      <w:r w:rsidRPr="00034410">
        <w:t xml:space="preserve">Vahey et al.’s </w:t>
      </w:r>
      <w:r w:rsidRPr="00034410">
        <w:fldChar w:fldCharType="begin"/>
      </w:r>
      <w:r w:rsidRPr="00034410">
        <w:instrText xml:space="preserve"> ADDIN ZOTERO_ITEM CSL_CITATION {"citationID":"e3PmKru9","properties":{"formattedCitation":"(2015)","plainCitation":"(2015)","noteIndex":0},"citationItems":[{"id":1617,"uris":["http://zotero.org/users/1687755/items/4SHQ9XKM"],"itemData":{"id":1617,"type":"article-journal","abstract":"AbstractBackground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A."},{"family":"Nicholson","given":"Emma"},{"family":"Barnes-Holmes","given":"Dermot"}],"issued":{"date-parts":[["2015",9]]}},"label":"page","suppress-author":true}],"schema":"https://github.com/citation-style-language/schema/raw/master/csl-citation.json"} </w:instrText>
      </w:r>
      <w:r w:rsidRPr="00034410">
        <w:fldChar w:fldCharType="separate"/>
      </w:r>
      <w:r w:rsidRPr="00034410">
        <w:t>(2015)</w:t>
      </w:r>
      <w:r w:rsidRPr="00034410">
        <w:fldChar w:fldCharType="end"/>
      </w:r>
      <w:r w:rsidR="000D2430" w:rsidRPr="00034410">
        <w:t xml:space="preserve"> meta-analysis concluded that </w:t>
      </w:r>
      <w:r w:rsidR="007F3475">
        <w:t xml:space="preserve">the IRAP </w:t>
      </w:r>
      <w:r w:rsidR="000D2430" w:rsidRPr="00034410">
        <w:t xml:space="preserve">possesses good </w:t>
      </w:r>
      <w:r w:rsidR="007F3475">
        <w:t xml:space="preserve">clinical </w:t>
      </w:r>
      <w:r w:rsidR="000D2430" w:rsidRPr="00034410">
        <w:t xml:space="preserve">criterion validity </w:t>
      </w:r>
      <w:r w:rsidRPr="00034410">
        <w:t xml:space="preserve">and that </w:t>
      </w:r>
      <w:r w:rsidR="007F3475">
        <w:t xml:space="preserve">results </w:t>
      </w:r>
      <w:r w:rsidR="00150CC4">
        <w:t>“</w:t>
      </w:r>
      <w:r w:rsidR="00457274" w:rsidRPr="00034410">
        <w:t>demonstrates the potential of the IRAP as a tool for clinical assessment”</w:t>
      </w:r>
      <w:r w:rsidR="00150CC4">
        <w:t xml:space="preserve"> (p. 64)</w:t>
      </w:r>
      <w:r w:rsidRPr="00034410">
        <w:t xml:space="preserve">. </w:t>
      </w:r>
      <w:r w:rsidR="008513BA" w:rsidRPr="00034410">
        <w:t>Based on a non-systematic review</w:t>
      </w:r>
      <w:r w:rsidR="0038777F">
        <w:t xml:space="preserve"> followed by a meta-analysis</w:t>
      </w:r>
      <w:r w:rsidR="008513BA" w:rsidRPr="00034410">
        <w:t>, th</w:t>
      </w:r>
      <w:r w:rsidR="00702047">
        <w:t>ose</w:t>
      </w:r>
      <w:r w:rsidR="008513BA" w:rsidRPr="00034410">
        <w:t xml:space="preserve"> </w:t>
      </w:r>
      <w:r w:rsidR="008513BA" w:rsidRPr="00034410">
        <w:lastRenderedPageBreak/>
        <w:t xml:space="preserve">authors </w:t>
      </w:r>
      <w:r w:rsidR="000D2430" w:rsidRPr="00034410">
        <w:t xml:space="preserve">(a) provided an estimate of the association between IRAP effects and clinically relevant criterion variables, (b) reported that the IRAP compares </w:t>
      </w:r>
      <w:r w:rsidR="00EB7476" w:rsidRPr="00034410">
        <w:t>favorably</w:t>
      </w:r>
      <w:r w:rsidR="000D2430" w:rsidRPr="00034410">
        <w:t xml:space="preserve"> to other popular implicit measures, including the Implicit Association Test </w:t>
      </w:r>
      <w:r w:rsidR="000D2430" w:rsidRPr="00034410">
        <w:fldChar w:fldCharType="begin"/>
      </w:r>
      <w:r w:rsidR="007C23EB" w:rsidRPr="00034410">
        <w:instrText xml:space="preserve"> ADDIN ZOTERO_ITEM CSL_CITATION {"citationID":"ZUfIn3Nj","properties":{"formattedCitation":"(Greenwald et al., 1998)","plainCitation":"(Greenwald et al., 1998)","noteIndex":0},"citationItems":[{"id":1469,"uris":["http://zotero.org/users/1687755/items/DAREVDNK"],"itemData":{"id":1469,"type":"article-journal","abstract":"An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000D2430" w:rsidRPr="00034410">
        <w:fldChar w:fldCharType="separate"/>
      </w:r>
      <w:r w:rsidR="000D2430" w:rsidRPr="00034410">
        <w:t>(Greenwald et al., 1998)</w:t>
      </w:r>
      <w:r w:rsidR="000D2430" w:rsidRPr="00034410">
        <w:fldChar w:fldCharType="end"/>
      </w:r>
      <w:r w:rsidR="000D2430" w:rsidRPr="00034410">
        <w:t>, and (c) used the</w:t>
      </w:r>
      <w:r w:rsidR="00457274" w:rsidRPr="00034410">
        <w:t>ir meta-</w:t>
      </w:r>
      <w:r w:rsidR="00EB7476" w:rsidRPr="00034410">
        <w:t>analyzed</w:t>
      </w:r>
      <w:r w:rsidR="000D2430" w:rsidRPr="00034410">
        <w:t xml:space="preserve"> estimate of effect size to conduct power analyses </w:t>
      </w:r>
      <w:r w:rsidR="008425FE" w:rsidRPr="00034410">
        <w:t xml:space="preserve">and </w:t>
      </w:r>
      <w:r w:rsidR="000D2430" w:rsidRPr="00034410">
        <w:t>make sample size recommendations for future research</w:t>
      </w:r>
      <w:r w:rsidR="00802224" w:rsidRPr="00034410">
        <w:t xml:space="preserve"> using the IRAP</w:t>
      </w:r>
      <w:r w:rsidR="000D2430" w:rsidRPr="00034410">
        <w:t>.</w:t>
      </w:r>
      <w:r w:rsidRPr="00034410">
        <w:t xml:space="preserve"> While there has been a subsequent debate about the degree to which the IRAP is or is not an “</w:t>
      </w:r>
      <w:r w:rsidRPr="005F0161">
        <w:t xml:space="preserve">implicit” measure </w:t>
      </w:r>
      <w:r w:rsidRPr="005F0161">
        <w:fldChar w:fldCharType="begin"/>
      </w:r>
      <w:r w:rsidR="008D3041" w:rsidRPr="005F0161">
        <w:instrText xml:space="preserve"> ADDIN ZOTERO_ITEM CSL_CITATION {"citationID":"uSJLyHHf","properties":{"formattedCitation":"(Barnes-Holmes &amp; Harte, 2022a; Hussey, 2022)","plainCitation":"(Barnes-Holmes &amp; Harte, 2022a; Hussey, 2022)","noteIndex":0},"citationItems":[{"id":4707,"uris":["http://zotero.org/users/1687755/items/DJC2GMQM"],"itemData":{"id":4707,"type":"article-journal","abstract":"The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id":5223,"uris":["http://zotero.org/users/1687755/items/8AY5SY46"],"itemData":{"id":5223,"type":"article-journal","abstract":"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recklessness.","container-title":"PsyArXiv","DOI":"10.31234/osf.io/qmg6s","language":"en-us","source":"OSF Preprints","title":"Reply to Barnes-Holmes &amp; Harte (2022) “The IRAP as a Measure of Implicit Cognition: A Case of Frankenstein’s Monster”","title-short":"Reply to Barnes-Holmes &amp; Harte (2022) “The IRAP as a Measure of Implicit Cognition","URL":"https://psyarxiv.com/qmg6s/","author":[{"family":"Hussey","given":"Ian"}],"accessed":{"date-parts":[["2023",1,2]]},"issued":{"date-parts":[["2022",10,5]]}}}],"schema":"https://github.com/citation-style-language/schema/raw/master/csl-citation.json"} </w:instrText>
      </w:r>
      <w:r w:rsidRPr="005F0161">
        <w:fldChar w:fldCharType="separate"/>
      </w:r>
      <w:r w:rsidR="008D3041" w:rsidRPr="005F0161">
        <w:rPr>
          <w:noProof/>
        </w:rPr>
        <w:t>(Barnes-Holmes &amp; Harte, 2022a; Hussey, 2022)</w:t>
      </w:r>
      <w:r w:rsidRPr="005F0161">
        <w:fldChar w:fldCharType="end"/>
      </w:r>
      <w:r w:rsidRPr="005F0161">
        <w:t xml:space="preserve">, and indeed what the term even means </w:t>
      </w:r>
      <w:r w:rsidRPr="005F0161">
        <w:fldChar w:fldCharType="begin"/>
      </w:r>
      <w:r w:rsidRPr="005F0161">
        <w:instrText xml:space="preserve"> ADDIN ZOTERO_ITEM CSL_CITATION {"citationID":"wgbMLfX8","properties":{"unsorted":true,"formattedCitation":"(Corneille &amp; H\\uc0\\u252{}tter, 2020)","plainCitation":"(Corneille &amp; Hütter, 2020)","noteIndex":0},"citationItems":[{"id":428,"uris":["http://zotero.org/users/1687755/items/L3DDQX5Y"],"itemData":{"id":428,"type":"article-journal","abstract":"This article provides a comprehensive review of divergent conceptualizations of the “implicit” construct that have emerged in attitude research over the past two decades. In doing so, our goal is to raise awareness of the harmful consequences of conceptual ambiguities associated with this terminology. We identify three main conceptualizations of the “implicitness” construct: the procedural conceptualization (implicit-as-indirect), the functional conceptualization (implicit-as-automatic), and the mental theory conceptualization (implicit-as-associative), as well as two hybrid conceptualizations (implicit-as-indirect-and-automatic, implicit-as-driven-by-affective-gut-reactions). We discuss critical limitations associated with each conceptualization and explain that confusion also arises from their coexistence. We recommend discontinuing the usage of the “implicit” terminology in attitude research and research inspired by it. We offer terminological alternatives aimed at increasing both the precision of theorization and the practical value of future research.","container-title":"Personality and Social Psychology Review","DOI":"10.1177/1088868320911325","ISSN":"1088-8683","journalAbbreviation":"Pers Soc Psychol Rev","language":"en","note":"publisher: SAGE Publications Inc","page":"1088868320911325","source":"SAGE Journals","title":"Implicit? What Do You Mean? A Comprehensive Review of the Delusive Implicitness Construct in Attitude Research","title-short":"Implicit?","author":[{"family":"Corneille","given":"Olivier"},{"family":"Hütter","given":"Mandy"}],"issued":{"date-parts":[["2020",3,20]]}},"label":"page"}],"schema":"https://github.com/citation-style-language/schema/raw/master/csl-citation.json"} </w:instrText>
      </w:r>
      <w:r w:rsidRPr="005F0161">
        <w:fldChar w:fldCharType="separate"/>
      </w:r>
      <w:r w:rsidRPr="005F0161">
        <w:t>(Corneille &amp; Hütter, 2020)</w:t>
      </w:r>
      <w:r w:rsidRPr="005F0161">
        <w:fldChar w:fldCharType="end"/>
      </w:r>
      <w:r w:rsidRPr="005F0161">
        <w:t>, these debates are secondary to the</w:t>
      </w:r>
      <w:r w:rsidRPr="00034410">
        <w:t xml:space="preserve"> fact that the IRAP, and tasks like it, are claimed to be valid measures of individual differences based on sources of evidence such as Vahey et al. (2015). </w:t>
      </w:r>
    </w:p>
    <w:p w14:paraId="7EAC7E0C" w14:textId="77777777" w:rsidR="001537F8" w:rsidRPr="00034410" w:rsidRDefault="00000000" w:rsidP="00D77465">
      <w:pPr>
        <w:pStyle w:val="Heading2"/>
      </w:pPr>
      <w:r w:rsidRPr="00034410">
        <w:t xml:space="preserve">Rationale for </w:t>
      </w:r>
      <w:r w:rsidR="00223420" w:rsidRPr="00034410">
        <w:t>verification</w:t>
      </w:r>
    </w:p>
    <w:p w14:paraId="3A6C94F6" w14:textId="77777777" w:rsidR="00C9290D" w:rsidRPr="00034410" w:rsidRDefault="00000000" w:rsidP="00D77465">
      <w:r>
        <w:t>In addition to the meta-scientific utility of doing so discussed previously, t</w:t>
      </w:r>
      <w:r w:rsidR="0093498C" w:rsidRPr="00034410">
        <w:t xml:space="preserve">here are </w:t>
      </w:r>
      <w:r w:rsidR="005924D8" w:rsidRPr="00034410">
        <w:t xml:space="preserve">at least </w:t>
      </w:r>
      <w:r w:rsidR="008A44AB">
        <w:t>four</w:t>
      </w:r>
      <w:r>
        <w:t xml:space="preserve"> </w:t>
      </w:r>
      <w:r w:rsidR="00D96AB3" w:rsidRPr="00034410">
        <w:t>rationales for performing a verification of Vahey et al.</w:t>
      </w:r>
      <w:r>
        <w:t>’s</w:t>
      </w:r>
      <w:r w:rsidR="00D96AB3" w:rsidRPr="00034410">
        <w:t xml:space="preserve"> (201</w:t>
      </w:r>
      <w:r w:rsidR="00500BC6" w:rsidRPr="00034410">
        <w:t>5)</w:t>
      </w:r>
      <w:r>
        <w:t xml:space="preserve"> results</w:t>
      </w:r>
      <w:r w:rsidR="00B80A9A">
        <w:t>.</w:t>
      </w:r>
      <w:r w:rsidR="00500BC6" w:rsidRPr="00034410">
        <w:t xml:space="preserve"> </w:t>
      </w:r>
      <w:r w:rsidR="0001350A" w:rsidRPr="00034410">
        <w:t xml:space="preserve">First, there is good a priori reason to believe that meta-analyses in general often contain non-replicable results. Lakens et al. </w:t>
      </w:r>
      <w:r w:rsidR="0001350A" w:rsidRPr="00034410">
        <w:fldChar w:fldCharType="begin"/>
      </w:r>
      <w:r w:rsidR="007C23EB" w:rsidRPr="00034410">
        <w:instrText xml:space="preserve"> ADDIN ZOTERO_ITEM CSL_CITATION {"citationID":"d6XNcoxQ","properties":{"formattedCitation":"(2017)","plainCitation":"(2017)","noteIndex":0},"citationItems":[{"id":4644,"uris":["http://zotero.org/users/1687755/items/IBB5XYVT"],"itemData":{"id":4644,"type":"report","abstract":"Meta-analyses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M."}],"accessed":{"date-parts":[["2020",6,17]]},"issued":{"date-parts":[["2017",3,31]]}},"suppress-author":true}],"schema":"https://github.com/citation-style-language/schema/raw/master/csl-citation.json"} </w:instrText>
      </w:r>
      <w:r w:rsidR="0001350A" w:rsidRPr="00034410">
        <w:fldChar w:fldCharType="separate"/>
      </w:r>
      <w:r w:rsidR="0001350A" w:rsidRPr="00034410">
        <w:t>(2017)</w:t>
      </w:r>
      <w:r w:rsidR="0001350A" w:rsidRPr="00034410">
        <w:fldChar w:fldCharType="end"/>
      </w:r>
      <w:r w:rsidR="0001350A" w:rsidRPr="00034410">
        <w:t xml:space="preserve"> recently demonstrated that the results of the majority of a random sample of meta-analyses published in psychology cannot be </w:t>
      </w:r>
      <w:r w:rsidR="00A658AD" w:rsidRPr="00034410">
        <w:t xml:space="preserve">computationally </w:t>
      </w:r>
      <w:r w:rsidR="0001350A" w:rsidRPr="00034410">
        <w:t>reproduced</w:t>
      </w:r>
      <w:r w:rsidR="00B67C69" w:rsidRPr="00034410">
        <w:t xml:space="preserve">, </w:t>
      </w:r>
      <w:r w:rsidR="00104D58" w:rsidRPr="00034410">
        <w:t>often because of differences in individual effect sizes between those reported in meta-analyses and those reproduced from the original studies</w:t>
      </w:r>
      <w:r w:rsidR="0001350A" w:rsidRPr="00034410">
        <w:t xml:space="preserve">. </w:t>
      </w:r>
      <w:r w:rsidR="00104D58" w:rsidRPr="00034410">
        <w:t xml:space="preserve">Similarly, </w:t>
      </w:r>
      <w:r w:rsidR="0001350A" w:rsidRPr="00034410">
        <w:t xml:space="preserve">Maassen et al. </w:t>
      </w:r>
      <w:r w:rsidR="0001350A" w:rsidRPr="00034410">
        <w:fldChar w:fldCharType="begin"/>
      </w:r>
      <w:r w:rsidR="007C23EB" w:rsidRPr="00034410">
        <w:instrText xml:space="preserve"> ADDIN ZOTERO_ITEM CSL_CITATION {"citationID":"4Iu1pdzi","properties":{"formattedCitation":"(2020)","plainCitation":"(2020)","noteIndex":0},"citationItems":[{"id":4654,"uris":["http://zotero.org/users/1687755/items/WUWAGAGT"],"itemData":{"id":4654,"type":"article-journal","abstract":"To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M."}],"issued":{"date-parts":[["2020",5,27]]}},"suppress-author":true}],"schema":"https://github.com/citation-style-language/schema/raw/master/csl-citation.json"} </w:instrText>
      </w:r>
      <w:r w:rsidR="0001350A" w:rsidRPr="00034410">
        <w:fldChar w:fldCharType="separate"/>
      </w:r>
      <w:r w:rsidR="0001350A" w:rsidRPr="00034410">
        <w:t>(2020)</w:t>
      </w:r>
      <w:r w:rsidR="0001350A" w:rsidRPr="00034410">
        <w:fldChar w:fldCharType="end"/>
      </w:r>
      <w:r w:rsidR="0001350A" w:rsidRPr="00034410">
        <w:t xml:space="preserve"> found that almost half of </w:t>
      </w:r>
      <w:r w:rsidR="00B67C69" w:rsidRPr="00034410">
        <w:t xml:space="preserve">the individual </w:t>
      </w:r>
      <w:r w:rsidR="0001350A" w:rsidRPr="00034410">
        <w:t xml:space="preserve">effect sizes reported in meta-analyses of psychology research could not be reproduced from the original articles. This was attributed to to a variety of issues </w:t>
      </w:r>
      <w:r w:rsidR="006379D2" w:rsidRPr="00034410">
        <w:t xml:space="preserve">including </w:t>
      </w:r>
      <w:r w:rsidR="0001350A" w:rsidRPr="00034410">
        <w:t xml:space="preserve">errors in the extraction of effect sizes from original studies, insufficient details regarding data processing and transformation of effect sizes, </w:t>
      </w:r>
      <w:r w:rsidR="006379D2" w:rsidRPr="00034410">
        <w:t xml:space="preserve">and </w:t>
      </w:r>
      <w:r w:rsidR="0001350A" w:rsidRPr="00034410">
        <w:t>insufficient details of the specific meta-analytic approach employed.</w:t>
      </w:r>
      <w:r w:rsidR="00620486" w:rsidRPr="00034410">
        <w:t xml:space="preserve"> </w:t>
      </w:r>
      <w:r w:rsidR="007A688D" w:rsidRPr="00034410">
        <w:t>Comparable errors in meta-analyses have also been reported by others</w:t>
      </w:r>
      <w:r w:rsidR="003221C9" w:rsidRPr="00034410">
        <w:t xml:space="preserve"> </w:t>
      </w:r>
      <w:r w:rsidR="003221C9" w:rsidRPr="00034410">
        <w:fldChar w:fldCharType="begin"/>
      </w:r>
      <w:r w:rsidR="003221C9" w:rsidRPr="00034410">
        <w:instrText xml:space="preserve"> ADDIN ZOTERO_ITEM CSL_CITATION {"citationID":"Y8syCoG7","properties":{"formattedCitation":"(e.g., Kadlec et al., 2023; Lakens et al., 2017)","plainCitation":"(e.g., Kadlec et al., 2023; Lakens et al., 2017)","noteIndex":0},"citationItems":[{"id":54,"uris":["http://zotero.org/users/1687755/items/WWKVT2EA"],"itemData":{"id":54,"type":"article-journal","abstract":"Meta-analysis and meta-regression are often highly cited and may influence practice. Unfortunately, statistical errors in meta-analyses are widespread and can lead to flawed conclusions. The purpose of this article was to review common statistical errors in meta-analyses and to document their frequency in highly cited meta-analyses from strength and conditioning research.","container-title":"Sports Medicine","DOI":"10.1007/s40279-022-01766-0","ISSN":"1179-2035","issue":"2","journalAbbreviation":"Sports Med","language":"en","page":"313-325","source":"Springer Link","title":"With Great Power Comes Great Responsibility: Common Errors in Meta-Analyses and Meta-Regressions in Strength &amp; Conditioning Research","title-short":"With Great Power Comes Great Responsibility","volume":"53","author":[{"family":"Kadlec","given":"Daniel"},{"family":"Sainani","given":"Kristin L."},{"family":"Nimphius","given":"Sophia"}],"issued":{"date-parts":[["2023",2,1]]}},"label":"page","prefix":"e.g., "},{"id":4644,"uris":["http://zotero.org/users/1687755/items/IBB5XYVT"],"itemData":{"id":4644,"type":"report","abstract":"Meta-analyses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M."}],"accessed":{"date-parts":[["2020",6,17]]},"issued":{"date-parts":[["2017",3,31]]}}}],"schema":"https://github.com/citation-style-language/schema/raw/master/csl-citation.json"} </w:instrText>
      </w:r>
      <w:r w:rsidR="003221C9" w:rsidRPr="00034410">
        <w:fldChar w:fldCharType="separate"/>
      </w:r>
      <w:r w:rsidR="003221C9" w:rsidRPr="00034410">
        <w:t>(e.g., Kadlec et al., 2023; Lakens et al., 2017)</w:t>
      </w:r>
      <w:r w:rsidR="003221C9" w:rsidRPr="00034410">
        <w:fldChar w:fldCharType="end"/>
      </w:r>
      <w:r w:rsidR="003221C9" w:rsidRPr="00034410">
        <w:t>.</w:t>
      </w:r>
    </w:p>
    <w:p w14:paraId="729B6BEB" w14:textId="40309231" w:rsidR="00167923" w:rsidRPr="00DD4379" w:rsidRDefault="00000000" w:rsidP="00D77465">
      <w:r w:rsidRPr="00034410">
        <w:lastRenderedPageBreak/>
        <w:t xml:space="preserve">Second, </w:t>
      </w:r>
      <w:r w:rsidR="00A22623" w:rsidRPr="00034410">
        <w:t>Vahey et al.</w:t>
      </w:r>
      <w:r w:rsidR="003F13D2" w:rsidRPr="00034410">
        <w:t>’s</w:t>
      </w:r>
      <w:r w:rsidR="00A22623" w:rsidRPr="00034410">
        <w:t xml:space="preserve"> (2015) </w:t>
      </w:r>
      <w:r w:rsidR="003F13D2" w:rsidRPr="00034410">
        <w:t xml:space="preserve">article </w:t>
      </w:r>
      <w:r w:rsidR="00A22623" w:rsidRPr="00034410">
        <w:t>has been well-cited and used to guide subsequent work</w:t>
      </w:r>
      <w:r w:rsidR="00166356" w:rsidRPr="00034410">
        <w:t>.</w:t>
      </w:r>
      <w:r w:rsidR="00A22623" w:rsidRPr="00034410">
        <w:t xml:space="preserve"> </w:t>
      </w:r>
      <w:r w:rsidR="00166356" w:rsidRPr="00034410">
        <w:t>A</w:t>
      </w:r>
      <w:r w:rsidR="00A22623" w:rsidRPr="00034410">
        <w:t>t the time of writing</w:t>
      </w:r>
      <w:r w:rsidR="00612B35" w:rsidRPr="00034410">
        <w:t xml:space="preserve"> in </w:t>
      </w:r>
      <w:r w:rsidR="00D77465">
        <w:t>August</w:t>
      </w:r>
      <w:r w:rsidR="00612B35" w:rsidRPr="00034410">
        <w:t xml:space="preserve"> 2024</w:t>
      </w:r>
      <w:r w:rsidR="000954F4" w:rsidRPr="00034410">
        <w:t>,</w:t>
      </w:r>
      <w:r w:rsidR="00A22623" w:rsidRPr="00034410">
        <w:t xml:space="preserve"> it has been cited </w:t>
      </w:r>
      <w:r w:rsidR="00D17707" w:rsidRPr="00034410">
        <w:t>1</w:t>
      </w:r>
      <w:r w:rsidR="00F57646" w:rsidRPr="00034410">
        <w:t>4</w:t>
      </w:r>
      <w:r w:rsidR="00D77465">
        <w:t>7</w:t>
      </w:r>
      <w:r w:rsidR="00A22623" w:rsidRPr="00034410">
        <w:t xml:space="preserve"> times </w:t>
      </w:r>
      <w:r w:rsidR="00F57646" w:rsidRPr="00034410">
        <w:t xml:space="preserve">on Google Scholar, </w:t>
      </w:r>
      <w:r w:rsidR="00A22623" w:rsidRPr="00034410">
        <w:t xml:space="preserve">with </w:t>
      </w:r>
      <w:r w:rsidR="00E500EE">
        <w:t xml:space="preserve">many </w:t>
      </w:r>
      <w:r w:rsidR="00A22623" w:rsidRPr="00034410">
        <w:t>articles citing it to justify sample size decisions</w:t>
      </w:r>
      <w:r w:rsidR="00AE586D" w:rsidRPr="00034410">
        <w:t xml:space="preserve"> in lieu of a power analysis</w:t>
      </w:r>
      <w:r w:rsidR="008D0E58" w:rsidRPr="00034410">
        <w:t xml:space="preserve"> for that study</w:t>
      </w:r>
      <w:r w:rsidR="00486207">
        <w:t xml:space="preserve"> </w:t>
      </w:r>
      <w:r w:rsidR="00486207">
        <w:fldChar w:fldCharType="begin"/>
      </w:r>
      <w:r w:rsidR="00486207">
        <w:instrText xml:space="preserve"> ADDIN ZOTERO_ITEM CSL_CITATION {"citationID":"mGDC8f6k","properties":{"formattedCitation":"(e.g., Bast &amp; Barnes-Holmes, 2015; Farrell &amp; McHugh, 2017; Leech et al., 2018; Maloney &amp; Barnes-Holmes, 2016; Power et al., 2017; see supplementary materials for supporting quotes from each)","plainCitation":"(e.g., Bast &amp; Barnes-Holmes, 2015; Farrell &amp; McHugh, 2017; Leech et al., 2018; Maloney &amp; Barnes-Holmes, 2016; Power et al., 2017; see supplementary materials for supporting quotes from each)","noteIndex":0},"citationItems":[{"id":1177,"uris":["http://zotero.org/users/1687755/items/RVQ722GQ"],"itemData":{"id":1177,"type":"article-journal","abstract":"This study aimed to develop the Implicit Relational Assessment Procedure (IRAP) as a measure of response biases related to emotional reactions and expected outcomes in the context of minor failings and successes in everyday life. Additionally, the research explored the extent to which such implicit reactions were related to standardized measures of psychopathology, including depression, anxiety, stress, and a scale that was based directly on the IRAP. Sixty undergraduates completed two IRAPs and the explicit measures. The pattern of biases observed across the implicit and explicit measures diverged, and the correlations between the two types of measures were either absent or relatively weak. The results suggest that implicit measures may provide an additional source of information concerning self-forgiveness beyond that provided by explicit self-report measures per se.","container-title":"The Psychological Record","DOI":"10.1007/s40732-014-0100-5","ISSN":"0033-2933, 2163-3452","issue":"1","journalAbbreviation":"Psychol Rec","language":"en","page":"189-201","source":"link-springer-com.jproxy.nuim.ie","title":"Developing the Implicit Relational Assessment Procedure (IRAP) as a Measure of Self-Forgiveness Related to Failing and Succeeding Behaviors","volume":"65","author":[{"family":"Bast","given":"Diana Ferroni"},{"family":"Barnes-Holmes","given":"Dermot"}],"issued":{"date-parts":[["2015",3,1]]}},"label":"page","prefix":"e.g., "},{"id":1194,"uris":["http://zotero.org/users/1687755/items/HSW29RXH"],"itemData":{"id":1194,"type":"article-journal","abstract":"Women remain under-represented in the fields of Science, Technology, Engineering and Maths (STEM), constituting only 28% of science researchers worldwide. Research has identified implicit gender-bias as a major barrier to women's progression in these fields. Previous research using the Implicit Association Test (IAT) suggests that individuals studying or working in STEM fields exhibit different levels of implicit male-STEM bias than those in non-STEM fields. The Implicit Relational Assessment Procedure (IRAP), a non-relative measure, was compared with the IAT which allowed us to probe this difference further among STEM and non-STEM students. The IRAP revealed a more detailed and complex picture of gender-STEM bias. All groups demonstrated a significant implicit pro-male-STEM bias. However, there was also evidence of a pro-female-STEM bias, significant only among female STEM students. A number of correlations were observed between the explicit measure and the IRAP. The presence of a pro-female-STEM bias has implications for the development of interventions. If this relational response can become more normative it may influence attitudes and behavior towards women in STEM.","container-title":"Journal of Contextual Behavioral Science","DOI":"10.1016/j.jcbs.2017.02.001","ISSN":"2212-1447","issue":"1","journalAbbreviation":"Journal of Contextual Behavioral Science","page":"80-90","source":"ScienceDirect","title":"Examining gender-STEM bias among STEM and non-STEM students using the Implicit Relational Assessment Procedure (IRAP)","volume":"6","author":[{"family":"Farrell","given":"Lynn"},{"family":"McHugh","given":"Louise"}],"issued":{"date-parts":[["2017",1,1]]}}},{"id":4856,"uris":["http://zotero.org/users/1687755/items/U6UXDJM8"],"itemData":{"id":4856,"type":"article-journal","abstract":"Experiment 1 aimed to establish 'fearful' and 'pleasant' functions for arbitrary stimuli (geometric shapes) by relating those stimuli to pictures of spiders and pets using a training version of the Implicit Relational Assessment Procedure (IRAP). The transformation of these functions for the arbitrary stimuli was assessed by exposing participants to a ‘traditional’ version of the IRAP, the Fear-IRAP employed by Leech et al. (2016, 2017). A broadly similar pattern of response biases was recorded for the Fear-IRAP as had been observed in the previously published studies. Experiment 1 thus supported the assumed but untested assumption that the relational context provided by the IRAP may both serve to establish and reveal fear-related response biases in arbitrary stimuli. A second experiment attempted to replicate the effects observed in Experiment 1 but using pictures of ‘unfamiliar’ Australian marsupials as arbitrary stimuli. The pattern of results obtained in Experiment 2 failed to replicate the pattern observed in Experiment 1, or that reported in the previously published studies by Leech et al. Overall, the findings suggest a possibly important boundary condition for the IRAP as a training and/or testing context for establishing fear-related response biases for arbitrary stimuli. (PsycINFO Database Record (c) 2019 APA, all rights reserved)","archive_location":"2018-59135-006","container-title":"Behavioural Processes","DOI":"10.1016/j.beproc.2018.08.012","ISSN":"0376-6357","journalAbbreviation":"Behavioural Processes","note":"publisher: Elsevier Science","page":"24-35","title":"Training and testing for a transformation of fear and avoidance functions using the Implicit Relational Assessment Procedure: The first study","volume":"157","author":[{"family":"Leech","given":"Aileen"},{"family":"Bouyrden","given":"Jaber"},{"family":"Bruijsten","given":"Nathalie"},{"family":"Barnes-Holmes","given":"Dermot"},{"family":"McEnteggart","given":"Ciara"}],"issued":{"date-parts":[["2018",12]]}}},{"id":1174,"uris":["http://zotero.org/users/1687755/items/7LQSWMIZ"],"itemData":{"id":1174,"type":"article-journal","abstract":"The current study examined the role of relational contextual cues (Crels) versus relational coherence indicators (RCIs) as response options in the implicit relational assessment procedure (IRAP). Fifty-two university undergraduate participants successfully completed two consecutive IRAPs. Both IRAPs were similar except for the response options employed. The Crels similar and different served as response options for one IRAP with the RCIs true and false as response options for the other. The order in which the two different IRAPs were completed was counterbalanced across participants. Although the two types of response options yielded similar effects for the participants’ first exposures to the IRAPs, differences emerged during the second exposures. In addition, one of the four trial types from the IRAP appeared to be particularly sensitive to the Crel–RCI manipulation and the order in which the two types of IRAP blocks were presented (consistent-first versus inconsistent-first with natural verbal relations). The findings highlight the complex behavioral dynamics that may be involved in IRAP performances and suggest that even seemingly trivial components of the procedure require systematic analysis.","container-title":"The Psychological Record","DOI":"10.1007/s40732-016-0180-5","ISSN":"0033-2933, 2163-3452","issue":"3","journalAbbreviation":"Psychol Rec","language":"en","page":"395-403","source":"link-springer-com.jproxy.nuim.ie","title":"Exploring the Behavioral Dynamics of the Implicit Relational Assessment Procedure: The Role of Relational Contextual Cues Versus Relational Coherence Indicators as Response Options","title-short":"Exploring the Behavioral Dynamics of the Implicit Relational Assessment Procedure","volume":"66","author":[{"family":"Maloney","given":"Emma"},{"family":"Barnes-Holmes","given":"Dermot"}],"issued":{"date-parts":[["2016",9,1]]}}},{"id":1189,"uris":["http://zotero.org/users/1687755/items/UI8JFNU4"],"itemData":{"id":1189,"type":"article-journal","abstract":"The present study examined levels of racial bias among black and white individuals residing in Ireland using the Implicit Relational Assessment Procedure (IRAP) and a range of questionnaire measures. The IRAP required participants to respond quickly and accurately on a computer-based task. On some blocks of trials participants were required to respond in a pro-white and anti-black manner, whereas on other blocks responding in the opposite direction was required (anti-white/pro-black). The difference in response latencies between these two types of trials provided an index of racial bias. Performance on the IRAP (i) revealed in-group/out-group bias for the white but not the black participants; (ii) substantively increased the predictive validity of a range of questionnaire-based measures; and (iii) provided the best prediction of racial group. The results support the utility of the IRAP as a measure of racial bias, and indicate that this bias differed between black and white Irish residents.","container-title":"The Psychological Record","DOI":"10.1007/s40732-017-0223-6","ISSN":"0033-2933, 2163-3452","issue":"3","journalAbbreviation":"Psychol Rec","language":"en","page":"365-375","source":"link-springer-com.jproxy.nuim.ie","title":"Exploring Racial Bias in a European Country with a Recent History of Immigration of Black Africans","volume":"67","author":[{"family":"Power","given":"Patricia M."},{"family":"Harte","given":"Colin"},{"family":"Barnes-Holmes","given":"Dermot"},{"family":"Barnes-Holmes","given":"Yvonne"}],"issued":{"date-parts":[["2017",9,1]]}},"label":"page","suffix":"; see supplementary materials for supporting quotes from each"}],"schema":"https://github.com/citation-style-language/schema/raw/master/csl-citation.json"} </w:instrText>
      </w:r>
      <w:r w:rsidR="00486207">
        <w:fldChar w:fldCharType="separate"/>
      </w:r>
      <w:r w:rsidR="00486207">
        <w:rPr>
          <w:noProof/>
        </w:rPr>
        <w:t>(e.g., Bast &amp; Barnes-Holmes, 2015; Farrell &amp; McHugh, 2017; Leech et al., 2018; Maloney &amp; Barnes-Holmes, 2016; Power et al., 2017; see supplementary materials for supporting quotes from each)</w:t>
      </w:r>
      <w:r w:rsidR="00486207">
        <w:fldChar w:fldCharType="end"/>
      </w:r>
      <w:r w:rsidR="00A22623" w:rsidRPr="00034410">
        <w:t>.</w:t>
      </w:r>
      <w:r w:rsidR="007453D1" w:rsidRPr="00034410">
        <w:t xml:space="preserve"> Studies employing the</w:t>
      </w:r>
      <w:r w:rsidR="00A22623" w:rsidRPr="00034410">
        <w:t xml:space="preserve"> IRAP have typically involved small sample sizes</w:t>
      </w:r>
      <w:r w:rsidR="00494EFE" w:rsidRPr="00034410">
        <w:t xml:space="preserve"> of around 40 </w:t>
      </w:r>
      <w:r w:rsidR="00A50703" w:rsidRPr="00034410">
        <w:t xml:space="preserve">participants. </w:t>
      </w:r>
      <w:r w:rsidR="0009015C" w:rsidRPr="00034410">
        <w:t>T</w:t>
      </w:r>
      <w:r w:rsidR="00A50703" w:rsidRPr="00034410">
        <w:t xml:space="preserve">his </w:t>
      </w:r>
      <w:r w:rsidR="00347726" w:rsidRPr="00034410">
        <w:t xml:space="preserve">is </w:t>
      </w:r>
      <w:r w:rsidR="0009015C" w:rsidRPr="00034410">
        <w:t xml:space="preserve">frequently argued to be </w:t>
      </w:r>
      <w:r w:rsidR="00347726" w:rsidRPr="00034410">
        <w:t xml:space="preserve">acceptable because it </w:t>
      </w:r>
      <w:r w:rsidR="004D304F" w:rsidRPr="00034410">
        <w:t xml:space="preserve">is in line with </w:t>
      </w:r>
      <w:r w:rsidR="00A22623" w:rsidRPr="00034410">
        <w:t xml:space="preserve">Vahey et al.’s </w:t>
      </w:r>
      <w:r w:rsidR="00F6212C" w:rsidRPr="00034410">
        <w:t xml:space="preserve">(2015) </w:t>
      </w:r>
      <w:r w:rsidR="00A22623" w:rsidRPr="00034410">
        <w:t>sample size recommendation</w:t>
      </w:r>
      <w:r w:rsidR="002F1558" w:rsidRPr="00034410">
        <w:t xml:space="preserve">: “a sample size of at least </w:t>
      </w:r>
      <w:r w:rsidR="002F1558" w:rsidRPr="00034410">
        <w:rPr>
          <w:i/>
          <w:iCs/>
        </w:rPr>
        <w:t>N</w:t>
      </w:r>
      <w:r w:rsidR="002F1558" w:rsidRPr="00034410">
        <w:t xml:space="preserve"> = 37 would be required in order to achieve a statistical power of .80 when testing a continuous first-order correlation between a </w:t>
      </w:r>
      <w:proofErr w:type="gramStart"/>
      <w:r w:rsidR="002F1558" w:rsidRPr="00034410">
        <w:t>clinically-focused</w:t>
      </w:r>
      <w:proofErr w:type="gramEnd"/>
      <w:r w:rsidR="002F1558" w:rsidRPr="00034410">
        <w:t xml:space="preserve"> IRAP effect and a given criterion variable” (p. 63).</w:t>
      </w:r>
      <w:r w:rsidR="00126622" w:rsidRPr="00034410">
        <w:t xml:space="preserve"> </w:t>
      </w:r>
      <w:r w:rsidR="004A475C" w:rsidRPr="00034410">
        <w:t xml:space="preserve">Kavanagh et al. </w:t>
      </w:r>
      <w:r w:rsidR="003D3B8B" w:rsidRPr="00034410">
        <w:fldChar w:fldCharType="begin"/>
      </w:r>
      <w:r w:rsidR="007C23EB" w:rsidRPr="00034410">
        <w:instrText xml:space="preserve"> ADDIN ZOTERO_ITEM CSL_CITATION {"citationID":"Q4hgQrQ2","properties":{"formattedCitation":"(2022, p. 528)","plainCitation":"(2022, p. 528)","noteIndex":0},"citationItems":[{"id":5058,"uris":["http://zotero.org/users/1687755/items/8I8Y45WZ"],"itemData":{"id":5058,"type":"article-journal","abstract":"Cognitive perspective-taking research has primarily been conducted under the rubric of theory of mind (ToM), with the core skill believed to involve the correct attribution of mental states to oneself and others as a means of explaining and predicting behavior. Relational frame theory (RFT) has provided a behavioral account of performances on true and false belief protocols by appealing to the three perspective-taking (deictic) relations. The current research sought to investigate the relative strength of cognitive perspective-taking abilities within the context of a false belief vignette and related IRAP. Experiment 1 investigated the impact of block order presentation and vignette stimuli order on IRAP performances. That is, across four conditions, rule order presentations (i.e., vignette consistent vs. vignette inconsistent) and vignette stimuli presentation were manipulated. Results indicated that vignette consistent responding was observed to varying degrees across conditions. To decrease this variability across conditions, Experiment 2 presented a vignette before each block of trials but again the IRAP showed only limited sensitivity to the vignette. The current findings and considerations for future research are discussed in terms of a recently published conceptual analysis of false belief by Kavanagh et al. (2020).","container-title":"The Psychological Record","DOI":"10.1007/s40732-021-00500-y","ISSN":"2163-3452","issue":"4","journalAbbreviation":"Psychol Rec","language":"en","page":"525-549","source":"Springer Link","title":"Attempting to Analyze Perspective-Taking with a False Belief Vignette Using the Implicit Relational Assessment Procedure","volume":"72","author":[{"family":"Kavanagh","given":"Deirdre"},{"family":"Barnes-Holmes","given":"Yvonne"},{"family":"Barnes-Holmes","given":"Dermot"}],"issued":{"date-parts":[["2022",12,1]]}},"label":"page","suppress-author":true,"suffix":", p. 528"}],"schema":"https://github.com/citation-style-language/schema/raw/master/csl-citation.json"} </w:instrText>
      </w:r>
      <w:r w:rsidR="003D3B8B" w:rsidRPr="00034410">
        <w:fldChar w:fldCharType="separate"/>
      </w:r>
      <w:r w:rsidR="003D3B8B" w:rsidRPr="00034410">
        <w:rPr>
          <w:noProof/>
        </w:rPr>
        <w:t>(2022, p. 528)</w:t>
      </w:r>
      <w:r w:rsidR="003D3B8B" w:rsidRPr="00034410">
        <w:fldChar w:fldCharType="end"/>
      </w:r>
      <w:r w:rsidR="00A22623" w:rsidRPr="00034410">
        <w:t xml:space="preserve"> provide</w:t>
      </w:r>
      <w:r w:rsidR="009B4B75">
        <w:t>d</w:t>
      </w:r>
      <w:r w:rsidR="00A22623" w:rsidRPr="00034410">
        <w:t xml:space="preserve"> a particularly clear characterization of the </w:t>
      </w:r>
      <w:r w:rsidR="00FF422B" w:rsidRPr="00034410">
        <w:t xml:space="preserve">ongoing </w:t>
      </w:r>
      <w:r w:rsidR="00A22623" w:rsidRPr="00034410">
        <w:t xml:space="preserve">importance of Vahey et al.’s </w:t>
      </w:r>
      <w:r w:rsidR="00A22623" w:rsidRPr="00034410">
        <w:fldChar w:fldCharType="begin"/>
      </w:r>
      <w:r w:rsidR="007C23EB" w:rsidRPr="00034410">
        <w:instrText xml:space="preserve"> ADDIN ZOTERO_ITEM CSL_CITATION {"citationID":"Oq85LjsQ","properties":{"formattedCitation":"(2015)","plainCitation":"(2015)","noteIndex":0},"citationItems":[{"id":1617,"uris":["http://zotero.org/users/1687755/items/4SHQ9XKM"],"itemData":{"id":1617,"type":"article-journal","abstract":"AbstractBackground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A22623" w:rsidRPr="00034410">
        <w:fldChar w:fldCharType="separate"/>
      </w:r>
      <w:r w:rsidR="00A22623" w:rsidRPr="00034410">
        <w:t>(2015)</w:t>
      </w:r>
      <w:r w:rsidR="00A22623" w:rsidRPr="00034410">
        <w:fldChar w:fldCharType="end"/>
      </w:r>
      <w:r w:rsidR="00A22623" w:rsidRPr="00034410">
        <w:t xml:space="preserve"> results for </w:t>
      </w:r>
      <w:r w:rsidR="00CA1794" w:rsidRPr="00034410">
        <w:t xml:space="preserve">practices in </w:t>
      </w:r>
      <w:r w:rsidR="00A22623" w:rsidRPr="00034410">
        <w:t xml:space="preserve">the broader IRAP literature: </w:t>
      </w:r>
      <w:r w:rsidR="009C05C1" w:rsidRPr="00034410">
        <w:t xml:space="preserve">“The general strategy for recruiting numbers of participants was guided by the results of a recent meta-analysis of IRAP effects in the clinical domain, indicating that a minimum of 29 is required to achieve a power of 0.8 for first-order correlations (Vahey et al., 2015).” </w:t>
      </w:r>
      <w:r w:rsidR="00A22623" w:rsidRPr="00034410">
        <w:t xml:space="preserve">Given that </w:t>
      </w:r>
      <w:r w:rsidR="005B1640" w:rsidRPr="00034410">
        <w:t xml:space="preserve">research </w:t>
      </w:r>
      <w:r w:rsidR="00A22623" w:rsidRPr="00034410">
        <w:t>continue</w:t>
      </w:r>
      <w:r w:rsidR="005B1640" w:rsidRPr="00034410">
        <w:t>s</w:t>
      </w:r>
      <w:r w:rsidR="00A22623" w:rsidRPr="00034410">
        <w:t xml:space="preserve"> to rely on the conclusions of Vahey et al.’s </w:t>
      </w:r>
      <w:r w:rsidR="00A22623" w:rsidRPr="00034410">
        <w:fldChar w:fldCharType="begin"/>
      </w:r>
      <w:r w:rsidR="007C23EB" w:rsidRPr="00034410">
        <w:instrText xml:space="preserve"> ADDIN ZOTERO_ITEM CSL_CITATION {"citationID":"JPEuisyd","properties":{"formattedCitation":"(2015)","plainCitation":"(2015)","noteIndex":0},"citationItems":[{"id":1617,"uris":["http://zotero.org/users/1687755/items/4SHQ9XKM"],"itemData":{"id":1617,"type":"article-journal","abstract":"AbstractBackground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A22623" w:rsidRPr="00034410">
        <w:fldChar w:fldCharType="separate"/>
      </w:r>
      <w:r w:rsidR="00A22623" w:rsidRPr="00034410">
        <w:t>(2015)</w:t>
      </w:r>
      <w:r w:rsidR="00A22623" w:rsidRPr="00034410">
        <w:fldChar w:fldCharType="end"/>
      </w:r>
      <w:r w:rsidR="00A22623" w:rsidRPr="00034410">
        <w:t xml:space="preserve"> meta-analysis, </w:t>
      </w:r>
      <w:r w:rsidR="00945F4B" w:rsidRPr="00034410">
        <w:t xml:space="preserve">and that meta-analyses in general have been shown to have poor computational </w:t>
      </w:r>
      <w:r w:rsidR="00945F4B" w:rsidRPr="00DD4379">
        <w:t xml:space="preserve">reproducibility, </w:t>
      </w:r>
      <w:r w:rsidR="00A22623" w:rsidRPr="00DD4379">
        <w:t xml:space="preserve">it is therefore </w:t>
      </w:r>
      <w:r w:rsidR="00842324" w:rsidRPr="00DD4379">
        <w:t>useful</w:t>
      </w:r>
      <w:r w:rsidR="008B007D" w:rsidRPr="00DD4379">
        <w:t xml:space="preserve"> </w:t>
      </w:r>
      <w:r w:rsidR="00842324" w:rsidRPr="00DD4379">
        <w:t xml:space="preserve">to verify </w:t>
      </w:r>
      <w:r w:rsidR="00ED5CE9" w:rsidRPr="00DD4379">
        <w:t>Vahey et al.’s (2015)</w:t>
      </w:r>
      <w:r w:rsidR="00842324" w:rsidRPr="00DD4379">
        <w:t xml:space="preserve"> results</w:t>
      </w:r>
      <w:r w:rsidR="00A22623" w:rsidRPr="00DD4379">
        <w:t xml:space="preserve">. </w:t>
      </w:r>
    </w:p>
    <w:p w14:paraId="3021EFC0" w14:textId="0C7D93F2" w:rsidR="00663892" w:rsidRPr="00DD4379" w:rsidRDefault="00663892" w:rsidP="00D77465">
      <w:r w:rsidRPr="00DD4379">
        <w:t>Third, Vahey et al. (2015) may have been modest when they reported that their results imply the IRAP compares “</w:t>
      </w:r>
      <w:proofErr w:type="spellStart"/>
      <w:r w:rsidRPr="00DD4379">
        <w:t>favorably</w:t>
      </w:r>
      <w:proofErr w:type="spellEnd"/>
      <w:r w:rsidRPr="00DD4379">
        <w:t xml:space="preserve">” with other implicit measures. In fact, Vahey et al.’s (2015) reported meta-analytic effect size of </w:t>
      </w:r>
      <m:oMath>
        <m:acc>
          <m:accPr>
            <m:chr m:val="̅"/>
            <m:ctrlPr>
              <w:rPr>
                <w:rFonts w:ascii="Cambria Math" w:hAnsi="Cambria Math"/>
                <w:i/>
              </w:rPr>
            </m:ctrlPr>
          </m:accPr>
          <m:e>
            <m:r>
              <w:rPr>
                <w:rFonts w:ascii="Cambria Math" w:hAnsi="Cambria Math"/>
              </w:rPr>
              <m:t>r</m:t>
            </m:r>
          </m:e>
        </m:acc>
      </m:oMath>
      <w:r w:rsidRPr="00DD4379">
        <w:t xml:space="preserve"> = .46 would place it in &gt;90</w:t>
      </w:r>
      <w:r w:rsidRPr="00DD4379">
        <w:rPr>
          <w:vertAlign w:val="superscript"/>
        </w:rPr>
        <w:t>th</w:t>
      </w:r>
      <w:r w:rsidRPr="00DD4379">
        <w:t xml:space="preserve"> percentile of all meta-analytic effect sizes reported in psychology (Richard et al., 2003). Given that the IRAP is a reaction-time-based measure, which and such measures are inherently prone to noise and therefore poor reliability (as I discuss in the next section), the original result implies that the </w:t>
      </w:r>
      <w:r w:rsidRPr="00DD4379">
        <w:lastRenderedPageBreak/>
        <w:t xml:space="preserve">IRAP is a truly remarkable measure to be able to correlate so highly with a range of clinical criterion measures. </w:t>
      </w:r>
      <w:proofErr w:type="gramStart"/>
      <w:r w:rsidRPr="00DD4379">
        <w:t>Or,</w:t>
      </w:r>
      <w:proofErr w:type="gramEnd"/>
      <w:r w:rsidRPr="00DD4379">
        <w:t xml:space="preserve"> something is amiss with </w:t>
      </w:r>
      <w:r w:rsidR="00F94C14">
        <w:t xml:space="preserve">the results reported in </w:t>
      </w:r>
      <w:r w:rsidRPr="00DD4379">
        <w:t>Vahey et al. (2015).</w:t>
      </w:r>
    </w:p>
    <w:p w14:paraId="20F75405" w14:textId="77777777" w:rsidR="00663892" w:rsidRPr="006E5A7A" w:rsidRDefault="00663892" w:rsidP="00D77465">
      <w:r w:rsidRPr="00DD4379">
        <w:t xml:space="preserve">Fourth, in light of estimates of the IRAP’s low reliability </w:t>
      </w:r>
      <w:r w:rsidRPr="00DD4379">
        <w:fldChar w:fldCharType="begin"/>
      </w:r>
      <w:r w:rsidRPr="00DD4379">
        <w:instrText xml:space="preserve"> ADDIN ZOTERO_ITEM CSL_CITATION {"citationID":"s2E40MRn","properties":{"formattedCitation":"(Hussey &amp; Drake, 2020)","plainCitation":"(Hussey &amp; Drake, 2020)","noteIndex":0},"citationItems":[{"id":15,"uris":["http://zotero.org/users/1687755/items/MU3ZSDRR"],"itemData":{"id":15,"type":"article-journal","abstract":"Evidence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Pr="00DD4379">
        <w:fldChar w:fldCharType="separate"/>
      </w:r>
      <w:r w:rsidRPr="00DD4379">
        <w:rPr>
          <w:noProof/>
        </w:rPr>
        <w:t>(Hussey &amp; Drake, 2020)</w:t>
      </w:r>
      <w:r w:rsidRPr="00DD4379">
        <w:fldChar w:fldCharType="end"/>
      </w:r>
      <w:r w:rsidRPr="00DD4379">
        <w:t xml:space="preserve">, there is good reason to believe that Vahey et al.’s (2015) meta-analytic estimate of </w:t>
      </w:r>
      <m:oMath>
        <m:acc>
          <m:accPr>
            <m:chr m:val="̅"/>
            <m:ctrlPr>
              <w:rPr>
                <w:rFonts w:ascii="Cambria Math" w:hAnsi="Cambria Math"/>
                <w:i/>
              </w:rPr>
            </m:ctrlPr>
          </m:accPr>
          <m:e>
            <m:r>
              <w:rPr>
                <w:rFonts w:ascii="Cambria Math" w:hAnsi="Cambria Math"/>
              </w:rPr>
              <m:t>r</m:t>
            </m:r>
          </m:e>
        </m:acc>
      </m:oMath>
      <w:r w:rsidRPr="00DD4379">
        <w:t xml:space="preserve"> = .45 is implausibly large. According to classical test theory, a measure's reliability refers to the proportion of the variance that is caused by the construct rather than noise </w:t>
      </w:r>
      <w:r w:rsidRPr="00DD4379">
        <w:fldChar w:fldCharType="begin"/>
      </w:r>
      <w:r w:rsidRPr="00DD4379">
        <w:instrText xml:space="preserve"> ADDIN ZOTERO_ITEM CSL_CITATION {"citationID":"OCVbfAsv","properties":{"formattedCitation":"(Allen &amp; Yen, 2002, p.73)","plainCitation":"(Allen &amp; Yen, 2002, p.73)","noteIndex":0},"citationItems":[{"id":5085,"uris":["http://zotero.org/users/1687755/items/WC4LA7X6"],"itemData":{"id":5085,"type":"book","publisher":"Waveland Press","title":"Introduction to measurement theory","author":[{"family":"Allen","given":"Mary J"},{"family":"Yen","given":"Wendy M"}],"issued":{"date-parts":[["2002"]]}},"label":"page","suffix":", p.73"}],"schema":"https://github.com/citation-style-language/schema/raw/master/csl-citation.json"} </w:instrText>
      </w:r>
      <w:r w:rsidRPr="00DD4379">
        <w:fldChar w:fldCharType="separate"/>
      </w:r>
      <w:r w:rsidRPr="00DD4379">
        <w:rPr>
          <w:noProof/>
        </w:rPr>
        <w:t>(Allen &amp; Yen, 2002, p.73)</w:t>
      </w:r>
      <w:r w:rsidRPr="00DD4379">
        <w:fldChar w:fldCharType="end"/>
      </w:r>
      <w:r w:rsidRPr="00DD4379">
        <w:t xml:space="preserve">. As such, reliability places a limit on the mean observable associations between scores on any two measures: the less reliably the two variables are measured, the lower the observable correlation between the two variables. The observed correlation between two measures </w:t>
      </w:r>
      <m:oMath>
        <m:r>
          <w:rPr>
            <w:rFonts w:ascii="Cambria Math" w:hAnsi="Cambria Math"/>
          </w:rPr>
          <m:t>x</m:t>
        </m:r>
      </m:oMath>
      <w:r w:rsidRPr="00DD4379">
        <w:t xml:space="preserve"> and </w:t>
      </w:r>
      <m:oMath>
        <m:r>
          <w:rPr>
            <w:rFonts w:ascii="Cambria Math" w:hAnsi="Cambria Math"/>
          </w:rPr>
          <m:t>y</m:t>
        </m:r>
      </m:oMath>
      <w:r w:rsidRPr="00DD4379">
        <w:t xml:space="preserve">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observed</m:t>
            </m:r>
          </m:sup>
        </m:sSubSup>
      </m:oMath>
      <w:r w:rsidRPr="00DD4379">
        <w:t>) is a function of the true correlation between the variables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Pr="00DD4379">
        <w:t>) and the reliability of both measures (</w:t>
      </w:r>
      <w:r w:rsidRPr="006E5A7A">
        <w:t xml:space="preserve">their self-correlation </w:t>
      </w:r>
      <m:oMath>
        <m:sSub>
          <m:sSubPr>
            <m:ctrlPr>
              <w:rPr>
                <w:rFonts w:ascii="Cambria Math" w:hAnsi="Cambria Math"/>
                <w:i/>
              </w:rPr>
            </m:ctrlPr>
          </m:sSubPr>
          <m:e>
            <m:r>
              <w:rPr>
                <w:rFonts w:ascii="Cambria Math" w:hAnsi="Cambria Math"/>
              </w:rPr>
              <m:t>r</m:t>
            </m:r>
          </m:e>
          <m:sub>
            <m:r>
              <w:rPr>
                <w:rFonts w:ascii="Cambria Math" w:hAnsi="Cambria Math"/>
              </w:rPr>
              <m:t>xx</m:t>
            </m:r>
          </m:sub>
        </m:sSub>
      </m:oMath>
      <w:r w:rsidRPr="006E5A7A">
        <w:t xml:space="preserve"> and </w:t>
      </w:r>
      <m:oMath>
        <m:sSub>
          <m:sSubPr>
            <m:ctrlPr>
              <w:rPr>
                <w:rFonts w:ascii="Cambria Math" w:hAnsi="Cambria Math"/>
                <w:i/>
              </w:rPr>
            </m:ctrlPr>
          </m:sSubPr>
          <m:e>
            <m:r>
              <w:rPr>
                <w:rFonts w:ascii="Cambria Math" w:hAnsi="Cambria Math"/>
              </w:rPr>
              <m:t>r</m:t>
            </m:r>
          </m:e>
          <m:sub>
            <m:r>
              <w:rPr>
                <w:rFonts w:ascii="Cambria Math" w:hAnsi="Cambria Math"/>
              </w:rPr>
              <m:t>yy</m:t>
            </m:r>
          </m:sub>
        </m:sSub>
      </m:oMath>
      <w:r w:rsidRPr="006E5A7A">
        <w:t xml:space="preserve">). This can be quantified via </w:t>
      </w:r>
      <w:r w:rsidRPr="006E5A7A">
        <w:rPr>
          <w:lang w:val="en-US"/>
        </w:rPr>
        <w:t xml:space="preserve">the Attenuation Formula derived from classical test theory </w:t>
      </w:r>
      <w:r w:rsidRPr="006E5A7A">
        <w:fldChar w:fldCharType="begin"/>
      </w:r>
      <w:r w:rsidRPr="006E5A7A">
        <w:instrText xml:space="preserve"> ADDIN ZOTERO_ITEM CSL_CITATION {"citationID":"TCI4P71m","properties":{"formattedCitation":"(Revelle, 2009, equation 7.3)","plainCitation":"(Revelle, 2009, equation 7.3)","noteIndex":0},"citationItems":[{"id":5064,"uris":["http://zotero.org/users/1687755/items/XQWU33J8"],"itemData":{"id":5064,"type":"book","publisher":"Springer Evanston, IL","title":"An introduction to psychometric theory with applications in R","URL":"https://www.personality-project.org/r/book/","author":[{"family":"Revelle","given":"William"}],"issued":{"date-parts":[["2009"]]}},"label":"page","suffix":", equation 7.3"}],"schema":"https://github.com/citation-style-language/schema/raw/master/csl-citation.json"} </w:instrText>
      </w:r>
      <w:r w:rsidRPr="006E5A7A">
        <w:fldChar w:fldCharType="separate"/>
      </w:r>
      <w:r w:rsidRPr="006E5A7A">
        <w:rPr>
          <w:noProof/>
        </w:rPr>
        <w:t>(Revelle, 2009, equation 7.3)</w:t>
      </w:r>
      <w:r w:rsidRPr="006E5A7A">
        <w:fldChar w:fldCharType="end"/>
      </w:r>
      <w:r w:rsidRPr="006E5A7A">
        <w:t>:</w:t>
      </w:r>
    </w:p>
    <w:p w14:paraId="4B5F114B" w14:textId="77777777" w:rsidR="00663892" w:rsidRPr="006E5A7A" w:rsidRDefault="00663892" w:rsidP="00D77465"/>
    <w:p w14:paraId="19273D0B" w14:textId="77777777" w:rsidR="00663892" w:rsidRPr="006E5A7A" w:rsidRDefault="00000000" w:rsidP="00D77465">
      <m:oMathPara>
        <m:oMath>
          <m:eqArr>
            <m:eqArrPr>
              <m:maxDist m:val="1"/>
              <m:ctrlPr>
                <w:rPr>
                  <w:rFonts w:ascii="Cambria Math" w:hAnsi="Cambria Math"/>
                </w:rPr>
              </m:ctrlPr>
            </m:eqArrPr>
            <m:e>
              <m:sSubSup>
                <m:sSubSupPr>
                  <m:ctrlPr>
                    <w:rPr>
                      <w:rFonts w:ascii="Cambria Math" w:hAnsi="Cambria Math"/>
                    </w:rPr>
                  </m:ctrlPr>
                </m:sSubSupPr>
                <m:e>
                  <m:r>
                    <w:rPr>
                      <w:rFonts w:ascii="Cambria Math" w:hAnsi="Cambria Math"/>
                    </w:rPr>
                    <m:t>r</m:t>
                  </m:r>
                </m:e>
                <m:sub>
                  <m:r>
                    <w:rPr>
                      <w:rFonts w:ascii="Cambria Math" w:hAnsi="Cambria Math"/>
                    </w:rPr>
                    <m:t>xy</m:t>
                  </m:r>
                </m:sub>
                <m:sup>
                  <m:r>
                    <w:rPr>
                      <w:rFonts w:ascii="Cambria Math" w:hAnsi="Cambria Math"/>
                    </w:rPr>
                    <m:t>true</m:t>
                  </m:r>
                </m:sup>
              </m:sSubSup>
              <m:r>
                <m:rPr>
                  <m:sty m:val="p"/>
                </m:rPr>
                <w:rPr>
                  <w:rFonts w:ascii="Cambria Math" w:hAnsi="Cambria Math"/>
                </w:rPr>
                <m:t xml:space="preserve">= </m:t>
              </m:r>
              <m:f>
                <m:fPr>
                  <m:ctrlPr>
                    <w:rPr>
                      <w:rFonts w:ascii="Cambria Math" w:hAnsi="Cambria Math"/>
                    </w:rPr>
                  </m:ctrlPr>
                </m:fPr>
                <m:num>
                  <m:sSubSup>
                    <m:sSubSupPr>
                      <m:ctrlPr>
                        <w:rPr>
                          <w:rFonts w:ascii="Cambria Math" w:hAnsi="Cambria Math"/>
                        </w:rPr>
                      </m:ctrlPr>
                    </m:sSubSupPr>
                    <m:e>
                      <m:r>
                        <w:rPr>
                          <w:rFonts w:ascii="Cambria Math" w:hAnsi="Cambria Math"/>
                        </w:rPr>
                        <m:t>r</m:t>
                      </m:r>
                    </m:e>
                    <m:sub>
                      <m:r>
                        <w:rPr>
                          <w:rFonts w:ascii="Cambria Math" w:hAnsi="Cambria Math"/>
                        </w:rPr>
                        <m:t>xy</m:t>
                      </m:r>
                    </m:sub>
                    <m:sup>
                      <m:r>
                        <w:rPr>
                          <w:rFonts w:ascii="Cambria Math" w:hAnsi="Cambria Math"/>
                        </w:rPr>
                        <m:t>observed</m:t>
                      </m:r>
                    </m:sup>
                  </m:sSubSup>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sub>
                      </m:sSub>
                      <m:sSub>
                        <m:sSubPr>
                          <m:ctrlPr>
                            <w:rPr>
                              <w:rFonts w:ascii="Cambria Math" w:hAnsi="Cambria Math"/>
                            </w:rPr>
                          </m:ctrlPr>
                        </m:sSubPr>
                        <m:e>
                          <m:r>
                            <w:rPr>
                              <w:rFonts w:ascii="Cambria Math" w:hAnsi="Cambria Math"/>
                            </w:rPr>
                            <m:t>r</m:t>
                          </m:r>
                        </m:e>
                        <m:sub>
                          <m:r>
                            <w:rPr>
                              <w:rFonts w:ascii="Cambria Math" w:hAnsi="Cambria Math"/>
                            </w:rPr>
                            <m:t>yy</m:t>
                          </m:r>
                        </m:sub>
                      </m:sSub>
                    </m:e>
                  </m:rad>
                </m:den>
              </m:f>
              <m:r>
                <m:rPr>
                  <m:sty m:val="p"/>
                </m:rPr>
                <w:rPr>
                  <w:rFonts w:ascii="Cambria Math" w:hAnsi="Cambria Math"/>
                </w:rPr>
                <m:t xml:space="preserve"> #</m:t>
              </m:r>
              <m:d>
                <m:dPr>
                  <m:ctrlPr>
                    <w:rPr>
                      <w:rFonts w:ascii="Cambria Math" w:hAnsi="Cambria Math"/>
                    </w:rPr>
                  </m:ctrlPr>
                </m:dPr>
                <m:e>
                  <m:r>
                    <m:rPr>
                      <m:sty m:val="p"/>
                    </m:rPr>
                    <w:rPr>
                      <w:rFonts w:ascii="Cambria Math" w:hAnsi="Cambria Math"/>
                    </w:rPr>
                    <m:t>1</m:t>
                  </m:r>
                </m:e>
              </m:d>
            </m:e>
          </m:eqArr>
        </m:oMath>
      </m:oMathPara>
    </w:p>
    <w:p w14:paraId="115D9DD3" w14:textId="77777777" w:rsidR="00663892" w:rsidRPr="006E5A7A" w:rsidRDefault="00663892" w:rsidP="00D77465"/>
    <w:p w14:paraId="4F7C5E6D" w14:textId="77777777" w:rsidR="00663892" w:rsidRPr="00DD4379" w:rsidRDefault="00663892" w:rsidP="00D77465">
      <w:r w:rsidRPr="006E5A7A">
        <w:t>Two of the variables in Equation 1 already have empirical estimates. First, Vahey</w:t>
      </w:r>
      <w:r w:rsidRPr="00DD4379">
        <w:t xml:space="preserve"> et al.'s (2015) estimate of the observed correlation between the IRAP and criterion variables was</w:t>
      </w:r>
      <w:r w:rsidRPr="00DD4379">
        <w:rPr>
          <w:i/>
          <w:iCs/>
        </w:rPr>
        <w:t xml:space="preserve">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Pr="00DD4379">
        <w:t xml:space="preserve"> = .45. Second, estimates of the IRAP’s reliability have been provided by a recent meta-analysis. At the trial-type level (i.e., the method of scoring IRAP as four scores that proponents of the task typically recommend), both internal consistency (</w:t>
      </w:r>
      <m:oMath>
        <m:r>
          <m:rPr>
            <m:sty m:val="p"/>
          </m:rPr>
          <w:rPr>
            <w:rFonts w:ascii="Cambria Math" w:hAnsi="Cambria Math"/>
          </w:rPr>
          <m:t>α</m:t>
        </m:r>
      </m:oMath>
      <w:r w:rsidRPr="00DD4379">
        <w:t xml:space="preserve"> = .27) and test-</w:t>
      </w:r>
      <w:r w:rsidRPr="00DD4379">
        <w:lastRenderedPageBreak/>
        <w:t>retest (ICC</w:t>
      </w:r>
      <w:r w:rsidRPr="00DD4379">
        <w:rPr>
          <w:vertAlign w:val="subscript"/>
        </w:rPr>
        <w:t>2</w:t>
      </w:r>
      <w:r w:rsidRPr="00DD4379">
        <w:t xml:space="preserve"> = .18) are extremely low </w:t>
      </w:r>
      <w:r w:rsidRPr="00DD4379">
        <w:fldChar w:fldCharType="begin"/>
      </w:r>
      <w:r w:rsidRPr="00DD4379">
        <w:instrText xml:space="preserve"> ADDIN ZOTERO_ITEM CSL_CITATION {"citationID":"19vSLMPh","properties":{"formattedCitation":"(Hussey &amp; Drake, 2020)","plainCitation":"(Hussey &amp; Drake, 2020)","noteIndex":0},"citationItems":[{"id":15,"uris":["http://zotero.org/users/1687755/items/MU3ZSDRR"],"itemData":{"id":15,"type":"article-journal","abstract":"Evidence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E."}],"accessed":{"date-parts":[["2020",6,12]]},"issued":{"date-parts":[["2020"]]}},"label":"page"}],"schema":"https://github.com/citation-style-language/schema/raw/master/csl-citation.json"} </w:instrText>
      </w:r>
      <w:r w:rsidRPr="00DD4379">
        <w:fldChar w:fldCharType="separate"/>
      </w:r>
      <w:r w:rsidRPr="00DD4379">
        <w:rPr>
          <w:noProof/>
        </w:rPr>
        <w:t>(Hussey &amp; Drake, 2020)</w:t>
      </w:r>
      <w:r w:rsidRPr="00DD4379">
        <w:fldChar w:fldCharType="end"/>
      </w:r>
      <w:r w:rsidRPr="00DD4379">
        <w:t>.</w:t>
      </w:r>
      <w:r w:rsidRPr="00D77465">
        <w:rPr>
          <w:rStyle w:val="FootnoteReference"/>
        </w:rPr>
        <w:footnoteReference w:id="1"/>
      </w:r>
      <w:r w:rsidRPr="00DD4379">
        <w:t xml:space="preserve"> This leaves two remaining variables, the IRAP’s criterion validity after adjusting for measurement error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Pr="00DD4379">
        <w:t>) and the criterion tasks’ mean reliability (</w:t>
      </w:r>
      <m:oMath>
        <m:sSub>
          <m:sSubPr>
            <m:ctrlPr>
              <w:rPr>
                <w:rFonts w:ascii="Cambria Math" w:hAnsi="Cambria Math"/>
              </w:rPr>
            </m:ctrlPr>
          </m:sSubPr>
          <m:e>
            <m:r>
              <w:rPr>
                <w:rFonts w:ascii="Cambria Math" w:hAnsi="Cambria Math"/>
              </w:rPr>
              <m:t>r</m:t>
            </m:r>
          </m:e>
          <m:sub>
            <m:r>
              <w:rPr>
                <w:rFonts w:ascii="Cambria Math" w:hAnsi="Cambria Math"/>
              </w:rPr>
              <m:t>yy</m:t>
            </m:r>
          </m:sub>
        </m:sSub>
      </m:oMath>
      <w:r w:rsidRPr="00DD4379">
        <w:t xml:space="preserve">). </w:t>
      </w:r>
      <w:proofErr w:type="gramStart"/>
      <w:r w:rsidRPr="00DD4379">
        <w:t>Both of these</w:t>
      </w:r>
      <w:proofErr w:type="gramEnd"/>
      <w:r w:rsidRPr="00DD4379">
        <w:t xml:space="preserve"> variables share the same constraint: as correlations, their value cannot be below -1 or above 1. For the moment, if we assume that the criterion tasks’ mean reliability is very good (</w:t>
      </w:r>
      <m:oMath>
        <m:sSub>
          <m:sSubPr>
            <m:ctrlPr>
              <w:rPr>
                <w:rFonts w:ascii="Cambria Math" w:hAnsi="Cambria Math"/>
              </w:rPr>
            </m:ctrlPr>
          </m:sSubPr>
          <m:e>
            <m:r>
              <w:rPr>
                <w:rFonts w:ascii="Cambria Math" w:hAnsi="Cambria Math"/>
              </w:rPr>
              <m:t>r</m:t>
            </m:r>
          </m:e>
          <m:sub>
            <m:r>
              <w:rPr>
                <w:rFonts w:ascii="Cambria Math" w:hAnsi="Cambria Math"/>
              </w:rPr>
              <m:t>yy</m:t>
            </m:r>
          </m:sub>
        </m:sSub>
      </m:oMath>
      <w:r w:rsidRPr="00DD4379">
        <w:t xml:space="preserve"> = 0.90). This would imply that the lower limit of the IRAP’s true criterion validity after adjusting for measurement error is somewhere between (a) implausibly high,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Pr="00DD4379">
        <w:t xml:space="preserve"> = .91 (when using the estimate of internal consistency), and (b) mathematically impossible,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Pr="00DD4379">
        <w:t xml:space="preserve"> = 1.12 (when using the estimate of test-retest reliability). Using lower and arguably more plausible values for the mean reliability of the criterion tasks produces even higher estimates for the true correlation, making both values impossible (i.e., when </w:t>
      </w:r>
      <m:oMath>
        <m:sSub>
          <m:sSubPr>
            <m:ctrlPr>
              <w:rPr>
                <w:rFonts w:ascii="Cambria Math" w:hAnsi="Cambria Math"/>
              </w:rPr>
            </m:ctrlPr>
          </m:sSubPr>
          <m:e>
            <m:r>
              <w:rPr>
                <w:rFonts w:ascii="Cambria Math" w:hAnsi="Cambria Math"/>
              </w:rPr>
              <m:t>r</m:t>
            </m:r>
          </m:e>
          <m:sub>
            <m:r>
              <w:rPr>
                <w:rFonts w:ascii="Cambria Math" w:hAnsi="Cambria Math"/>
              </w:rPr>
              <m:t>yy</m:t>
            </m:r>
          </m:sub>
        </m:sSub>
      </m:oMath>
      <w:r w:rsidRPr="00DD4379">
        <w:t xml:space="preserve"> = .70,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Pr="00DD4379">
        <w:t xml:space="preserve"> = 1.04 or 1.27 respectively). </w:t>
      </w:r>
    </w:p>
    <w:p w14:paraId="2AB7AB4F" w14:textId="0BEFBB89" w:rsidR="00663892" w:rsidRPr="00DD4379" w:rsidRDefault="00663892" w:rsidP="00D77465">
      <w:r w:rsidRPr="00DD4379">
        <w:t xml:space="preserve">Given that these estimates range between highly implausible and impossible, something appears to be amiss. Either Vahey et al.’ s (2015) estimate of average criterion associations is somewhere between highly implausible and mathematically impossible given the IRAP's reliability (i.e., assuming Hussey &amp; Drake 2020 are right about the IRAP’s reliability), or Hussey &amp; Drake's (2020) estimates of the IRAP's average reliability is implausibly low given the IRAP's high criterion validity (i.e., assuming Vahey et al., 2015, are right about the IRAP’s criterion validity). Ultimately it will be up to the research </w:t>
      </w:r>
      <w:r w:rsidRPr="00DD4379">
        <w:lastRenderedPageBreak/>
        <w:t xml:space="preserve">community to determine whether </w:t>
      </w:r>
      <w:r w:rsidR="00C3403D">
        <w:t>the</w:t>
      </w:r>
      <w:r w:rsidRPr="00DD4379">
        <w:t xml:space="preserve"> analyses in Hussey &amp; Drake (2020) are sound</w:t>
      </w:r>
      <w:r w:rsidR="004D761B">
        <w:t xml:space="preserve">. </w:t>
      </w:r>
      <w:r w:rsidR="004D761B" w:rsidRPr="00053DFD">
        <w:rPr>
          <w:highlight w:val="yellow"/>
        </w:rPr>
        <w:t>[BLINDED FOR PEER REVIEW]</w:t>
      </w:r>
    </w:p>
    <w:p w14:paraId="6333CFFC" w14:textId="77777777" w:rsidR="00663892" w:rsidRPr="00DD4379" w:rsidRDefault="00663892" w:rsidP="00D77465">
      <w:pPr>
        <w:pStyle w:val="Heading1"/>
      </w:pPr>
      <w:r w:rsidRPr="00DD4379">
        <w:t>Method &amp; Results</w:t>
      </w:r>
    </w:p>
    <w:p w14:paraId="1957DD92" w14:textId="4FF51426" w:rsidR="00663892" w:rsidRPr="00DD4379" w:rsidRDefault="00663892" w:rsidP="00053DFD">
      <w:r w:rsidRPr="00DD4379">
        <w:t xml:space="preserve">Vahey et al. (2015) reported the steps in their analyses in the conventional order: they identified effect sizes in the original article, applied inclusion and exclusion criteria, extracted them, converted them to Pearson’s </w:t>
      </w:r>
      <w:r w:rsidRPr="00DD4379">
        <w:rPr>
          <w:i/>
          <w:iCs/>
        </w:rPr>
        <w:t>r</w:t>
      </w:r>
      <w:r w:rsidRPr="00DD4379">
        <w:t xml:space="preserve">, averaged them when multiple effect sizes came from a given study, fit a meta-analysis model, and performed a power analysis on the meta-effect size to guide sample size determination in future studies. Attempts to verify these steps for this article were conducted and reported here in reverse order. Subsequently, I report a new meta-analysis and power analysis using the re-extracted individual effect sizes. </w:t>
      </w:r>
    </w:p>
    <w:p w14:paraId="5ADBFA83" w14:textId="77777777" w:rsidR="00663892" w:rsidRPr="00DD4379" w:rsidRDefault="00663892" w:rsidP="00E0687A">
      <w:pPr>
        <w:pStyle w:val="Heading2"/>
      </w:pPr>
      <w:r w:rsidRPr="00DD4379">
        <w:t>Transparency statement</w:t>
      </w:r>
    </w:p>
    <w:p w14:paraId="6BFE2C37" w14:textId="258C0BB4" w:rsidR="000967B0" w:rsidRDefault="00663892" w:rsidP="00E0687A">
      <w:pPr>
        <w:sectPr w:rsidR="000967B0" w:rsidSect="00D77465">
          <w:type w:val="continuous"/>
          <w:pgSz w:w="11900" w:h="16840"/>
          <w:pgMar w:top="1440" w:right="1440" w:bottom="1440" w:left="1440" w:header="709" w:footer="709" w:gutter="0"/>
          <w:cols w:space="340"/>
          <w:docGrid w:linePitch="360"/>
          <w15:footnoteColumns w:val="1"/>
        </w:sectPr>
      </w:pPr>
      <w:r w:rsidRPr="00DD4379">
        <w:t xml:space="preserve">All data, code, and formulae (e.g., to convert effect sizes) to reproduce the verification and extension analyses can be found in the supplementary materials (see </w:t>
      </w:r>
      <w:r w:rsidR="00053DFD" w:rsidRPr="00053DFD">
        <w:rPr>
          <w:highlight w:val="yellow"/>
        </w:rPr>
        <w:t>https://osf.io/jg8td/?view_only=b1ff22e706ac43188604bb5d08098925</w:t>
      </w:r>
      <w:r w:rsidRPr="00DD4379">
        <w:t>). In the process of conducting this verification attempt, I contacted the corresponding</w:t>
      </w:r>
      <w:r w:rsidRPr="00034410">
        <w:t xml:space="preserve"> </w:t>
      </w:r>
      <w:r w:rsidR="00E0687A" w:rsidRPr="00034410">
        <w:t xml:space="preserve">author of Vahey et al. (2015) and requested that they share their code or further details of their analytic approach, who declined. In July 2019, I shared a copy of an earlier version of these verification attempts with the corresponding author, including code, data, and a set of slides outlining my concerns about the credibility of their findings. </w:t>
      </w:r>
      <w:r w:rsidR="00E0687A">
        <w:t xml:space="preserve">In </w:t>
      </w:r>
      <w:proofErr w:type="gramStart"/>
      <w:r w:rsidR="00E0687A">
        <w:t>August 2024</w:t>
      </w:r>
      <w:proofErr w:type="gramEnd"/>
      <w:r w:rsidR="00E0687A">
        <w:t xml:space="preserve"> I sent them a copy of this manuscript and its materials and invited them to comment on the accuracy of the claims presented here, but they declined.</w:t>
      </w:r>
      <w:r w:rsidR="00E0687A" w:rsidRPr="00034410">
        <w:t xml:space="preserve"> No corrections of Vahey et al. (2015) have been issued at the time of writing (July 2024), and to the best of my knowledge, the authors of Vahey et al. (2015) have made no public statements about these concerns about the credibility of the</w:t>
      </w:r>
      <w:r w:rsidR="00E0687A">
        <w:t xml:space="preserve">ir article’s claims. Multiple </w:t>
      </w:r>
      <w:r w:rsidR="00E0687A" w:rsidRPr="00034410">
        <w:t xml:space="preserve">years after I initially raised these concerns, the senior author of </w:t>
      </w:r>
      <w:r w:rsidR="00E0687A" w:rsidRPr="00034410">
        <w:lastRenderedPageBreak/>
        <w:t xml:space="preserve">Vahey et al. (2015) has continued to cite the article </w:t>
      </w:r>
      <w:proofErr w:type="spellStart"/>
      <w:r w:rsidR="00E0687A" w:rsidRPr="00034410">
        <w:t>favorably</w:t>
      </w:r>
      <w:proofErr w:type="spellEnd"/>
      <w:r w:rsidR="00E0687A" w:rsidRPr="00034410">
        <w:t xml:space="preserve"> as evidence for the IRAP's validity </w:t>
      </w:r>
      <w:r w:rsidR="00E0687A" w:rsidRPr="00034410">
        <w:fldChar w:fldCharType="begin"/>
      </w:r>
      <w:r w:rsidR="00E0687A">
        <w:instrText xml:space="preserve"> ADDIN ZOTERO_ITEM CSL_CITATION {"citationID":"5YxUkmqM","properties":{"formattedCitation":"(e.g., in Barnes-Holmes &amp; Harte, 2022a, 2022b)","plainCitation":"(e.g., in Barnes-Holmes &amp; Harte, 2022a, 2022b)","noteIndex":0},"citationItems":[{"id":4707,"uris":["http://zotero.org/users/1687755/items/DJC2GMQM"],"itemData":{"id":4707,"type":"article-journal","abstract":"The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Cognition","URL":"https://doi.org/10.1007/s40614-022-00352-z","author":[{"family":"Barnes-Holmes","given":"Dermot"},{"family":"Harte","given":"Colin"}],"accessed":{"date-parts":[["2022",8,2]]},"issued":{"date-parts":[["2022",7,29]]}},"label":"page","prefix":"e.g., in"},{"id":289,"uris":["http://zotero.org/users/1687755/items/QHEXTZI9"],"itemData":{"id":289,"type":"article-journal","abstract":"The seminal text on relational frame theory (RFT) was published 20 years ago and purported to offer a single overarching behavior-analytic account of human language and cognition. In the years thereafter, an increasing number of empirical and conceptual articles, book chapters in edited volumes, and whole volumes devoted to the account emerged. In recent years, RFT has experienced a period of intense empirical and conceptual development, facilitated in part by a research grant awarded by the Flanders Science Foundation, under its Odysseus program. This research program aimed to advance and extend the RFT account beyond the rendition presented in the seminal Hayes et al. (2001) volume. The current article aims to provide an overview of this research program, the empirical work and concepts it gave rise to, and their implications for an RFT account of human symbolic language and cognition. Overall, therefore, the article provides an account of relatively recent developments in RFT that extend beyond the 2001 volume and thus will, we hope, inform future research and critiques of the theory going forward.","container-title":"Journal of the Experimental Analysis of Behavior","DOI":"10.1002/jeab.733","ISSN":"0022-5002","issue":"2","language":"English","note":"publisher-place: 111 RIVER ST, HOBOKEN 07030-5774, NJ USA\npublisher: WILEY\ntype: Article","page":"240-266","title":"Relational frame theory 20 years on: The Odysseus voyage and beyond","volume":"117","author":[{"family":"Barnes-Holmes","given":"Dermot"},{"family":"Harte","given":"Colin"}],"issued":{"date-parts":[["2022",3]]}}}],"schema":"https://github.com/citation-style-language/schema/raw/master/csl-citation.json"} </w:instrText>
      </w:r>
      <w:r w:rsidR="00E0687A" w:rsidRPr="00034410">
        <w:fldChar w:fldCharType="separate"/>
      </w:r>
      <w:r w:rsidR="00E0687A">
        <w:rPr>
          <w:noProof/>
        </w:rPr>
        <w:t>(e.g., in Barnes-Holmes &amp; Harte, 2022a, 2022b)</w:t>
      </w:r>
      <w:r w:rsidR="00E0687A" w:rsidRPr="00034410">
        <w:fldChar w:fldCharType="end"/>
      </w:r>
      <w:r w:rsidR="00E0687A" w:rsidRPr="00034410">
        <w:t>.</w:t>
      </w:r>
    </w:p>
    <w:p w14:paraId="71164B1A" w14:textId="77777777" w:rsidR="00053DFD" w:rsidRDefault="00053DFD">
      <w:pPr>
        <w:spacing w:line="240" w:lineRule="auto"/>
        <w:ind w:firstLine="0"/>
        <w:rPr>
          <w:b/>
          <w:bCs/>
        </w:rPr>
      </w:pPr>
      <w:r>
        <w:rPr>
          <w:b/>
          <w:bCs/>
        </w:rPr>
        <w:br w:type="page"/>
      </w:r>
    </w:p>
    <w:p w14:paraId="5FC7122C" w14:textId="08A9B1CA" w:rsidR="000967B0" w:rsidRPr="00E0687A" w:rsidRDefault="00000000" w:rsidP="00E0687A">
      <w:pPr>
        <w:ind w:firstLine="0"/>
        <w:rPr>
          <w:b/>
          <w:bCs/>
        </w:rPr>
      </w:pPr>
      <w:r w:rsidRPr="00EE79F9">
        <w:rPr>
          <w:b/>
          <w:bCs/>
        </w:rPr>
        <w:lastRenderedPageBreak/>
        <w:t xml:space="preserve">Table 1. </w:t>
      </w:r>
      <w:r w:rsidRPr="004C1702">
        <w:t>Verifications of power analyses for 80% power.</w:t>
      </w:r>
    </w:p>
    <w:tbl>
      <w:tblPr>
        <w:tblW w:w="8995" w:type="dxa"/>
        <w:jc w:val="center"/>
        <w:tblBorders>
          <w:top w:val="single" w:sz="4" w:space="0" w:color="auto"/>
        </w:tblBorders>
        <w:tblCellMar>
          <w:top w:w="15" w:type="dxa"/>
          <w:left w:w="15" w:type="dxa"/>
          <w:bottom w:w="15" w:type="dxa"/>
          <w:right w:w="15" w:type="dxa"/>
        </w:tblCellMar>
        <w:tblLook w:val="04A0" w:firstRow="1" w:lastRow="0" w:firstColumn="1" w:lastColumn="0" w:noHBand="0" w:noVBand="1"/>
      </w:tblPr>
      <w:tblGrid>
        <w:gridCol w:w="2577"/>
        <w:gridCol w:w="540"/>
        <w:gridCol w:w="1871"/>
        <w:gridCol w:w="627"/>
        <w:gridCol w:w="950"/>
        <w:gridCol w:w="900"/>
        <w:gridCol w:w="630"/>
        <w:gridCol w:w="900"/>
      </w:tblGrid>
      <w:tr w:rsidR="00AA6907" w14:paraId="3170701E" w14:textId="77777777" w:rsidTr="008902B8">
        <w:trPr>
          <w:tblHeader/>
          <w:jc w:val="center"/>
        </w:trPr>
        <w:tc>
          <w:tcPr>
            <w:tcW w:w="2577" w:type="dxa"/>
            <w:tcBorders>
              <w:bottom w:val="nil"/>
            </w:tcBorders>
            <w:shd w:val="clear" w:color="auto" w:fill="auto"/>
            <w:tcMar>
              <w:top w:w="0" w:type="dxa"/>
              <w:left w:w="75" w:type="dxa"/>
              <w:bottom w:w="0" w:type="dxa"/>
              <w:right w:w="75" w:type="dxa"/>
            </w:tcMar>
            <w:vAlign w:val="center"/>
          </w:tcPr>
          <w:p w14:paraId="7311039D" w14:textId="77777777" w:rsidR="00A30DBD" w:rsidRPr="001D3517" w:rsidRDefault="00A30DBD" w:rsidP="00D77465">
            <w:pPr>
              <w:pStyle w:val="table"/>
            </w:pPr>
          </w:p>
        </w:tc>
        <w:tc>
          <w:tcPr>
            <w:tcW w:w="540" w:type="dxa"/>
            <w:tcBorders>
              <w:bottom w:val="nil"/>
            </w:tcBorders>
            <w:shd w:val="clear" w:color="auto" w:fill="auto"/>
            <w:tcMar>
              <w:top w:w="0" w:type="dxa"/>
              <w:left w:w="75" w:type="dxa"/>
              <w:bottom w:w="0" w:type="dxa"/>
              <w:right w:w="75" w:type="dxa"/>
            </w:tcMar>
            <w:vAlign w:val="center"/>
          </w:tcPr>
          <w:p w14:paraId="6EC491DF" w14:textId="77777777" w:rsidR="00A30DBD" w:rsidRPr="001D3517" w:rsidRDefault="00A30DBD" w:rsidP="00D77465">
            <w:pPr>
              <w:pStyle w:val="table"/>
            </w:pPr>
          </w:p>
        </w:tc>
        <w:tc>
          <w:tcPr>
            <w:tcW w:w="1871" w:type="dxa"/>
            <w:tcBorders>
              <w:bottom w:val="nil"/>
            </w:tcBorders>
            <w:shd w:val="clear" w:color="auto" w:fill="auto"/>
            <w:tcMar>
              <w:top w:w="0" w:type="dxa"/>
              <w:left w:w="75" w:type="dxa"/>
              <w:bottom w:w="0" w:type="dxa"/>
              <w:right w:w="75" w:type="dxa"/>
            </w:tcMar>
            <w:vAlign w:val="center"/>
          </w:tcPr>
          <w:p w14:paraId="061D112D" w14:textId="77777777" w:rsidR="00A30DBD" w:rsidRPr="001D3517" w:rsidRDefault="00A30DBD" w:rsidP="00D77465">
            <w:pPr>
              <w:pStyle w:val="table"/>
            </w:pPr>
          </w:p>
        </w:tc>
        <w:tc>
          <w:tcPr>
            <w:tcW w:w="1577" w:type="dxa"/>
            <w:gridSpan w:val="2"/>
            <w:tcBorders>
              <w:bottom w:val="single" w:sz="4" w:space="0" w:color="auto"/>
            </w:tcBorders>
            <w:shd w:val="clear" w:color="auto" w:fill="auto"/>
            <w:tcMar>
              <w:top w:w="0" w:type="dxa"/>
              <w:left w:w="75" w:type="dxa"/>
              <w:bottom w:w="0" w:type="dxa"/>
              <w:right w:w="75" w:type="dxa"/>
            </w:tcMar>
            <w:vAlign w:val="center"/>
          </w:tcPr>
          <w:p w14:paraId="242893E3" w14:textId="77777777" w:rsidR="00A30DBD" w:rsidRPr="001D3517" w:rsidRDefault="00000000" w:rsidP="00D77465">
            <w:pPr>
              <w:pStyle w:val="table"/>
            </w:pPr>
            <w:r w:rsidRPr="001D3517">
              <w:t xml:space="preserve">Vahey et al. (2015) </w:t>
            </w:r>
          </w:p>
        </w:tc>
        <w:tc>
          <w:tcPr>
            <w:tcW w:w="900" w:type="dxa"/>
            <w:tcBorders>
              <w:bottom w:val="single" w:sz="4" w:space="0" w:color="auto"/>
            </w:tcBorders>
            <w:vAlign w:val="center"/>
          </w:tcPr>
          <w:p w14:paraId="43BE2935" w14:textId="77777777" w:rsidR="00A30DBD" w:rsidRPr="001D3517" w:rsidRDefault="00000000" w:rsidP="00D77465">
            <w:pPr>
              <w:pStyle w:val="table"/>
            </w:pPr>
            <w:r w:rsidRPr="001D3517">
              <w:t>Verified</w:t>
            </w:r>
          </w:p>
        </w:tc>
        <w:tc>
          <w:tcPr>
            <w:tcW w:w="1530" w:type="dxa"/>
            <w:gridSpan w:val="2"/>
            <w:tcBorders>
              <w:bottom w:val="single" w:sz="4" w:space="0" w:color="auto"/>
            </w:tcBorders>
            <w:vAlign w:val="center"/>
          </w:tcPr>
          <w:p w14:paraId="713FA381" w14:textId="77777777" w:rsidR="00A30DBD" w:rsidRPr="001D3517" w:rsidRDefault="00000000" w:rsidP="00D77465">
            <w:pPr>
              <w:pStyle w:val="table"/>
            </w:pPr>
            <w:r w:rsidRPr="001D3517">
              <w:t>New meta-analysis</w:t>
            </w:r>
          </w:p>
        </w:tc>
      </w:tr>
      <w:tr w:rsidR="00AA6907" w14:paraId="4079C385" w14:textId="77777777" w:rsidTr="008902B8">
        <w:trPr>
          <w:tblHeader/>
          <w:jc w:val="center"/>
        </w:trPr>
        <w:tc>
          <w:tcPr>
            <w:tcW w:w="2577" w:type="dxa"/>
            <w:tcBorders>
              <w:top w:val="nil"/>
              <w:bottom w:val="single" w:sz="4" w:space="0" w:color="auto"/>
            </w:tcBorders>
            <w:shd w:val="clear" w:color="auto" w:fill="auto"/>
            <w:tcMar>
              <w:top w:w="0" w:type="dxa"/>
              <w:left w:w="75" w:type="dxa"/>
              <w:bottom w:w="0" w:type="dxa"/>
              <w:right w:w="75" w:type="dxa"/>
            </w:tcMar>
            <w:vAlign w:val="center"/>
            <w:hideMark/>
          </w:tcPr>
          <w:p w14:paraId="418A0A16" w14:textId="77777777" w:rsidR="00A30DBD" w:rsidRPr="001D3517" w:rsidRDefault="00000000" w:rsidP="00D77465">
            <w:pPr>
              <w:pStyle w:val="table"/>
            </w:pPr>
            <w:r w:rsidRPr="001D3517">
              <w:t>Test</w:t>
            </w:r>
          </w:p>
        </w:tc>
        <w:tc>
          <w:tcPr>
            <w:tcW w:w="540" w:type="dxa"/>
            <w:tcBorders>
              <w:top w:val="nil"/>
              <w:bottom w:val="single" w:sz="4" w:space="0" w:color="auto"/>
            </w:tcBorders>
            <w:shd w:val="clear" w:color="auto" w:fill="auto"/>
            <w:tcMar>
              <w:top w:w="0" w:type="dxa"/>
              <w:left w:w="75" w:type="dxa"/>
              <w:bottom w:w="0" w:type="dxa"/>
              <w:right w:w="75" w:type="dxa"/>
            </w:tcMar>
            <w:vAlign w:val="center"/>
            <w:hideMark/>
          </w:tcPr>
          <w:p w14:paraId="67B1CA01" w14:textId="77777777" w:rsidR="00A30DBD" w:rsidRPr="001D3517" w:rsidRDefault="00000000" w:rsidP="00D77465">
            <w:pPr>
              <w:pStyle w:val="table"/>
            </w:pPr>
            <w:r w:rsidRPr="001D3517">
              <w:t>Tails</w:t>
            </w:r>
          </w:p>
        </w:tc>
        <w:tc>
          <w:tcPr>
            <w:tcW w:w="1871" w:type="dxa"/>
            <w:tcBorders>
              <w:top w:val="nil"/>
              <w:bottom w:val="single" w:sz="4" w:space="0" w:color="auto"/>
            </w:tcBorders>
            <w:shd w:val="clear" w:color="auto" w:fill="auto"/>
            <w:tcMar>
              <w:top w:w="0" w:type="dxa"/>
              <w:left w:w="75" w:type="dxa"/>
              <w:bottom w:w="0" w:type="dxa"/>
              <w:right w:w="75" w:type="dxa"/>
            </w:tcMar>
            <w:vAlign w:val="center"/>
            <w:hideMark/>
          </w:tcPr>
          <w:p w14:paraId="2A9F644D" w14:textId="77777777" w:rsidR="00A30DBD" w:rsidRPr="001D3517" w:rsidRDefault="00000000" w:rsidP="00D77465">
            <w:pPr>
              <w:pStyle w:val="table"/>
            </w:pPr>
            <w:r w:rsidRPr="001D3517">
              <w:t>Estimated using*</w:t>
            </w:r>
          </w:p>
        </w:tc>
        <w:tc>
          <w:tcPr>
            <w:tcW w:w="627" w:type="dxa"/>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3FD7B2F1" w14:textId="77777777" w:rsidR="00A30DBD" w:rsidRPr="001D3517" w:rsidRDefault="00000000" w:rsidP="00D77465">
            <w:pPr>
              <w:pStyle w:val="table"/>
            </w:pPr>
            <m:oMathPara>
              <m:oMath>
                <m:acc>
                  <m:accPr>
                    <m:chr m:val="̅"/>
                    <m:ctrlPr>
                      <w:rPr>
                        <w:rFonts w:ascii="Cambria Math" w:hAnsi="Cambria Math"/>
                      </w:rPr>
                    </m:ctrlPr>
                  </m:accPr>
                  <m:e>
                    <m:r>
                      <w:rPr>
                        <w:rFonts w:ascii="Cambria Math" w:hAnsi="Cambria Math"/>
                      </w:rPr>
                      <m:t>r</m:t>
                    </m:r>
                  </m:e>
                </m:acc>
              </m:oMath>
            </m:oMathPara>
          </w:p>
        </w:tc>
        <w:tc>
          <w:tcPr>
            <w:tcW w:w="950" w:type="dxa"/>
            <w:tcBorders>
              <w:top w:val="single" w:sz="4" w:space="0" w:color="auto"/>
              <w:bottom w:val="single" w:sz="4" w:space="0" w:color="auto"/>
            </w:tcBorders>
            <w:vAlign w:val="center"/>
          </w:tcPr>
          <w:p w14:paraId="50F8A0A4" w14:textId="77777777" w:rsidR="00A30DBD" w:rsidRPr="001D3517" w:rsidRDefault="00000000" w:rsidP="00D77465">
            <w:pPr>
              <w:pStyle w:val="table"/>
            </w:pPr>
            <w:r w:rsidRPr="001D3517">
              <w:t>N</w:t>
            </w:r>
          </w:p>
        </w:tc>
        <w:tc>
          <w:tcPr>
            <w:tcW w:w="900" w:type="dxa"/>
            <w:tcBorders>
              <w:top w:val="single" w:sz="4" w:space="0" w:color="auto"/>
              <w:bottom w:val="single" w:sz="4" w:space="0" w:color="auto"/>
            </w:tcBorders>
            <w:vAlign w:val="center"/>
          </w:tcPr>
          <w:p w14:paraId="6D378C4A" w14:textId="77777777" w:rsidR="00A30DBD" w:rsidRPr="001D3517" w:rsidRDefault="00000000" w:rsidP="00D77465">
            <w:pPr>
              <w:pStyle w:val="table"/>
            </w:pPr>
            <w:r w:rsidRPr="001D3517">
              <w:t>N</w:t>
            </w:r>
          </w:p>
        </w:tc>
        <w:tc>
          <w:tcPr>
            <w:tcW w:w="630" w:type="dxa"/>
            <w:tcBorders>
              <w:top w:val="single" w:sz="4" w:space="0" w:color="auto"/>
              <w:bottom w:val="single" w:sz="4" w:space="0" w:color="auto"/>
            </w:tcBorders>
            <w:vAlign w:val="center"/>
          </w:tcPr>
          <w:p w14:paraId="070DF57D" w14:textId="77777777" w:rsidR="00A30DBD" w:rsidRPr="001D3517" w:rsidRDefault="00000000" w:rsidP="00D77465">
            <w:pPr>
              <w:pStyle w:val="table"/>
            </w:pPr>
            <m:oMathPara>
              <m:oMath>
                <m:acc>
                  <m:accPr>
                    <m:chr m:val="̅"/>
                    <m:ctrlPr>
                      <w:rPr>
                        <w:rFonts w:ascii="Cambria Math" w:hAnsi="Cambria Math"/>
                      </w:rPr>
                    </m:ctrlPr>
                  </m:accPr>
                  <m:e>
                    <m:r>
                      <w:rPr>
                        <w:rFonts w:ascii="Cambria Math" w:hAnsi="Cambria Math"/>
                      </w:rPr>
                      <m:t>r</m:t>
                    </m:r>
                  </m:e>
                </m:acc>
              </m:oMath>
            </m:oMathPara>
          </w:p>
        </w:tc>
        <w:tc>
          <w:tcPr>
            <w:tcW w:w="900" w:type="dxa"/>
            <w:tcBorders>
              <w:top w:val="single" w:sz="4" w:space="0" w:color="auto"/>
              <w:bottom w:val="single" w:sz="4" w:space="0" w:color="auto"/>
            </w:tcBorders>
            <w:vAlign w:val="center"/>
          </w:tcPr>
          <w:p w14:paraId="3D8F609A" w14:textId="77777777" w:rsidR="00A30DBD" w:rsidRPr="001D3517" w:rsidRDefault="00000000" w:rsidP="00D77465">
            <w:pPr>
              <w:pStyle w:val="table"/>
            </w:pPr>
            <w:r w:rsidRPr="001D3517">
              <w:t>N</w:t>
            </w:r>
          </w:p>
        </w:tc>
      </w:tr>
      <w:tr w:rsidR="00AA6907" w14:paraId="3A89BAB1" w14:textId="77777777" w:rsidTr="008902B8">
        <w:trPr>
          <w:jc w:val="center"/>
        </w:trPr>
        <w:tc>
          <w:tcPr>
            <w:tcW w:w="2577" w:type="dxa"/>
            <w:tcBorders>
              <w:top w:val="single" w:sz="4" w:space="0" w:color="auto"/>
            </w:tcBorders>
            <w:shd w:val="clear" w:color="auto" w:fill="auto"/>
            <w:tcMar>
              <w:top w:w="0" w:type="dxa"/>
              <w:left w:w="75" w:type="dxa"/>
              <w:bottom w:w="0" w:type="dxa"/>
              <w:right w:w="75" w:type="dxa"/>
            </w:tcMar>
            <w:vAlign w:val="center"/>
            <w:hideMark/>
          </w:tcPr>
          <w:p w14:paraId="1A4E9B69" w14:textId="77777777" w:rsidR="00A30DBD" w:rsidRPr="00D85791" w:rsidRDefault="00000000" w:rsidP="00D77465">
            <w:pPr>
              <w:pStyle w:val="table"/>
            </w:pPr>
            <w:r w:rsidRPr="00D85791">
              <w:t xml:space="preserve">Pearson’s </w:t>
            </w:r>
            <w:r w:rsidRPr="00D85791">
              <w:rPr>
                <w:i/>
                <w:iCs/>
              </w:rPr>
              <w:t>r</w:t>
            </w:r>
          </w:p>
        </w:tc>
        <w:tc>
          <w:tcPr>
            <w:tcW w:w="540" w:type="dxa"/>
            <w:tcBorders>
              <w:top w:val="single" w:sz="4" w:space="0" w:color="auto"/>
            </w:tcBorders>
            <w:shd w:val="clear" w:color="auto" w:fill="auto"/>
            <w:tcMar>
              <w:top w:w="0" w:type="dxa"/>
              <w:left w:w="75" w:type="dxa"/>
              <w:bottom w:w="0" w:type="dxa"/>
              <w:right w:w="75" w:type="dxa"/>
            </w:tcMar>
            <w:vAlign w:val="center"/>
            <w:hideMark/>
          </w:tcPr>
          <w:p w14:paraId="54ACD9AB" w14:textId="77777777" w:rsidR="00A30DBD" w:rsidRPr="00D85791" w:rsidRDefault="00000000" w:rsidP="00D77465">
            <w:pPr>
              <w:pStyle w:val="table"/>
            </w:pPr>
            <w:r w:rsidRPr="00D85791">
              <w:t>One</w:t>
            </w:r>
          </w:p>
        </w:tc>
        <w:tc>
          <w:tcPr>
            <w:tcW w:w="1871" w:type="dxa"/>
            <w:tcBorders>
              <w:top w:val="single" w:sz="4" w:space="0" w:color="auto"/>
            </w:tcBorders>
            <w:shd w:val="clear" w:color="auto" w:fill="auto"/>
            <w:tcMar>
              <w:top w:w="0" w:type="dxa"/>
              <w:left w:w="75" w:type="dxa"/>
              <w:bottom w:w="0" w:type="dxa"/>
              <w:right w:w="75" w:type="dxa"/>
            </w:tcMar>
            <w:vAlign w:val="center"/>
            <w:hideMark/>
          </w:tcPr>
          <w:p w14:paraId="06275CC0" w14:textId="77777777" w:rsidR="00A30DBD" w:rsidRPr="00D85791" w:rsidRDefault="00000000" w:rsidP="00D77465">
            <w:pPr>
              <w:pStyle w:val="table"/>
            </w:pPr>
            <w:r w:rsidRPr="00D85791">
              <w:t>Point estimate</w:t>
            </w:r>
          </w:p>
        </w:tc>
        <w:tc>
          <w:tcPr>
            <w:tcW w:w="627" w:type="dxa"/>
            <w:tcBorders>
              <w:top w:val="single" w:sz="4" w:space="0" w:color="auto"/>
            </w:tcBorders>
            <w:shd w:val="clear" w:color="auto" w:fill="auto"/>
            <w:tcMar>
              <w:top w:w="0" w:type="dxa"/>
              <w:left w:w="75" w:type="dxa"/>
              <w:bottom w:w="0" w:type="dxa"/>
              <w:right w:w="75" w:type="dxa"/>
            </w:tcMar>
            <w:vAlign w:val="center"/>
            <w:hideMark/>
          </w:tcPr>
          <w:p w14:paraId="2F1DED3F" w14:textId="77777777" w:rsidR="00A30DBD" w:rsidRPr="00D85791" w:rsidRDefault="00000000" w:rsidP="00D77465">
            <w:pPr>
              <w:pStyle w:val="table"/>
            </w:pPr>
            <w:r w:rsidRPr="00D85791">
              <w:t>0.45</w:t>
            </w:r>
          </w:p>
        </w:tc>
        <w:tc>
          <w:tcPr>
            <w:tcW w:w="950" w:type="dxa"/>
            <w:tcBorders>
              <w:top w:val="single" w:sz="4" w:space="0" w:color="auto"/>
            </w:tcBorders>
            <w:vAlign w:val="center"/>
          </w:tcPr>
          <w:p w14:paraId="2A2345E8" w14:textId="77777777" w:rsidR="00A30DBD" w:rsidRPr="00D85791" w:rsidRDefault="00000000" w:rsidP="00D77465">
            <w:pPr>
              <w:pStyle w:val="table"/>
            </w:pPr>
            <w:r w:rsidRPr="00D85791">
              <w:t>29</w:t>
            </w:r>
          </w:p>
        </w:tc>
        <w:tc>
          <w:tcPr>
            <w:tcW w:w="900" w:type="dxa"/>
            <w:tcBorders>
              <w:top w:val="single" w:sz="4" w:space="0" w:color="auto"/>
            </w:tcBorders>
            <w:vAlign w:val="center"/>
          </w:tcPr>
          <w:p w14:paraId="263D9BB7" w14:textId="77777777" w:rsidR="00A30DBD" w:rsidRPr="00D85791" w:rsidRDefault="00000000" w:rsidP="00D77465">
            <w:pPr>
              <w:pStyle w:val="table"/>
            </w:pPr>
            <w:r w:rsidRPr="00D85791">
              <w:t>29</w:t>
            </w:r>
          </w:p>
        </w:tc>
        <w:tc>
          <w:tcPr>
            <w:tcW w:w="630" w:type="dxa"/>
            <w:tcBorders>
              <w:top w:val="single" w:sz="4" w:space="0" w:color="auto"/>
            </w:tcBorders>
            <w:vAlign w:val="center"/>
          </w:tcPr>
          <w:p w14:paraId="248B8B6E" w14:textId="77777777" w:rsidR="00A30DBD" w:rsidRPr="00D85791" w:rsidRDefault="00000000" w:rsidP="00D77465">
            <w:pPr>
              <w:pStyle w:val="table"/>
            </w:pPr>
            <w:r w:rsidRPr="00500B88">
              <w:t>.22</w:t>
            </w:r>
          </w:p>
        </w:tc>
        <w:tc>
          <w:tcPr>
            <w:tcW w:w="900" w:type="dxa"/>
            <w:tcBorders>
              <w:top w:val="single" w:sz="4" w:space="0" w:color="auto"/>
            </w:tcBorders>
            <w:vAlign w:val="center"/>
          </w:tcPr>
          <w:p w14:paraId="1870CD89" w14:textId="77777777" w:rsidR="00A30DBD" w:rsidRPr="00D85791" w:rsidRDefault="00000000" w:rsidP="00D77465">
            <w:pPr>
              <w:pStyle w:val="table"/>
            </w:pPr>
            <w:r w:rsidRPr="00500B88">
              <w:t>126</w:t>
            </w:r>
          </w:p>
        </w:tc>
      </w:tr>
      <w:tr w:rsidR="00AA6907" w14:paraId="072C7054" w14:textId="77777777" w:rsidTr="008902B8">
        <w:trPr>
          <w:jc w:val="center"/>
        </w:trPr>
        <w:tc>
          <w:tcPr>
            <w:tcW w:w="2577" w:type="dxa"/>
            <w:shd w:val="clear" w:color="auto" w:fill="auto"/>
            <w:tcMar>
              <w:top w:w="0" w:type="dxa"/>
              <w:left w:w="75" w:type="dxa"/>
              <w:bottom w:w="0" w:type="dxa"/>
              <w:right w:w="75" w:type="dxa"/>
            </w:tcMar>
            <w:vAlign w:val="center"/>
            <w:hideMark/>
          </w:tcPr>
          <w:p w14:paraId="50CBDB70" w14:textId="77777777" w:rsidR="00A30DBD" w:rsidRPr="00D85791" w:rsidRDefault="00000000" w:rsidP="00D77465">
            <w:pPr>
              <w:pStyle w:val="table"/>
            </w:pPr>
            <w:r w:rsidRPr="00D85791">
              <w:t xml:space="preserve">Pearson’s </w:t>
            </w:r>
            <w:r w:rsidRPr="00D85791">
              <w:rPr>
                <w:i/>
                <w:iCs/>
              </w:rPr>
              <w:t>r</w:t>
            </w:r>
          </w:p>
        </w:tc>
        <w:tc>
          <w:tcPr>
            <w:tcW w:w="540" w:type="dxa"/>
            <w:shd w:val="clear" w:color="auto" w:fill="auto"/>
            <w:tcMar>
              <w:top w:w="0" w:type="dxa"/>
              <w:left w:w="75" w:type="dxa"/>
              <w:bottom w:w="0" w:type="dxa"/>
              <w:right w:w="75" w:type="dxa"/>
            </w:tcMar>
            <w:vAlign w:val="center"/>
            <w:hideMark/>
          </w:tcPr>
          <w:p w14:paraId="37AE27F0" w14:textId="77777777" w:rsidR="00A30DBD" w:rsidRPr="00D85791" w:rsidRDefault="00000000" w:rsidP="00D77465">
            <w:pPr>
              <w:pStyle w:val="table"/>
            </w:pPr>
            <w:r w:rsidRPr="00D85791">
              <w:t>One</w:t>
            </w:r>
          </w:p>
        </w:tc>
        <w:tc>
          <w:tcPr>
            <w:tcW w:w="1871" w:type="dxa"/>
            <w:shd w:val="clear" w:color="auto" w:fill="auto"/>
            <w:tcMar>
              <w:top w:w="0" w:type="dxa"/>
              <w:left w:w="75" w:type="dxa"/>
              <w:bottom w:w="0" w:type="dxa"/>
              <w:right w:w="75" w:type="dxa"/>
            </w:tcMar>
            <w:vAlign w:val="center"/>
            <w:hideMark/>
          </w:tcPr>
          <w:p w14:paraId="2F3EEA45" w14:textId="77777777" w:rsidR="00A30DBD" w:rsidRPr="00D85791" w:rsidRDefault="00000000" w:rsidP="00D77465">
            <w:pPr>
              <w:pStyle w:val="table"/>
            </w:pPr>
            <w:r w:rsidRPr="00D85791">
              <w:t xml:space="preserve">Lower bound of 95% </w:t>
            </w:r>
            <w:r>
              <w:t>CI</w:t>
            </w:r>
          </w:p>
        </w:tc>
        <w:tc>
          <w:tcPr>
            <w:tcW w:w="627" w:type="dxa"/>
            <w:shd w:val="clear" w:color="auto" w:fill="auto"/>
            <w:tcMar>
              <w:top w:w="0" w:type="dxa"/>
              <w:left w:w="75" w:type="dxa"/>
              <w:bottom w:w="0" w:type="dxa"/>
              <w:right w:w="75" w:type="dxa"/>
            </w:tcMar>
            <w:vAlign w:val="center"/>
            <w:hideMark/>
          </w:tcPr>
          <w:p w14:paraId="1BAE28DE" w14:textId="77777777" w:rsidR="00A30DBD" w:rsidRPr="00D85791" w:rsidRDefault="00000000" w:rsidP="00D77465">
            <w:pPr>
              <w:pStyle w:val="table"/>
            </w:pPr>
            <w:r w:rsidRPr="00D85791">
              <w:t>0.40</w:t>
            </w:r>
          </w:p>
        </w:tc>
        <w:tc>
          <w:tcPr>
            <w:tcW w:w="950" w:type="dxa"/>
            <w:vAlign w:val="center"/>
          </w:tcPr>
          <w:p w14:paraId="03629149" w14:textId="77777777" w:rsidR="00A30DBD" w:rsidRPr="00D85791" w:rsidRDefault="00000000" w:rsidP="00D77465">
            <w:pPr>
              <w:pStyle w:val="table"/>
            </w:pPr>
            <w:r w:rsidRPr="00D85791">
              <w:t>37</w:t>
            </w:r>
          </w:p>
        </w:tc>
        <w:tc>
          <w:tcPr>
            <w:tcW w:w="900" w:type="dxa"/>
            <w:vAlign w:val="center"/>
          </w:tcPr>
          <w:p w14:paraId="776C5FAE" w14:textId="77777777" w:rsidR="00A30DBD" w:rsidRPr="00D85791" w:rsidRDefault="00000000" w:rsidP="00D77465">
            <w:pPr>
              <w:pStyle w:val="table"/>
            </w:pPr>
            <w:r w:rsidRPr="00D85791">
              <w:t>37</w:t>
            </w:r>
          </w:p>
        </w:tc>
        <w:tc>
          <w:tcPr>
            <w:tcW w:w="630" w:type="dxa"/>
            <w:vAlign w:val="center"/>
          </w:tcPr>
          <w:p w14:paraId="139F7EF7" w14:textId="77777777" w:rsidR="00A30DBD" w:rsidRPr="00D85791" w:rsidRDefault="00000000" w:rsidP="00D77465">
            <w:pPr>
              <w:pStyle w:val="table"/>
            </w:pPr>
            <w:r w:rsidRPr="00500B88">
              <w:t>.15</w:t>
            </w:r>
          </w:p>
        </w:tc>
        <w:tc>
          <w:tcPr>
            <w:tcW w:w="900" w:type="dxa"/>
            <w:vAlign w:val="center"/>
          </w:tcPr>
          <w:p w14:paraId="68D67AA8" w14:textId="77777777" w:rsidR="00A30DBD" w:rsidRPr="00D85791" w:rsidRDefault="00000000" w:rsidP="00D77465">
            <w:pPr>
              <w:pStyle w:val="table"/>
            </w:pPr>
            <w:r w:rsidRPr="00500B88">
              <w:t>273</w:t>
            </w:r>
          </w:p>
        </w:tc>
      </w:tr>
      <w:tr w:rsidR="00AA6907" w14:paraId="7B1C225D" w14:textId="77777777" w:rsidTr="008902B8">
        <w:trPr>
          <w:jc w:val="center"/>
        </w:trPr>
        <w:tc>
          <w:tcPr>
            <w:tcW w:w="2577" w:type="dxa"/>
            <w:shd w:val="clear" w:color="auto" w:fill="auto"/>
            <w:tcMar>
              <w:top w:w="0" w:type="dxa"/>
              <w:left w:w="75" w:type="dxa"/>
              <w:bottom w:w="0" w:type="dxa"/>
              <w:right w:w="75" w:type="dxa"/>
            </w:tcMar>
            <w:vAlign w:val="center"/>
            <w:hideMark/>
          </w:tcPr>
          <w:p w14:paraId="4EDDEC34" w14:textId="77777777" w:rsidR="00A30DBD" w:rsidRPr="00D85791" w:rsidRDefault="00000000" w:rsidP="00D77465">
            <w:pPr>
              <w:pStyle w:val="table"/>
            </w:pPr>
            <w:r w:rsidRPr="00D85791">
              <w:t xml:space="preserve">Pearson’s </w:t>
            </w:r>
            <w:r w:rsidRPr="00D85791">
              <w:rPr>
                <w:i/>
                <w:iCs/>
              </w:rPr>
              <w:t>r</w:t>
            </w:r>
          </w:p>
        </w:tc>
        <w:tc>
          <w:tcPr>
            <w:tcW w:w="540" w:type="dxa"/>
            <w:shd w:val="clear" w:color="auto" w:fill="auto"/>
            <w:tcMar>
              <w:top w:w="0" w:type="dxa"/>
              <w:left w:w="75" w:type="dxa"/>
              <w:bottom w:w="0" w:type="dxa"/>
              <w:right w:w="75" w:type="dxa"/>
            </w:tcMar>
            <w:vAlign w:val="center"/>
            <w:hideMark/>
          </w:tcPr>
          <w:p w14:paraId="32BB6EBE" w14:textId="77777777" w:rsidR="00A30DBD" w:rsidRPr="00D85791" w:rsidRDefault="00000000" w:rsidP="00D77465">
            <w:pPr>
              <w:pStyle w:val="table"/>
            </w:pPr>
            <w:r w:rsidRPr="00D85791">
              <w:t>Two</w:t>
            </w:r>
          </w:p>
        </w:tc>
        <w:tc>
          <w:tcPr>
            <w:tcW w:w="1871" w:type="dxa"/>
            <w:shd w:val="clear" w:color="auto" w:fill="auto"/>
            <w:tcMar>
              <w:top w:w="0" w:type="dxa"/>
              <w:left w:w="75" w:type="dxa"/>
              <w:bottom w:w="0" w:type="dxa"/>
              <w:right w:w="75" w:type="dxa"/>
            </w:tcMar>
            <w:vAlign w:val="center"/>
            <w:hideMark/>
          </w:tcPr>
          <w:p w14:paraId="5B943F6C" w14:textId="77777777" w:rsidR="00A30DBD" w:rsidRPr="00D85791" w:rsidRDefault="00000000" w:rsidP="00D77465">
            <w:pPr>
              <w:pStyle w:val="table"/>
            </w:pPr>
            <w:r w:rsidRPr="00D85791">
              <w:t>Point estimate</w:t>
            </w:r>
          </w:p>
        </w:tc>
        <w:tc>
          <w:tcPr>
            <w:tcW w:w="627" w:type="dxa"/>
            <w:shd w:val="clear" w:color="auto" w:fill="auto"/>
            <w:tcMar>
              <w:top w:w="0" w:type="dxa"/>
              <w:left w:w="75" w:type="dxa"/>
              <w:bottom w:w="0" w:type="dxa"/>
              <w:right w:w="75" w:type="dxa"/>
            </w:tcMar>
            <w:vAlign w:val="center"/>
            <w:hideMark/>
          </w:tcPr>
          <w:p w14:paraId="6151E840" w14:textId="77777777" w:rsidR="00A30DBD" w:rsidRPr="00D85791" w:rsidRDefault="00000000" w:rsidP="00D77465">
            <w:pPr>
              <w:pStyle w:val="table"/>
            </w:pPr>
            <w:r w:rsidRPr="00D85791">
              <w:t>0.45</w:t>
            </w:r>
          </w:p>
        </w:tc>
        <w:tc>
          <w:tcPr>
            <w:tcW w:w="950" w:type="dxa"/>
            <w:vAlign w:val="center"/>
          </w:tcPr>
          <w:p w14:paraId="1E47CD2C" w14:textId="77777777" w:rsidR="00A30DBD" w:rsidRPr="00D85791" w:rsidRDefault="00000000" w:rsidP="00D77465">
            <w:pPr>
              <w:pStyle w:val="table"/>
            </w:pPr>
            <w:r w:rsidRPr="00D85791">
              <w:t>36</w:t>
            </w:r>
          </w:p>
        </w:tc>
        <w:tc>
          <w:tcPr>
            <w:tcW w:w="900" w:type="dxa"/>
            <w:vAlign w:val="center"/>
          </w:tcPr>
          <w:p w14:paraId="4396D65E" w14:textId="77777777" w:rsidR="00A30DBD" w:rsidRPr="00D85791" w:rsidRDefault="00000000" w:rsidP="00D77465">
            <w:pPr>
              <w:pStyle w:val="table"/>
            </w:pPr>
            <w:r w:rsidRPr="00D85791">
              <w:t>36</w:t>
            </w:r>
          </w:p>
        </w:tc>
        <w:tc>
          <w:tcPr>
            <w:tcW w:w="630" w:type="dxa"/>
            <w:vAlign w:val="center"/>
          </w:tcPr>
          <w:p w14:paraId="0CAAB5A2" w14:textId="77777777" w:rsidR="00A30DBD" w:rsidRPr="00D85791" w:rsidRDefault="00000000" w:rsidP="00D77465">
            <w:pPr>
              <w:pStyle w:val="table"/>
            </w:pPr>
            <w:r w:rsidRPr="00500B88">
              <w:t>.22</w:t>
            </w:r>
          </w:p>
        </w:tc>
        <w:tc>
          <w:tcPr>
            <w:tcW w:w="900" w:type="dxa"/>
            <w:vAlign w:val="center"/>
          </w:tcPr>
          <w:p w14:paraId="0C06C765" w14:textId="77777777" w:rsidR="00A30DBD" w:rsidRPr="00D85791" w:rsidRDefault="00000000" w:rsidP="00D77465">
            <w:pPr>
              <w:pStyle w:val="table"/>
            </w:pPr>
            <w:r w:rsidRPr="00500B88">
              <w:t>160</w:t>
            </w:r>
          </w:p>
        </w:tc>
      </w:tr>
      <w:tr w:rsidR="00AA6907" w14:paraId="617FD2F6" w14:textId="77777777" w:rsidTr="008902B8">
        <w:trPr>
          <w:jc w:val="center"/>
        </w:trPr>
        <w:tc>
          <w:tcPr>
            <w:tcW w:w="2577" w:type="dxa"/>
            <w:shd w:val="clear" w:color="auto" w:fill="auto"/>
            <w:tcMar>
              <w:top w:w="0" w:type="dxa"/>
              <w:left w:w="75" w:type="dxa"/>
              <w:bottom w:w="0" w:type="dxa"/>
              <w:right w:w="75" w:type="dxa"/>
            </w:tcMar>
            <w:vAlign w:val="center"/>
            <w:hideMark/>
          </w:tcPr>
          <w:p w14:paraId="015F3E3A" w14:textId="77777777" w:rsidR="00A30DBD" w:rsidRPr="00D85791" w:rsidRDefault="00000000" w:rsidP="00D77465">
            <w:pPr>
              <w:pStyle w:val="table"/>
            </w:pPr>
            <w:r w:rsidRPr="00D85791">
              <w:t xml:space="preserve">Pearson’s </w:t>
            </w:r>
            <w:r w:rsidRPr="00956191">
              <w:rPr>
                <w:i/>
                <w:iCs/>
              </w:rPr>
              <w:t>r</w:t>
            </w:r>
          </w:p>
        </w:tc>
        <w:tc>
          <w:tcPr>
            <w:tcW w:w="540" w:type="dxa"/>
            <w:shd w:val="clear" w:color="auto" w:fill="auto"/>
            <w:tcMar>
              <w:top w:w="0" w:type="dxa"/>
              <w:left w:w="75" w:type="dxa"/>
              <w:bottom w:w="0" w:type="dxa"/>
              <w:right w:w="75" w:type="dxa"/>
            </w:tcMar>
            <w:vAlign w:val="center"/>
            <w:hideMark/>
          </w:tcPr>
          <w:p w14:paraId="3DE2F4E3" w14:textId="77777777" w:rsidR="00A30DBD" w:rsidRPr="00D85791" w:rsidRDefault="00000000" w:rsidP="00D77465">
            <w:pPr>
              <w:pStyle w:val="table"/>
            </w:pPr>
            <w:r w:rsidRPr="00D85791">
              <w:t>Two</w:t>
            </w:r>
          </w:p>
        </w:tc>
        <w:tc>
          <w:tcPr>
            <w:tcW w:w="1871" w:type="dxa"/>
            <w:shd w:val="clear" w:color="auto" w:fill="auto"/>
            <w:tcMar>
              <w:top w:w="0" w:type="dxa"/>
              <w:left w:w="75" w:type="dxa"/>
              <w:bottom w:w="0" w:type="dxa"/>
              <w:right w:w="75" w:type="dxa"/>
            </w:tcMar>
            <w:vAlign w:val="center"/>
            <w:hideMark/>
          </w:tcPr>
          <w:p w14:paraId="46D97CAF" w14:textId="77777777" w:rsidR="00A30DBD" w:rsidRPr="00D85791" w:rsidRDefault="00000000" w:rsidP="00D77465">
            <w:pPr>
              <w:pStyle w:val="table"/>
            </w:pPr>
            <w:r w:rsidRPr="00D85791">
              <w:t xml:space="preserve">Lower bound of 95% </w:t>
            </w:r>
            <w:r>
              <w:t>CI</w:t>
            </w:r>
          </w:p>
        </w:tc>
        <w:tc>
          <w:tcPr>
            <w:tcW w:w="627" w:type="dxa"/>
            <w:shd w:val="clear" w:color="auto" w:fill="auto"/>
            <w:tcMar>
              <w:top w:w="0" w:type="dxa"/>
              <w:left w:w="75" w:type="dxa"/>
              <w:bottom w:w="0" w:type="dxa"/>
              <w:right w:w="75" w:type="dxa"/>
            </w:tcMar>
            <w:vAlign w:val="center"/>
            <w:hideMark/>
          </w:tcPr>
          <w:p w14:paraId="2091312C" w14:textId="77777777" w:rsidR="00A30DBD" w:rsidRPr="00D85791" w:rsidRDefault="00000000" w:rsidP="00D77465">
            <w:pPr>
              <w:pStyle w:val="table"/>
            </w:pPr>
            <w:r w:rsidRPr="00D85791">
              <w:t>0.40</w:t>
            </w:r>
          </w:p>
        </w:tc>
        <w:tc>
          <w:tcPr>
            <w:tcW w:w="950" w:type="dxa"/>
            <w:vAlign w:val="center"/>
          </w:tcPr>
          <w:p w14:paraId="7D183887" w14:textId="77777777" w:rsidR="00A30DBD" w:rsidRDefault="00000000" w:rsidP="00D77465">
            <w:pPr>
              <w:pStyle w:val="table"/>
            </w:pPr>
            <w:r>
              <w:t>-</w:t>
            </w:r>
          </w:p>
        </w:tc>
        <w:tc>
          <w:tcPr>
            <w:tcW w:w="900" w:type="dxa"/>
            <w:vAlign w:val="center"/>
          </w:tcPr>
          <w:p w14:paraId="253D8131" w14:textId="77777777" w:rsidR="00A30DBD" w:rsidRDefault="00000000" w:rsidP="00D77465">
            <w:pPr>
              <w:pStyle w:val="table"/>
            </w:pPr>
            <w:r w:rsidRPr="00D85791">
              <w:t>46</w:t>
            </w:r>
          </w:p>
        </w:tc>
        <w:tc>
          <w:tcPr>
            <w:tcW w:w="630" w:type="dxa"/>
            <w:vAlign w:val="center"/>
          </w:tcPr>
          <w:p w14:paraId="4391E8BA" w14:textId="77777777" w:rsidR="00A30DBD" w:rsidRPr="00D85791" w:rsidRDefault="00000000" w:rsidP="00D77465">
            <w:pPr>
              <w:pStyle w:val="table"/>
            </w:pPr>
            <w:r w:rsidRPr="00500B88">
              <w:t>.15</w:t>
            </w:r>
          </w:p>
        </w:tc>
        <w:tc>
          <w:tcPr>
            <w:tcW w:w="900" w:type="dxa"/>
            <w:vAlign w:val="center"/>
          </w:tcPr>
          <w:p w14:paraId="4F99FCB0" w14:textId="77777777" w:rsidR="00A30DBD" w:rsidRPr="00D85791" w:rsidRDefault="00000000" w:rsidP="00D77465">
            <w:pPr>
              <w:pStyle w:val="table"/>
            </w:pPr>
            <w:r w:rsidRPr="00500B88">
              <w:t>346</w:t>
            </w:r>
          </w:p>
        </w:tc>
      </w:tr>
      <w:tr w:rsidR="00AA6907" w14:paraId="3554A594" w14:textId="77777777" w:rsidTr="008902B8">
        <w:trPr>
          <w:jc w:val="center"/>
        </w:trPr>
        <w:tc>
          <w:tcPr>
            <w:tcW w:w="2577" w:type="dxa"/>
            <w:shd w:val="clear" w:color="auto" w:fill="auto"/>
            <w:tcMar>
              <w:top w:w="0" w:type="dxa"/>
              <w:left w:w="75" w:type="dxa"/>
              <w:bottom w:w="0" w:type="dxa"/>
              <w:right w:w="75" w:type="dxa"/>
            </w:tcMar>
            <w:vAlign w:val="center"/>
            <w:hideMark/>
          </w:tcPr>
          <w:p w14:paraId="7FCD1E33" w14:textId="77777777" w:rsidR="00A30DBD" w:rsidRPr="00D85791" w:rsidRDefault="00000000" w:rsidP="00D77465">
            <w:pPr>
              <w:pStyle w:val="table"/>
            </w:pPr>
            <w:r w:rsidRPr="00D85791">
              <w:t xml:space="preserve">Independent </w:t>
            </w:r>
            <w:r w:rsidRPr="00D85791">
              <w:rPr>
                <w:i/>
                <w:iCs/>
              </w:rPr>
              <w:t>t</w:t>
            </w:r>
            <w:r w:rsidRPr="00D85791">
              <w:t xml:space="preserve">-test (Cohen’s </w:t>
            </w:r>
            <w:proofErr w:type="gramStart"/>
            <w:r w:rsidRPr="00D85791">
              <w:rPr>
                <w:i/>
                <w:iCs/>
              </w:rPr>
              <w:t>d</w:t>
            </w:r>
            <w:r w:rsidRPr="00D85791">
              <w:t>)</w:t>
            </w:r>
            <w:r>
              <w:t>*</w:t>
            </w:r>
            <w:proofErr w:type="gramEnd"/>
            <w:r>
              <w:t>*</w:t>
            </w:r>
          </w:p>
        </w:tc>
        <w:tc>
          <w:tcPr>
            <w:tcW w:w="540" w:type="dxa"/>
            <w:shd w:val="clear" w:color="auto" w:fill="auto"/>
            <w:tcMar>
              <w:top w:w="0" w:type="dxa"/>
              <w:left w:w="75" w:type="dxa"/>
              <w:bottom w:w="0" w:type="dxa"/>
              <w:right w:w="75" w:type="dxa"/>
            </w:tcMar>
            <w:vAlign w:val="center"/>
            <w:hideMark/>
          </w:tcPr>
          <w:p w14:paraId="7B0C8DE0" w14:textId="77777777" w:rsidR="00A30DBD" w:rsidRPr="00D85791" w:rsidRDefault="00000000" w:rsidP="00D77465">
            <w:pPr>
              <w:pStyle w:val="table"/>
            </w:pPr>
            <w:r w:rsidRPr="00D85791">
              <w:t>One</w:t>
            </w:r>
          </w:p>
        </w:tc>
        <w:tc>
          <w:tcPr>
            <w:tcW w:w="1871" w:type="dxa"/>
            <w:shd w:val="clear" w:color="auto" w:fill="auto"/>
            <w:tcMar>
              <w:top w:w="0" w:type="dxa"/>
              <w:left w:w="75" w:type="dxa"/>
              <w:bottom w:w="0" w:type="dxa"/>
              <w:right w:w="75" w:type="dxa"/>
            </w:tcMar>
            <w:vAlign w:val="center"/>
            <w:hideMark/>
          </w:tcPr>
          <w:p w14:paraId="2BABB440" w14:textId="77777777" w:rsidR="00A30DBD" w:rsidRPr="00D85791" w:rsidRDefault="00000000" w:rsidP="00D77465">
            <w:pPr>
              <w:pStyle w:val="table"/>
            </w:pPr>
            <w:r w:rsidRPr="00D85791">
              <w:t>Point estimate</w:t>
            </w:r>
          </w:p>
        </w:tc>
        <w:tc>
          <w:tcPr>
            <w:tcW w:w="627" w:type="dxa"/>
            <w:shd w:val="clear" w:color="auto" w:fill="auto"/>
            <w:tcMar>
              <w:top w:w="0" w:type="dxa"/>
              <w:left w:w="75" w:type="dxa"/>
              <w:bottom w:w="0" w:type="dxa"/>
              <w:right w:w="75" w:type="dxa"/>
            </w:tcMar>
            <w:vAlign w:val="center"/>
            <w:hideMark/>
          </w:tcPr>
          <w:p w14:paraId="752EC80C" w14:textId="77777777" w:rsidR="00A30DBD" w:rsidRPr="00D85791" w:rsidRDefault="00000000" w:rsidP="00D77465">
            <w:pPr>
              <w:pStyle w:val="table"/>
            </w:pPr>
            <w:r w:rsidRPr="00D85791">
              <w:t>1.01</w:t>
            </w:r>
          </w:p>
        </w:tc>
        <w:tc>
          <w:tcPr>
            <w:tcW w:w="950" w:type="dxa"/>
            <w:vAlign w:val="center"/>
          </w:tcPr>
          <w:p w14:paraId="1EBD7B88" w14:textId="77777777" w:rsidR="00A30DBD" w:rsidRPr="00D85791" w:rsidRDefault="00000000" w:rsidP="00D77465">
            <w:pPr>
              <w:pStyle w:val="table"/>
            </w:pPr>
            <w:r w:rsidRPr="00D85791">
              <w:t>26</w:t>
            </w:r>
          </w:p>
        </w:tc>
        <w:tc>
          <w:tcPr>
            <w:tcW w:w="900" w:type="dxa"/>
            <w:vAlign w:val="center"/>
          </w:tcPr>
          <w:p w14:paraId="6638DDF4" w14:textId="77777777" w:rsidR="00A30DBD" w:rsidRPr="00D85791" w:rsidRDefault="00000000" w:rsidP="00D77465">
            <w:pPr>
              <w:pStyle w:val="table"/>
            </w:pPr>
            <w:r w:rsidRPr="00D85791">
              <w:t>26</w:t>
            </w:r>
          </w:p>
        </w:tc>
        <w:tc>
          <w:tcPr>
            <w:tcW w:w="630" w:type="dxa"/>
            <w:vAlign w:val="center"/>
          </w:tcPr>
          <w:p w14:paraId="2EA7D9C5" w14:textId="77777777" w:rsidR="00A30DBD" w:rsidRPr="00D85791" w:rsidRDefault="00000000" w:rsidP="00D77465">
            <w:pPr>
              <w:pStyle w:val="table"/>
            </w:pPr>
            <w:r w:rsidRPr="00500B88">
              <w:t>.45</w:t>
            </w:r>
          </w:p>
        </w:tc>
        <w:tc>
          <w:tcPr>
            <w:tcW w:w="900" w:type="dxa"/>
            <w:vAlign w:val="center"/>
          </w:tcPr>
          <w:p w14:paraId="785A2544" w14:textId="77777777" w:rsidR="00A30DBD" w:rsidRPr="00D85791" w:rsidRDefault="00000000" w:rsidP="00D77465">
            <w:pPr>
              <w:pStyle w:val="table"/>
            </w:pPr>
            <w:r w:rsidRPr="00500B88">
              <w:t>124</w:t>
            </w:r>
          </w:p>
        </w:tc>
      </w:tr>
      <w:tr w:rsidR="00AA6907" w14:paraId="63E99674" w14:textId="77777777" w:rsidTr="008902B8">
        <w:trPr>
          <w:jc w:val="center"/>
        </w:trPr>
        <w:tc>
          <w:tcPr>
            <w:tcW w:w="2577" w:type="dxa"/>
            <w:shd w:val="clear" w:color="auto" w:fill="auto"/>
            <w:tcMar>
              <w:top w:w="0" w:type="dxa"/>
              <w:left w:w="75" w:type="dxa"/>
              <w:bottom w:w="0" w:type="dxa"/>
              <w:right w:w="75" w:type="dxa"/>
            </w:tcMar>
            <w:vAlign w:val="center"/>
            <w:hideMark/>
          </w:tcPr>
          <w:p w14:paraId="0B60EC9F" w14:textId="77777777" w:rsidR="00A30DBD" w:rsidRPr="00D85791" w:rsidRDefault="00000000" w:rsidP="00D77465">
            <w:pPr>
              <w:pStyle w:val="table"/>
            </w:pPr>
            <w:r w:rsidRPr="00D85791">
              <w:t xml:space="preserve">Independent </w:t>
            </w:r>
            <w:r w:rsidRPr="00D85791">
              <w:rPr>
                <w:i/>
                <w:iCs/>
              </w:rPr>
              <w:t>t</w:t>
            </w:r>
            <w:r w:rsidRPr="00D85791">
              <w:t xml:space="preserve">-test (Cohen’s </w:t>
            </w:r>
            <w:proofErr w:type="gramStart"/>
            <w:r w:rsidRPr="00D85791">
              <w:rPr>
                <w:i/>
                <w:iCs/>
              </w:rPr>
              <w:t>d</w:t>
            </w:r>
            <w:r w:rsidRPr="00D85791">
              <w:t>)</w:t>
            </w:r>
            <w:r>
              <w:t>*</w:t>
            </w:r>
            <w:proofErr w:type="gramEnd"/>
            <w:r>
              <w:t>*</w:t>
            </w:r>
          </w:p>
        </w:tc>
        <w:tc>
          <w:tcPr>
            <w:tcW w:w="540" w:type="dxa"/>
            <w:shd w:val="clear" w:color="auto" w:fill="auto"/>
            <w:tcMar>
              <w:top w:w="0" w:type="dxa"/>
              <w:left w:w="75" w:type="dxa"/>
              <w:bottom w:w="0" w:type="dxa"/>
              <w:right w:w="75" w:type="dxa"/>
            </w:tcMar>
            <w:vAlign w:val="center"/>
            <w:hideMark/>
          </w:tcPr>
          <w:p w14:paraId="206238AD" w14:textId="77777777" w:rsidR="00A30DBD" w:rsidRPr="00D85791" w:rsidRDefault="00000000" w:rsidP="00D77465">
            <w:pPr>
              <w:pStyle w:val="table"/>
            </w:pPr>
            <w:r w:rsidRPr="00D85791">
              <w:t>One</w:t>
            </w:r>
          </w:p>
        </w:tc>
        <w:tc>
          <w:tcPr>
            <w:tcW w:w="1871" w:type="dxa"/>
            <w:shd w:val="clear" w:color="auto" w:fill="auto"/>
            <w:tcMar>
              <w:top w:w="0" w:type="dxa"/>
              <w:left w:w="75" w:type="dxa"/>
              <w:bottom w:w="0" w:type="dxa"/>
              <w:right w:w="75" w:type="dxa"/>
            </w:tcMar>
            <w:vAlign w:val="center"/>
            <w:hideMark/>
          </w:tcPr>
          <w:p w14:paraId="7324FF10" w14:textId="77777777" w:rsidR="00A30DBD" w:rsidRPr="00D85791" w:rsidRDefault="00000000" w:rsidP="00D77465">
            <w:pPr>
              <w:pStyle w:val="table"/>
            </w:pPr>
            <w:r w:rsidRPr="00D85791">
              <w:t xml:space="preserve">Lower bound of 95% </w:t>
            </w:r>
            <w:r>
              <w:t>CI</w:t>
            </w:r>
          </w:p>
        </w:tc>
        <w:tc>
          <w:tcPr>
            <w:tcW w:w="627" w:type="dxa"/>
            <w:shd w:val="clear" w:color="auto" w:fill="auto"/>
            <w:tcMar>
              <w:top w:w="0" w:type="dxa"/>
              <w:left w:w="75" w:type="dxa"/>
              <w:bottom w:w="0" w:type="dxa"/>
              <w:right w:w="75" w:type="dxa"/>
            </w:tcMar>
            <w:vAlign w:val="center"/>
            <w:hideMark/>
          </w:tcPr>
          <w:p w14:paraId="6D5A0E2F" w14:textId="77777777" w:rsidR="00A30DBD" w:rsidRPr="00D85791" w:rsidRDefault="00000000" w:rsidP="00D77465">
            <w:pPr>
              <w:pStyle w:val="table"/>
            </w:pPr>
            <w:r w:rsidRPr="00D85791">
              <w:t>0.87</w:t>
            </w:r>
          </w:p>
        </w:tc>
        <w:tc>
          <w:tcPr>
            <w:tcW w:w="950" w:type="dxa"/>
            <w:vAlign w:val="center"/>
          </w:tcPr>
          <w:p w14:paraId="32DF0734" w14:textId="77777777" w:rsidR="00A30DBD" w:rsidRPr="00D85791" w:rsidRDefault="00000000" w:rsidP="00D77465">
            <w:pPr>
              <w:pStyle w:val="table"/>
            </w:pPr>
            <w:r w:rsidRPr="00D85791">
              <w:t>36</w:t>
            </w:r>
          </w:p>
        </w:tc>
        <w:tc>
          <w:tcPr>
            <w:tcW w:w="900" w:type="dxa"/>
            <w:vAlign w:val="center"/>
          </w:tcPr>
          <w:p w14:paraId="31241F8C" w14:textId="77777777" w:rsidR="00A30DBD" w:rsidRPr="00D85791" w:rsidRDefault="00000000" w:rsidP="00D77465">
            <w:pPr>
              <w:pStyle w:val="table"/>
            </w:pPr>
            <w:r w:rsidRPr="00D85791">
              <w:t>34</w:t>
            </w:r>
            <w:r>
              <w:t>***</w:t>
            </w:r>
          </w:p>
        </w:tc>
        <w:tc>
          <w:tcPr>
            <w:tcW w:w="630" w:type="dxa"/>
            <w:vAlign w:val="center"/>
          </w:tcPr>
          <w:p w14:paraId="51DB068A" w14:textId="77777777" w:rsidR="00A30DBD" w:rsidRDefault="00000000" w:rsidP="00D77465">
            <w:pPr>
              <w:pStyle w:val="table"/>
            </w:pPr>
            <w:r w:rsidRPr="00500B88">
              <w:t>.30</w:t>
            </w:r>
          </w:p>
        </w:tc>
        <w:tc>
          <w:tcPr>
            <w:tcW w:w="900" w:type="dxa"/>
            <w:vAlign w:val="center"/>
          </w:tcPr>
          <w:p w14:paraId="5A96BD50" w14:textId="77777777" w:rsidR="00A30DBD" w:rsidRPr="00D85791" w:rsidRDefault="00000000" w:rsidP="00D77465">
            <w:pPr>
              <w:pStyle w:val="table"/>
            </w:pPr>
            <w:r w:rsidRPr="00500B88">
              <w:t>270</w:t>
            </w:r>
          </w:p>
        </w:tc>
      </w:tr>
      <w:tr w:rsidR="00AA6907" w14:paraId="1FAF5B92" w14:textId="77777777" w:rsidTr="008905C7">
        <w:trPr>
          <w:trHeight w:val="47"/>
          <w:jc w:val="center"/>
        </w:trPr>
        <w:tc>
          <w:tcPr>
            <w:tcW w:w="2577" w:type="dxa"/>
            <w:tcBorders>
              <w:bottom w:val="nil"/>
            </w:tcBorders>
            <w:shd w:val="clear" w:color="auto" w:fill="auto"/>
            <w:tcMar>
              <w:top w:w="0" w:type="dxa"/>
              <w:left w:w="75" w:type="dxa"/>
              <w:bottom w:w="0" w:type="dxa"/>
              <w:right w:w="75" w:type="dxa"/>
            </w:tcMar>
            <w:vAlign w:val="center"/>
            <w:hideMark/>
          </w:tcPr>
          <w:p w14:paraId="133DCBAA" w14:textId="77777777" w:rsidR="00A30DBD" w:rsidRPr="00D85791" w:rsidRDefault="00000000" w:rsidP="00D77465">
            <w:pPr>
              <w:pStyle w:val="table"/>
            </w:pPr>
            <w:r w:rsidRPr="00D85791">
              <w:t xml:space="preserve">Dependent </w:t>
            </w:r>
            <w:r w:rsidRPr="00D85791">
              <w:rPr>
                <w:i/>
                <w:iCs/>
              </w:rPr>
              <w:t>t</w:t>
            </w:r>
            <w:r w:rsidRPr="00D85791">
              <w:t xml:space="preserve">-test (Cohen’s </w:t>
            </w:r>
            <w:r w:rsidRPr="00D85791">
              <w:rPr>
                <w:i/>
                <w:iCs/>
              </w:rPr>
              <w:t>d</w:t>
            </w:r>
            <w:r w:rsidRPr="00D85791">
              <w:t>)</w:t>
            </w:r>
            <w:r>
              <w:t xml:space="preserve"> **</w:t>
            </w:r>
          </w:p>
        </w:tc>
        <w:tc>
          <w:tcPr>
            <w:tcW w:w="540" w:type="dxa"/>
            <w:tcBorders>
              <w:bottom w:val="nil"/>
            </w:tcBorders>
            <w:shd w:val="clear" w:color="auto" w:fill="auto"/>
            <w:tcMar>
              <w:top w:w="0" w:type="dxa"/>
              <w:left w:w="75" w:type="dxa"/>
              <w:bottom w:w="0" w:type="dxa"/>
              <w:right w:w="75" w:type="dxa"/>
            </w:tcMar>
            <w:vAlign w:val="center"/>
            <w:hideMark/>
          </w:tcPr>
          <w:p w14:paraId="44BB0556" w14:textId="77777777" w:rsidR="00A30DBD" w:rsidRPr="00D85791" w:rsidRDefault="00000000" w:rsidP="00D77465">
            <w:pPr>
              <w:pStyle w:val="table"/>
            </w:pPr>
            <w:r w:rsidRPr="00D85791">
              <w:t>One</w:t>
            </w:r>
          </w:p>
        </w:tc>
        <w:tc>
          <w:tcPr>
            <w:tcW w:w="1871" w:type="dxa"/>
            <w:tcBorders>
              <w:bottom w:val="nil"/>
            </w:tcBorders>
            <w:shd w:val="clear" w:color="auto" w:fill="auto"/>
            <w:tcMar>
              <w:top w:w="0" w:type="dxa"/>
              <w:left w:w="75" w:type="dxa"/>
              <w:bottom w:w="0" w:type="dxa"/>
              <w:right w:w="75" w:type="dxa"/>
            </w:tcMar>
            <w:vAlign w:val="center"/>
            <w:hideMark/>
          </w:tcPr>
          <w:p w14:paraId="55C88025" w14:textId="77777777" w:rsidR="00A30DBD" w:rsidRPr="00D85791" w:rsidRDefault="00000000" w:rsidP="00D77465">
            <w:pPr>
              <w:pStyle w:val="table"/>
            </w:pPr>
            <w:r w:rsidRPr="00D85791">
              <w:t>Point estimate</w:t>
            </w:r>
          </w:p>
        </w:tc>
        <w:tc>
          <w:tcPr>
            <w:tcW w:w="627" w:type="dxa"/>
            <w:tcBorders>
              <w:bottom w:val="nil"/>
            </w:tcBorders>
            <w:shd w:val="clear" w:color="auto" w:fill="auto"/>
            <w:tcMar>
              <w:top w:w="0" w:type="dxa"/>
              <w:left w:w="75" w:type="dxa"/>
              <w:bottom w:w="0" w:type="dxa"/>
              <w:right w:w="75" w:type="dxa"/>
            </w:tcMar>
            <w:vAlign w:val="center"/>
            <w:hideMark/>
          </w:tcPr>
          <w:p w14:paraId="07E8E55C" w14:textId="77777777" w:rsidR="00A30DBD" w:rsidRPr="00D85791" w:rsidRDefault="00000000" w:rsidP="00D77465">
            <w:pPr>
              <w:pStyle w:val="table"/>
            </w:pPr>
            <w:r w:rsidRPr="00D85791">
              <w:t>1.01</w:t>
            </w:r>
          </w:p>
        </w:tc>
        <w:tc>
          <w:tcPr>
            <w:tcW w:w="950" w:type="dxa"/>
            <w:tcBorders>
              <w:bottom w:val="nil"/>
            </w:tcBorders>
            <w:vAlign w:val="center"/>
          </w:tcPr>
          <w:p w14:paraId="0CB3ACB4" w14:textId="77777777" w:rsidR="00A30DBD" w:rsidRPr="00D85791" w:rsidRDefault="00000000" w:rsidP="00D77465">
            <w:pPr>
              <w:pStyle w:val="table"/>
            </w:pPr>
            <w:r w:rsidRPr="00D85791">
              <w:t>8</w:t>
            </w:r>
          </w:p>
        </w:tc>
        <w:tc>
          <w:tcPr>
            <w:tcW w:w="900" w:type="dxa"/>
            <w:tcBorders>
              <w:bottom w:val="nil"/>
            </w:tcBorders>
            <w:vAlign w:val="center"/>
          </w:tcPr>
          <w:p w14:paraId="63F5244B" w14:textId="77777777" w:rsidR="00A30DBD" w:rsidRPr="00D85791" w:rsidRDefault="00000000" w:rsidP="00D77465">
            <w:pPr>
              <w:pStyle w:val="table"/>
            </w:pPr>
            <w:r w:rsidRPr="00D85791">
              <w:t>8</w:t>
            </w:r>
          </w:p>
        </w:tc>
        <w:tc>
          <w:tcPr>
            <w:tcW w:w="630" w:type="dxa"/>
            <w:tcBorders>
              <w:bottom w:val="nil"/>
            </w:tcBorders>
            <w:vAlign w:val="center"/>
          </w:tcPr>
          <w:p w14:paraId="4E7E4635" w14:textId="77777777" w:rsidR="00A30DBD" w:rsidRPr="00D85791" w:rsidRDefault="00000000" w:rsidP="00D77465">
            <w:pPr>
              <w:pStyle w:val="table"/>
            </w:pPr>
            <w:r w:rsidRPr="00500B88">
              <w:t>.45</w:t>
            </w:r>
          </w:p>
        </w:tc>
        <w:tc>
          <w:tcPr>
            <w:tcW w:w="900" w:type="dxa"/>
            <w:tcBorders>
              <w:bottom w:val="nil"/>
            </w:tcBorders>
            <w:vAlign w:val="center"/>
          </w:tcPr>
          <w:p w14:paraId="5D584DD9" w14:textId="77777777" w:rsidR="00A30DBD" w:rsidRPr="00D85791" w:rsidRDefault="00000000" w:rsidP="00D77465">
            <w:pPr>
              <w:pStyle w:val="table"/>
            </w:pPr>
            <w:r w:rsidRPr="00500B88">
              <w:t>32</w:t>
            </w:r>
          </w:p>
        </w:tc>
      </w:tr>
      <w:tr w:rsidR="00AA6907" w14:paraId="6374A3C0" w14:textId="77777777" w:rsidTr="008902B8">
        <w:trPr>
          <w:jc w:val="center"/>
        </w:trPr>
        <w:tc>
          <w:tcPr>
            <w:tcW w:w="2577" w:type="dxa"/>
            <w:tcBorders>
              <w:top w:val="nil"/>
              <w:bottom w:val="single" w:sz="4" w:space="0" w:color="auto"/>
            </w:tcBorders>
            <w:shd w:val="clear" w:color="auto" w:fill="auto"/>
            <w:tcMar>
              <w:top w:w="0" w:type="dxa"/>
              <w:left w:w="75" w:type="dxa"/>
              <w:bottom w:w="0" w:type="dxa"/>
              <w:right w:w="75" w:type="dxa"/>
            </w:tcMar>
            <w:vAlign w:val="center"/>
            <w:hideMark/>
          </w:tcPr>
          <w:p w14:paraId="2558AC6F" w14:textId="77777777" w:rsidR="00A30DBD" w:rsidRPr="00D85791" w:rsidRDefault="00000000" w:rsidP="00D77465">
            <w:pPr>
              <w:pStyle w:val="table"/>
            </w:pPr>
            <w:r w:rsidRPr="00D85791">
              <w:t xml:space="preserve">Dependent </w:t>
            </w:r>
            <w:r w:rsidRPr="00D85791">
              <w:rPr>
                <w:i/>
                <w:iCs/>
              </w:rPr>
              <w:t>t</w:t>
            </w:r>
            <w:r w:rsidRPr="00D85791">
              <w:t xml:space="preserve">-test (Cohen’s </w:t>
            </w:r>
            <w:r w:rsidRPr="00D85791">
              <w:rPr>
                <w:i/>
                <w:iCs/>
              </w:rPr>
              <w:t>d</w:t>
            </w:r>
            <w:r w:rsidRPr="00D85791">
              <w:t>)</w:t>
            </w:r>
            <w:r>
              <w:t xml:space="preserve"> **</w:t>
            </w:r>
          </w:p>
        </w:tc>
        <w:tc>
          <w:tcPr>
            <w:tcW w:w="540" w:type="dxa"/>
            <w:tcBorders>
              <w:top w:val="nil"/>
              <w:bottom w:val="single" w:sz="4" w:space="0" w:color="auto"/>
            </w:tcBorders>
            <w:shd w:val="clear" w:color="auto" w:fill="auto"/>
            <w:tcMar>
              <w:top w:w="0" w:type="dxa"/>
              <w:left w:w="75" w:type="dxa"/>
              <w:bottom w:w="0" w:type="dxa"/>
              <w:right w:w="75" w:type="dxa"/>
            </w:tcMar>
            <w:vAlign w:val="center"/>
            <w:hideMark/>
          </w:tcPr>
          <w:p w14:paraId="55DBE13C" w14:textId="77777777" w:rsidR="00A30DBD" w:rsidRPr="00D85791" w:rsidRDefault="00000000" w:rsidP="00D77465">
            <w:pPr>
              <w:pStyle w:val="table"/>
            </w:pPr>
            <w:r w:rsidRPr="00D85791">
              <w:t>One</w:t>
            </w:r>
          </w:p>
        </w:tc>
        <w:tc>
          <w:tcPr>
            <w:tcW w:w="1871" w:type="dxa"/>
            <w:tcBorders>
              <w:top w:val="nil"/>
              <w:bottom w:val="single" w:sz="4" w:space="0" w:color="auto"/>
            </w:tcBorders>
            <w:shd w:val="clear" w:color="auto" w:fill="auto"/>
            <w:tcMar>
              <w:top w:w="0" w:type="dxa"/>
              <w:left w:w="75" w:type="dxa"/>
              <w:bottom w:w="0" w:type="dxa"/>
              <w:right w:w="75" w:type="dxa"/>
            </w:tcMar>
            <w:vAlign w:val="center"/>
            <w:hideMark/>
          </w:tcPr>
          <w:p w14:paraId="6F5C9C80" w14:textId="77777777" w:rsidR="00A30DBD" w:rsidRPr="00D85791" w:rsidRDefault="00000000" w:rsidP="00D77465">
            <w:pPr>
              <w:pStyle w:val="table"/>
            </w:pPr>
            <w:r w:rsidRPr="00D85791">
              <w:t xml:space="preserve">Lower bound of 95% </w:t>
            </w:r>
            <w:r>
              <w:t>CI</w:t>
            </w:r>
          </w:p>
        </w:tc>
        <w:tc>
          <w:tcPr>
            <w:tcW w:w="627" w:type="dxa"/>
            <w:tcBorders>
              <w:top w:val="nil"/>
              <w:bottom w:val="single" w:sz="4" w:space="0" w:color="auto"/>
            </w:tcBorders>
            <w:shd w:val="clear" w:color="auto" w:fill="auto"/>
            <w:tcMar>
              <w:top w:w="0" w:type="dxa"/>
              <w:left w:w="75" w:type="dxa"/>
              <w:bottom w:w="0" w:type="dxa"/>
              <w:right w:w="75" w:type="dxa"/>
            </w:tcMar>
            <w:vAlign w:val="center"/>
            <w:hideMark/>
          </w:tcPr>
          <w:p w14:paraId="4EECD54F" w14:textId="77777777" w:rsidR="00A30DBD" w:rsidRPr="00D85791" w:rsidRDefault="00000000" w:rsidP="00D77465">
            <w:pPr>
              <w:pStyle w:val="table"/>
            </w:pPr>
            <w:r w:rsidRPr="00D85791">
              <w:t>0.87</w:t>
            </w:r>
          </w:p>
        </w:tc>
        <w:tc>
          <w:tcPr>
            <w:tcW w:w="950" w:type="dxa"/>
            <w:tcBorders>
              <w:top w:val="nil"/>
              <w:bottom w:val="single" w:sz="4" w:space="0" w:color="auto"/>
            </w:tcBorders>
            <w:vAlign w:val="center"/>
          </w:tcPr>
          <w:p w14:paraId="6EC00672" w14:textId="77777777" w:rsidR="00A30DBD" w:rsidRPr="00D85791" w:rsidRDefault="00000000" w:rsidP="00D77465">
            <w:pPr>
              <w:pStyle w:val="table"/>
            </w:pPr>
            <w:r w:rsidRPr="00D85791">
              <w:t>10</w:t>
            </w:r>
          </w:p>
        </w:tc>
        <w:tc>
          <w:tcPr>
            <w:tcW w:w="900" w:type="dxa"/>
            <w:tcBorders>
              <w:top w:val="nil"/>
              <w:bottom w:val="single" w:sz="4" w:space="0" w:color="auto"/>
            </w:tcBorders>
            <w:vAlign w:val="center"/>
          </w:tcPr>
          <w:p w14:paraId="57C43FF2" w14:textId="77777777" w:rsidR="00A30DBD" w:rsidRPr="00D85791" w:rsidRDefault="00000000" w:rsidP="00D77465">
            <w:pPr>
              <w:pStyle w:val="table"/>
            </w:pPr>
            <w:r w:rsidRPr="00D85791">
              <w:t>10</w:t>
            </w:r>
          </w:p>
        </w:tc>
        <w:tc>
          <w:tcPr>
            <w:tcW w:w="630" w:type="dxa"/>
            <w:tcBorders>
              <w:top w:val="nil"/>
              <w:bottom w:val="single" w:sz="4" w:space="0" w:color="auto"/>
            </w:tcBorders>
            <w:vAlign w:val="center"/>
          </w:tcPr>
          <w:p w14:paraId="1ED5FC69" w14:textId="77777777" w:rsidR="00A30DBD" w:rsidRPr="00D85791" w:rsidRDefault="00000000" w:rsidP="00D77465">
            <w:pPr>
              <w:pStyle w:val="table"/>
            </w:pPr>
            <w:r w:rsidRPr="00500B88">
              <w:t>.30</w:t>
            </w:r>
          </w:p>
        </w:tc>
        <w:tc>
          <w:tcPr>
            <w:tcW w:w="900" w:type="dxa"/>
            <w:tcBorders>
              <w:top w:val="nil"/>
              <w:bottom w:val="single" w:sz="4" w:space="0" w:color="auto"/>
            </w:tcBorders>
            <w:vAlign w:val="center"/>
          </w:tcPr>
          <w:p w14:paraId="1241054A" w14:textId="77777777" w:rsidR="00A30DBD" w:rsidRPr="00D85791" w:rsidRDefault="00000000" w:rsidP="00D77465">
            <w:pPr>
              <w:pStyle w:val="table"/>
            </w:pPr>
            <w:r w:rsidRPr="00500B88">
              <w:t>69</w:t>
            </w:r>
          </w:p>
        </w:tc>
      </w:tr>
      <w:tr w:rsidR="00AA6907" w14:paraId="33AC9EB3" w14:textId="77777777" w:rsidTr="008902B8">
        <w:trPr>
          <w:jc w:val="center"/>
        </w:trPr>
        <w:tc>
          <w:tcPr>
            <w:tcW w:w="8995" w:type="dxa"/>
            <w:gridSpan w:val="8"/>
            <w:tcBorders>
              <w:top w:val="single" w:sz="4" w:space="0" w:color="auto"/>
            </w:tcBorders>
            <w:shd w:val="clear" w:color="auto" w:fill="auto"/>
            <w:tcMar>
              <w:top w:w="0" w:type="dxa"/>
              <w:left w:w="75" w:type="dxa"/>
              <w:bottom w:w="0" w:type="dxa"/>
              <w:right w:w="75" w:type="dxa"/>
            </w:tcMar>
            <w:vAlign w:val="center"/>
          </w:tcPr>
          <w:p w14:paraId="0CBADB9D" w14:textId="77777777" w:rsidR="00A30DBD" w:rsidRPr="001E11B0" w:rsidRDefault="00000000" w:rsidP="00D77465">
            <w:pPr>
              <w:pStyle w:val="table"/>
            </w:pPr>
            <w:r w:rsidRPr="001E11B0">
              <w:t xml:space="preserve">Notes: </w:t>
            </w:r>
          </w:p>
          <w:p w14:paraId="7787C7DC" w14:textId="77777777" w:rsidR="00A30DBD" w:rsidRDefault="00000000" w:rsidP="00D77465">
            <w:pPr>
              <w:pStyle w:val="table"/>
            </w:pPr>
            <w:r>
              <w:t xml:space="preserve">* </w:t>
            </w:r>
            <w:r w:rsidRPr="00664B6B">
              <w:t xml:space="preserve">Researchers often use the point estimate of the meta-effect size. Perugini et al. </w:t>
            </w:r>
            <w:r>
              <w:fldChar w:fldCharType="begin"/>
            </w:r>
            <w:r>
              <w:instrText xml:space="preserve"> ADDIN ZOTERO_ITEM CSL_CITATION {"citationID":"Cce4A243","properties":{"formattedCitation":"(2014)","plainCitation":"(2014)","noteIndex":0},"citationItems":[{"id":29140,"uris":["http://zotero.org/users/1687755/items/2L8EHMKX"],"itemData":{"id":29140,"type":"article-journal","abstract":"An essential first step in planning a confirmatory or a replication study is to determine the sample size necessary to draw statistically reliable inferences using power analysis. A key problem, however, is that what is available is the sample-size estimate of the effect size, and its use can lead to severely underpowered studies when the effect size is overestimated. As a potential remedy, we introduce safeguard power analysis, which uses the uncertainty in the estimate of the effect size to achieve a better likelihood of correctly identifying the population effect size. Using a lower-bound estimate of the effect size, in turn, allows researchers to calculate a sample size for a replication study that helps protect it from being underpowered. We show that in most common instances, compared with nominal power, safeguard power is higher whereas standard power is lower. We additionally recommend the use of safeguard power analysis to evaluate the strength of the evidence provided by the original study.","container-title":"Perspectives on Psychological Science","DOI":"10.1177/1745691614528519","ISSN":"1745-6916","issue":"3","journalAbbreviation":"Perspect Psychol Sci","language":"en","note":"publisher: SAGE Publications Inc","page":"319-332","source":"SAGE Journals","title":"Safeguard Power as a Protection Against Imprecise Power Estimates","volume":"9","author":[{"family":"Perugini","given":"Marco"},{"family":"Gallucci","given":"Marcello"},{"family":"Costantini","given":"Giulio"}],"issued":{"date-parts":[["2014",5,1]]}},"label":"page","suppress-author":true}],"schema":"https://github.com/citation-style-language/schema/raw/master/csl-citation.json"} </w:instrText>
            </w:r>
            <w:r>
              <w:fldChar w:fldCharType="separate"/>
            </w:r>
            <w:r>
              <w:rPr>
                <w:noProof/>
              </w:rPr>
              <w:t>(2014)</w:t>
            </w:r>
            <w:r>
              <w:fldChar w:fldCharType="end"/>
            </w:r>
            <w:r>
              <w:t xml:space="preserve"> </w:t>
            </w:r>
            <w:r w:rsidRPr="00664B6B">
              <w:t>recommend</w:t>
            </w:r>
            <w:r>
              <w:t>ed</w:t>
            </w:r>
            <w:r w:rsidRPr="00664B6B">
              <w:t xml:space="preserve"> the lower bound of the 95% CI instead. Vahey et al. (2015) used both for power analyses</w:t>
            </w:r>
            <w:r>
              <w:t>.</w:t>
            </w:r>
          </w:p>
          <w:p w14:paraId="2F0B3B1C" w14:textId="77777777" w:rsidR="00A30DBD" w:rsidRDefault="00000000" w:rsidP="00D77465">
            <w:pPr>
              <w:pStyle w:val="table"/>
            </w:pPr>
            <w:r w:rsidRPr="00664B6B">
              <w:t>**</w:t>
            </w:r>
            <w:r>
              <w:t xml:space="preserve"> </w:t>
            </w:r>
            <w:r w:rsidRPr="00664B6B">
              <w:t xml:space="preserve">Necessary conversions from </w:t>
            </w:r>
            <w:r w:rsidRPr="004B71C5">
              <w:rPr>
                <w:i/>
                <w:iCs/>
              </w:rPr>
              <w:t>d</w:t>
            </w:r>
            <w:r w:rsidRPr="00664B6B">
              <w:t xml:space="preserve"> to </w:t>
            </w:r>
            <w:r w:rsidRPr="004B71C5">
              <w:rPr>
                <w:i/>
                <w:iCs/>
              </w:rPr>
              <w:t>r</w:t>
            </w:r>
            <w:r w:rsidRPr="00664B6B">
              <w:t xml:space="preserve"> were not reported in Vahey et al. (2015</w:t>
            </w:r>
            <w:proofErr w:type="gramStart"/>
            <w:r w:rsidRPr="00664B6B">
              <w:t>), but</w:t>
            </w:r>
            <w:proofErr w:type="gramEnd"/>
            <w:r w:rsidRPr="00664B6B">
              <w:t xml:space="preserve"> are recalculated here using the effectsize R package</w:t>
            </w:r>
            <w:r>
              <w:t>’</w:t>
            </w:r>
            <w:r w:rsidRPr="00664B6B">
              <w:t xml:space="preserve">s </w:t>
            </w:r>
            <w:r>
              <w:t>‘</w:t>
            </w:r>
            <w:r w:rsidRPr="00664B6B">
              <w:t>r_to_d</w:t>
            </w:r>
            <w:r>
              <w:t>’</w:t>
            </w:r>
            <w:r w:rsidRPr="00664B6B">
              <w:t xml:space="preserve"> function.</w:t>
            </w:r>
          </w:p>
          <w:p w14:paraId="5CE76222" w14:textId="77777777" w:rsidR="00A30DBD" w:rsidRPr="00D85791" w:rsidRDefault="00000000" w:rsidP="00D77465">
            <w:pPr>
              <w:pStyle w:val="table"/>
            </w:pPr>
            <w:r>
              <w:t>*** Discrepancy between the result reported by Vahey et al. (2015) and the recalculated result</w:t>
            </w:r>
          </w:p>
        </w:tc>
      </w:tr>
    </w:tbl>
    <w:p w14:paraId="00510589" w14:textId="77777777" w:rsidR="00664B6B" w:rsidRDefault="00664B6B" w:rsidP="00D77465"/>
    <w:p w14:paraId="3F4DF757" w14:textId="77777777" w:rsidR="000967B0" w:rsidRDefault="000967B0" w:rsidP="00D77465"/>
    <w:p w14:paraId="2D16A2A5" w14:textId="77777777" w:rsidR="000967B0" w:rsidRDefault="000967B0" w:rsidP="00D77465">
      <w:pPr>
        <w:sectPr w:rsidR="000967B0" w:rsidSect="00D77465">
          <w:type w:val="continuous"/>
          <w:pgSz w:w="11900" w:h="16840"/>
          <w:pgMar w:top="1440" w:right="1440" w:bottom="1440" w:left="1440" w:header="709" w:footer="709" w:gutter="0"/>
          <w:cols w:space="340"/>
          <w:titlePg/>
          <w:docGrid w:linePitch="360"/>
          <w15:footnoteColumns w:val="1"/>
        </w:sectPr>
      </w:pPr>
    </w:p>
    <w:p w14:paraId="0858B079" w14:textId="77777777" w:rsidR="00663892" w:rsidRPr="00034410" w:rsidRDefault="00663892" w:rsidP="00D77465">
      <w:pPr>
        <w:pStyle w:val="Heading2"/>
      </w:pPr>
      <w:r w:rsidRPr="00034410">
        <w:t>Power analyses</w:t>
      </w:r>
    </w:p>
    <w:p w14:paraId="73D7B8A2" w14:textId="77777777" w:rsidR="00167193" w:rsidRDefault="00663892" w:rsidP="00167193">
      <w:r w:rsidRPr="00034410">
        <w:t xml:space="preserve">Details of the power analyses conducted by Vahey et al. (2015) were extracted. This included the meta-effect size used (i.e., using point estimate or lower bound </w:t>
      </w:r>
      <w:r>
        <w:t>Confidence Interval</w:t>
      </w:r>
      <w:r w:rsidRPr="00034410">
        <w:t xml:space="preserve">, following </w:t>
      </w:r>
      <w:proofErr w:type="spellStart"/>
      <w:r w:rsidRPr="00034410">
        <w:t>Perugini</w:t>
      </w:r>
      <w:proofErr w:type="spellEnd"/>
      <w:r w:rsidRPr="00034410">
        <w:t xml:space="preserve"> et al.’s recommendation, as adopted in Vahey et al. 2015), test (Pearson’s </w:t>
      </w:r>
      <w:r w:rsidRPr="001B27B2">
        <w:rPr>
          <w:i/>
          <w:iCs/>
        </w:rPr>
        <w:t>r</w:t>
      </w:r>
      <w:r w:rsidRPr="00034410">
        <w:t xml:space="preserve"> correlation, independent </w:t>
      </w:r>
      <w:r w:rsidRPr="001B27B2">
        <w:rPr>
          <w:i/>
          <w:iCs/>
        </w:rPr>
        <w:t>t</w:t>
      </w:r>
      <w:r w:rsidRPr="00034410">
        <w:t xml:space="preserve">-test, dependent </w:t>
      </w:r>
      <w:r w:rsidRPr="001B27B2">
        <w:rPr>
          <w:i/>
          <w:iCs/>
        </w:rPr>
        <w:t>t</w:t>
      </w:r>
      <w:r w:rsidRPr="00034410">
        <w:t xml:space="preserve">-test), the direction of hypothesis (one-sided vs. two-sided), and the recommended sample size (i.e., the result of the test). Verification tests were </w:t>
      </w:r>
      <w:r w:rsidRPr="00B6073F">
        <w:t xml:space="preserve">performed using the </w:t>
      </w:r>
      <w:proofErr w:type="spellStart"/>
      <w:r w:rsidRPr="00B6073F">
        <w:t>pwr</w:t>
      </w:r>
      <w:proofErr w:type="spellEnd"/>
      <w:r w:rsidRPr="00B6073F">
        <w:t xml:space="preserve"> R library </w:t>
      </w:r>
      <w:r w:rsidRPr="00B6073F">
        <w:fldChar w:fldCharType="begin"/>
      </w:r>
      <w:r w:rsidRPr="00B6073F">
        <w:instrText xml:space="preserve"> ADDIN ZOTERO_ITEM CSL_CITATION {"citationID":"BYUIVsog","properties":{"formattedCitation":"(Champely, 2016)","plainCitation":"(Champely, 2016)","noteIndex":0},"citationItems":[{"id":2895,"uris":["http://zotero.org/users/1687755/items/H637UNSB"],"itemData":{"id":2895,"type":"software","note":"R package version 1.1-4","title":"pwr: Basic Functions for Power Analysis","URL":"https://CRAN.R-project.org/package=pwr","author":[{"family":"Champely","given":"Stephane"}],"issued":{"date-parts":[["2016"]]}}}],"schema":"https://github.com/citation-style-language/schema/raw/master/csl-citation.json"} </w:instrText>
      </w:r>
      <w:r w:rsidRPr="00B6073F">
        <w:fldChar w:fldCharType="separate"/>
      </w:r>
      <w:r w:rsidRPr="00B6073F">
        <w:rPr>
          <w:noProof/>
        </w:rPr>
        <w:t>(Champely, 2016)</w:t>
      </w:r>
      <w:r w:rsidRPr="00B6073F">
        <w:fldChar w:fldCharType="end"/>
      </w:r>
      <w:r w:rsidRPr="00B6073F">
        <w:t>. Table 1 contains the results of both the power analyses reported</w:t>
      </w:r>
      <w:r w:rsidRPr="00034410">
        <w:t xml:space="preserve"> by Vahey et al. (2015) and </w:t>
      </w:r>
      <w:r>
        <w:t xml:space="preserve">those of the </w:t>
      </w:r>
      <w:r w:rsidRPr="00034410">
        <w:t xml:space="preserve">verification analyses. As can be seen in the table, Vahey et al.’s (2015) sample size </w:t>
      </w:r>
      <w:r w:rsidRPr="00034410">
        <w:lastRenderedPageBreak/>
        <w:t>recommendations were found to be computationally reproducible when their meta-analytic effect size was used</w:t>
      </w:r>
      <w:r>
        <w:t xml:space="preserve">, with one exception (difference </w:t>
      </w:r>
      <w:r w:rsidRPr="00573174">
        <w:rPr>
          <w:i/>
          <w:iCs/>
        </w:rPr>
        <w:t>N</w:t>
      </w:r>
      <w:r>
        <w:t xml:space="preserve"> = 36 vs. 34).</w:t>
      </w:r>
      <w:r w:rsidR="00167193" w:rsidRPr="00034410">
        <w:t xml:space="preserve"> </w:t>
      </w:r>
    </w:p>
    <w:p w14:paraId="4B34E510" w14:textId="4324BF9D" w:rsidR="00E40521" w:rsidRPr="00167193" w:rsidRDefault="008D2DF7" w:rsidP="00167193">
      <w:pPr>
        <w:pStyle w:val="Heading2"/>
      </w:pPr>
      <w:r w:rsidRPr="00167193">
        <w:t>Meta-analysis</w:t>
      </w:r>
    </w:p>
    <w:p w14:paraId="47447825" w14:textId="77777777" w:rsidR="0017243A" w:rsidRPr="0017243A" w:rsidRDefault="00000000" w:rsidP="00974D7B">
      <w:pPr>
        <w:pStyle w:val="Heading3"/>
      </w:pPr>
      <w:r>
        <w:t>Issues with the meta-analysis</w:t>
      </w:r>
      <w:r w:rsidR="00AA71D9">
        <w:t xml:space="preserve"> </w:t>
      </w:r>
      <w:r w:rsidR="000521C2">
        <w:t>results</w:t>
      </w:r>
    </w:p>
    <w:p w14:paraId="28C1FB69" w14:textId="77777777" w:rsidR="00E64BE8" w:rsidRDefault="00000000" w:rsidP="00D77465">
      <w:r w:rsidRPr="00034410">
        <w:t>Vahey et al. (2015)</w:t>
      </w:r>
      <w:r w:rsidR="00637EF6" w:rsidRPr="00034410">
        <w:t xml:space="preserve"> reported a meta-analytic effect size, 95% </w:t>
      </w:r>
      <w:r w:rsidR="00BE42D5">
        <w:t>Confidence Interval</w:t>
      </w:r>
      <w:r w:rsidR="00637EF6" w:rsidRPr="00034410">
        <w:t xml:space="preserve">s, and 95% </w:t>
      </w:r>
      <w:r w:rsidR="00BE42D5">
        <w:t>Credibility Interval</w:t>
      </w:r>
      <w:r w:rsidR="00637EF6" w:rsidRPr="00034410">
        <w:t xml:space="preserve">s. These were extracted from Vahey et al.’s (2015) forest plot </w:t>
      </w:r>
      <w:r w:rsidR="00984B3D">
        <w:t xml:space="preserve">in their Figure 1 </w:t>
      </w:r>
      <w:r w:rsidR="00637EF6" w:rsidRPr="00034410">
        <w:t>(</w:t>
      </w:r>
      <w:r w:rsidR="00984B3D">
        <w:t xml:space="preserve">for </w:t>
      </w:r>
      <m:oMath>
        <m:acc>
          <m:accPr>
            <m:chr m:val="̅"/>
            <m:ctrlPr>
              <w:rPr>
                <w:rFonts w:ascii="Cambria Math" w:hAnsi="Cambria Math"/>
                <w:i/>
                <w:sz w:val="20"/>
                <w:szCs w:val="20"/>
              </w:rPr>
            </m:ctrlPr>
          </m:accPr>
          <m:e>
            <m:r>
              <w:rPr>
                <w:rFonts w:ascii="Cambria Math" w:hAnsi="Cambria Math"/>
              </w:rPr>
              <m:t>r</m:t>
            </m:r>
          </m:e>
        </m:acc>
      </m:oMath>
      <w:r w:rsidR="007953D8" w:rsidRPr="00034410">
        <w:t xml:space="preserve"> </w:t>
      </w:r>
      <w:r w:rsidR="00637EF6" w:rsidRPr="00034410">
        <w:t>and CR) and the text on page</w:t>
      </w:r>
      <w:r w:rsidR="00182CB6" w:rsidRPr="00034410">
        <w:t>s 62-63</w:t>
      </w:r>
      <w:r w:rsidR="00637EF6" w:rsidRPr="00034410">
        <w:t xml:space="preserve"> (</w:t>
      </w:r>
      <w:r w:rsidR="00984B3D">
        <w:t xml:space="preserve">for the </w:t>
      </w:r>
      <w:r w:rsidR="00637EF6" w:rsidRPr="00034410">
        <w:t>CI)</w:t>
      </w:r>
      <w:r w:rsidR="002001D3" w:rsidRPr="00034410">
        <w:t xml:space="preserve">: </w:t>
      </w:r>
      <m:oMath>
        <m:acc>
          <m:accPr>
            <m:chr m:val="̅"/>
            <m:ctrlPr>
              <w:rPr>
                <w:rFonts w:ascii="Cambria Math" w:hAnsi="Cambria Math"/>
                <w:i/>
                <w:sz w:val="20"/>
                <w:szCs w:val="20"/>
              </w:rPr>
            </m:ctrlPr>
          </m:accPr>
          <m:e>
            <m:r>
              <w:rPr>
                <w:rFonts w:ascii="Cambria Math" w:hAnsi="Cambria Math"/>
              </w:rPr>
              <m:t>r</m:t>
            </m:r>
          </m:e>
        </m:acc>
      </m:oMath>
      <w:r w:rsidR="002001D3" w:rsidRPr="00034410">
        <w:t xml:space="preserve"> = .45, 95% CI [.40, .54], 95% CR [.23, .67]</w:t>
      </w:r>
      <w:r w:rsidR="00637EF6" w:rsidRPr="00034410">
        <w:t xml:space="preserve">. </w:t>
      </w:r>
    </w:p>
    <w:p w14:paraId="34D6A810" w14:textId="77777777" w:rsidR="00486207" w:rsidRDefault="00000000" w:rsidP="00D77465">
      <w:r w:rsidRPr="00034410">
        <w:t xml:space="preserve">Prior to any attempt to reproduce these results, it is </w:t>
      </w:r>
      <w:r w:rsidR="00E64BE8">
        <w:t xml:space="preserve">important to note that the point estimate and confidence intervals are not possible: </w:t>
      </w:r>
      <w:r w:rsidRPr="00034410">
        <w:t xml:space="preserve">the upper bound </w:t>
      </w:r>
      <w:r w:rsidR="00631636">
        <w:t xml:space="preserve">Confidence Interval </w:t>
      </w:r>
      <w:r w:rsidRPr="00034410">
        <w:t>is +</w:t>
      </w:r>
      <w:r w:rsidR="00631636">
        <w:t>.0</w:t>
      </w:r>
      <w:r w:rsidRPr="00034410">
        <w:t xml:space="preserve">9 </w:t>
      </w:r>
      <w:r w:rsidR="00631636">
        <w:t xml:space="preserve">larger than the point estimate </w:t>
      </w:r>
      <m:oMath>
        <m:acc>
          <m:accPr>
            <m:chr m:val="̅"/>
            <m:ctrlPr>
              <w:rPr>
                <w:rFonts w:ascii="Cambria Math" w:hAnsi="Cambria Math"/>
                <w:i/>
                <w:sz w:val="20"/>
                <w:szCs w:val="20"/>
              </w:rPr>
            </m:ctrlPr>
          </m:accPr>
          <m:e>
            <m:r>
              <w:rPr>
                <w:rFonts w:ascii="Cambria Math" w:hAnsi="Cambria Math"/>
              </w:rPr>
              <m:t>r</m:t>
            </m:r>
          </m:e>
        </m:acc>
      </m:oMath>
      <w:r w:rsidRPr="00034410">
        <w:t xml:space="preserve">, whereas the lower bound </w:t>
      </w:r>
      <w:r w:rsidR="00631636">
        <w:t xml:space="preserve">Confidence Interval is </w:t>
      </w:r>
      <w:r w:rsidRPr="00034410">
        <w:t>-</w:t>
      </w:r>
      <w:r w:rsidR="00631636">
        <w:t>.0</w:t>
      </w:r>
      <w:r w:rsidRPr="00034410">
        <w:t xml:space="preserve">5 </w:t>
      </w:r>
      <w:r w:rsidR="00631636">
        <w:t>smaller</w:t>
      </w:r>
      <w:r w:rsidRPr="00034410">
        <w:t xml:space="preserve">. </w:t>
      </w:r>
      <w:r w:rsidR="000D1059" w:rsidRPr="00034410">
        <w:t xml:space="preserve">While asymmetric intervals are indeed possible (e.g., when using a transformation such as Fisher’s </w:t>
      </w:r>
      <w:r w:rsidR="000D1059" w:rsidRPr="00FE5D69">
        <w:rPr>
          <w:i/>
          <w:iCs/>
        </w:rPr>
        <w:t>r</w:t>
      </w:r>
      <w:r w:rsidR="000D1059" w:rsidRPr="00034410">
        <w:t>-to-</w:t>
      </w:r>
      <w:r w:rsidR="000D1059" w:rsidRPr="00FE5D69">
        <w:rPr>
          <w:i/>
          <w:iCs/>
        </w:rPr>
        <w:t>z</w:t>
      </w:r>
      <w:r w:rsidR="000D1059" w:rsidRPr="00034410">
        <w:t xml:space="preserve">), </w:t>
      </w:r>
      <w:r w:rsidR="00FE5D69">
        <w:t>such transformations would create an asymmetry in the opposite direction (i.e., a smaller upper interval and larger lower interval)</w:t>
      </w:r>
      <w:r w:rsidR="000D1059" w:rsidRPr="00034410">
        <w:t xml:space="preserve">. </w:t>
      </w:r>
      <w:r w:rsidR="00F23764">
        <w:t>I know of no legitimate way to produce a meta-analytic effect size with asymmetric Confidence Intervals of the type that Vahey et al. (2015) report</w:t>
      </w:r>
      <w:r w:rsidR="00F463F9">
        <w:t xml:space="preserve"> and they are, to the best of my knowledge, mathematically impossible. </w:t>
      </w:r>
      <w:r w:rsidR="00CD380D">
        <w:t xml:space="preserve">One plausible explanation is that one or more values are the result of typos. Another plausible explanation is that the Confidence Intervals (reported in text) and the </w:t>
      </w:r>
      <m:oMath>
        <m:acc>
          <m:accPr>
            <m:chr m:val="̅"/>
            <m:ctrlPr>
              <w:rPr>
                <w:rFonts w:ascii="Cambria Math" w:hAnsi="Cambria Math"/>
                <w:i/>
                <w:sz w:val="20"/>
                <w:szCs w:val="20"/>
              </w:rPr>
            </m:ctrlPr>
          </m:accPr>
          <m:e>
            <m:r>
              <w:rPr>
                <w:rFonts w:ascii="Cambria Math" w:hAnsi="Cambria Math"/>
              </w:rPr>
              <m:t>r</m:t>
            </m:r>
          </m:e>
        </m:acc>
      </m:oMath>
      <w:r w:rsidR="00CD380D">
        <w:t xml:space="preserve"> and Credibility Intervals (reported in Figure 1) were obtained from different meta-analyses, employing different data and/or different </w:t>
      </w:r>
      <w:proofErr w:type="spellStart"/>
      <w:r w:rsidR="00CD380D">
        <w:t>modeling</w:t>
      </w:r>
      <w:proofErr w:type="spellEnd"/>
      <w:r w:rsidR="00CD380D">
        <w:t xml:space="preserve"> approaches.</w:t>
      </w:r>
    </w:p>
    <w:p w14:paraId="01D62B62" w14:textId="77777777" w:rsidR="007272CD" w:rsidRDefault="007272CD" w:rsidP="00D77465"/>
    <w:p w14:paraId="0C346E0C" w14:textId="77777777" w:rsidR="008D2DF7" w:rsidRDefault="008D2DF7" w:rsidP="00D77465">
      <w:r>
        <w:br w:type="page"/>
      </w:r>
    </w:p>
    <w:p w14:paraId="40EE2C7D" w14:textId="4328B855" w:rsidR="007272CD" w:rsidRDefault="007272CD" w:rsidP="00974D7B">
      <w:pPr>
        <w:ind w:firstLine="0"/>
        <w:rPr>
          <w:b/>
          <w:bCs/>
        </w:rPr>
      </w:pPr>
      <w:r w:rsidRPr="005357A0">
        <w:rPr>
          <w:b/>
          <w:bCs/>
        </w:rPr>
        <w:lastRenderedPageBreak/>
        <w:t xml:space="preserve">Figure 1. </w:t>
      </w:r>
      <w:r w:rsidRPr="004C1702">
        <w:t>Weighted-mean effect sizes and their 95% Confidence Intervals extracted from Vahey et al.’s (2015, Figure 1) forest plot.</w:t>
      </w:r>
    </w:p>
    <w:p w14:paraId="0C2D8052" w14:textId="77777777" w:rsidR="007272CD" w:rsidRPr="005357A0" w:rsidRDefault="007272CD" w:rsidP="00D77465">
      <w:r>
        <w:rPr>
          <w:noProof/>
        </w:rPr>
        <w:drawing>
          <wp:inline distT="0" distB="0" distL="0" distR="0" wp14:anchorId="4E6E5CD5" wp14:editId="62C61839">
            <wp:extent cx="4765184" cy="2620851"/>
            <wp:effectExtent l="0" t="0" r="0" b="0"/>
            <wp:docPr id="170838534"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38534" name="Picture 1" descr="A graph with numbers and lines&#10;&#10;Description automatically generated"/>
                    <pic:cNvPicPr/>
                  </pic:nvPicPr>
                  <pic:blipFill>
                    <a:blip r:embed="rId12"/>
                    <a:stretch>
                      <a:fillRect/>
                    </a:stretch>
                  </pic:blipFill>
                  <pic:spPr>
                    <a:xfrm>
                      <a:off x="0" y="0"/>
                      <a:ext cx="4822081" cy="2652144"/>
                    </a:xfrm>
                    <a:prstGeom prst="rect">
                      <a:avLst/>
                    </a:prstGeom>
                  </pic:spPr>
                </pic:pic>
              </a:graphicData>
            </a:graphic>
          </wp:inline>
        </w:drawing>
      </w:r>
    </w:p>
    <w:p w14:paraId="48A07326" w14:textId="77777777" w:rsidR="007272CD" w:rsidRDefault="007272CD" w:rsidP="00D77465">
      <w:r w:rsidRPr="00034410">
        <w:t xml:space="preserve"> </w:t>
      </w:r>
    </w:p>
    <w:p w14:paraId="7ED3CCCF" w14:textId="77777777" w:rsidR="00C240F1" w:rsidRDefault="00C240F1">
      <w:pPr>
        <w:spacing w:line="240" w:lineRule="auto"/>
        <w:ind w:firstLine="0"/>
        <w:rPr>
          <w:b/>
          <w:bCs/>
        </w:rPr>
      </w:pPr>
      <w:r>
        <w:rPr>
          <w:b/>
          <w:bCs/>
        </w:rPr>
        <w:br w:type="page"/>
      </w:r>
    </w:p>
    <w:p w14:paraId="7FBB98EF" w14:textId="6FAA999B" w:rsidR="00F862D8" w:rsidRPr="00F862D8" w:rsidRDefault="00000000" w:rsidP="00974D7B">
      <w:pPr>
        <w:ind w:firstLine="0"/>
        <w:rPr>
          <w:b/>
          <w:bCs/>
        </w:rPr>
      </w:pPr>
      <w:r w:rsidRPr="00F862D8">
        <w:rPr>
          <w:b/>
          <w:bCs/>
        </w:rPr>
        <w:lastRenderedPageBreak/>
        <w:t xml:space="preserve">Figure </w:t>
      </w:r>
      <w:r w:rsidR="00157B0C">
        <w:rPr>
          <w:b/>
          <w:bCs/>
        </w:rPr>
        <w:t>2</w:t>
      </w:r>
      <w:r w:rsidRPr="00F862D8">
        <w:rPr>
          <w:b/>
          <w:bCs/>
        </w:rPr>
        <w:t xml:space="preserve">. </w:t>
      </w:r>
      <w:r w:rsidR="00B21A2E" w:rsidRPr="004C1702">
        <w:t xml:space="preserve">Discrepancies between the data in </w:t>
      </w:r>
      <w:r w:rsidR="00C55C2C" w:rsidRPr="004C1702">
        <w:t>Vahey et al.’s (2015)</w:t>
      </w:r>
      <w:r w:rsidR="00B21A2E" w:rsidRPr="004C1702">
        <w:t xml:space="preserve"> forest plot</w:t>
      </w:r>
      <w:r w:rsidR="00C55C2C" w:rsidRPr="004C1702">
        <w:t xml:space="preserve"> (their Figure 1) vs. funnel plot (their Figure 2)</w:t>
      </w:r>
      <w:r w:rsidR="00B21A2E" w:rsidRPr="004C1702">
        <w:t>.</w:t>
      </w:r>
      <w:r w:rsidR="00B21A2E">
        <w:rPr>
          <w:b/>
          <w:bCs/>
        </w:rPr>
        <w:t xml:space="preserve"> </w:t>
      </w:r>
    </w:p>
    <w:p w14:paraId="5AE70641" w14:textId="77777777" w:rsidR="00F862D8" w:rsidRDefault="00000000" w:rsidP="00D77465">
      <w:r>
        <w:rPr>
          <w:noProof/>
        </w:rPr>
        <w:drawing>
          <wp:inline distT="0" distB="0" distL="0" distR="0" wp14:anchorId="15F2F814" wp14:editId="1BA04CAF">
            <wp:extent cx="4687910" cy="4047373"/>
            <wp:effectExtent l="0" t="0" r="0" b="4445"/>
            <wp:docPr id="2015480290" name="Picture 5" descr="A diagram of a 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480290" name="Picture 5" descr="A diagram of a point&#10;&#10;Description automatically generated"/>
                    <pic:cNvPicPr/>
                  </pic:nvPicPr>
                  <pic:blipFill>
                    <a:blip r:embed="rId13"/>
                    <a:stretch>
                      <a:fillRect/>
                    </a:stretch>
                  </pic:blipFill>
                  <pic:spPr>
                    <a:xfrm>
                      <a:off x="0" y="0"/>
                      <a:ext cx="4710533" cy="4066904"/>
                    </a:xfrm>
                    <a:prstGeom prst="rect">
                      <a:avLst/>
                    </a:prstGeom>
                  </pic:spPr>
                </pic:pic>
              </a:graphicData>
            </a:graphic>
          </wp:inline>
        </w:drawing>
      </w:r>
    </w:p>
    <w:p w14:paraId="6BE7C7FF" w14:textId="02C3FB69" w:rsidR="00B21A2E" w:rsidRPr="00C55C2C" w:rsidRDefault="00000000" w:rsidP="00974D7B">
      <w:pPr>
        <w:ind w:firstLine="0"/>
      </w:pPr>
      <w:r w:rsidRPr="00C55C2C">
        <w:t xml:space="preserve">Note: </w:t>
      </w:r>
      <w:r w:rsidR="008D2DF7">
        <w:t>Figure 2</w:t>
      </w:r>
      <w:r w:rsidR="008B57B9" w:rsidRPr="00C55C2C">
        <w:t xml:space="preserve"> was </w:t>
      </w:r>
      <w:r w:rsidRPr="00C55C2C">
        <w:t>created from Vahey et al.’s (2015) results reported in their forest plot (their Figure 1) vs. their funnel plot</w:t>
      </w:r>
      <w:r w:rsidR="008B57B9" w:rsidRPr="00C55C2C">
        <w:t xml:space="preserve"> (their Figure 2)</w:t>
      </w:r>
      <w:r w:rsidRPr="00C55C2C">
        <w:t>. The black dot refers to the location of one weighted mean effect size according to their forest plot. The red dot asterisk refers to its approximate location in their funnel plot (their Figure 2).</w:t>
      </w:r>
      <w:r w:rsidR="00B53296" w:rsidRPr="00C55C2C">
        <w:t xml:space="preserve"> Circles refer to data points that match between the two plots.</w:t>
      </w:r>
    </w:p>
    <w:p w14:paraId="35F0806B" w14:textId="77777777" w:rsidR="00367018" w:rsidRDefault="00367018" w:rsidP="003C6E44"/>
    <w:p w14:paraId="770D2B69" w14:textId="77777777" w:rsidR="00974D7B" w:rsidRDefault="00974D7B" w:rsidP="003C6E44"/>
    <w:p w14:paraId="00680066" w14:textId="77777777" w:rsidR="00974D7B" w:rsidRPr="00974D7B" w:rsidRDefault="00974D7B" w:rsidP="003C6E44"/>
    <w:p w14:paraId="2A2F2D9D" w14:textId="77777777" w:rsidR="00C240F1" w:rsidRDefault="00C240F1">
      <w:pPr>
        <w:spacing w:line="240" w:lineRule="auto"/>
        <w:ind w:firstLine="0"/>
        <w:rPr>
          <w:b/>
          <w:bCs/>
        </w:rPr>
      </w:pPr>
      <w:r>
        <w:br w:type="page"/>
      </w:r>
    </w:p>
    <w:p w14:paraId="667B493C" w14:textId="1E652AFF" w:rsidR="00C34F86" w:rsidRPr="00974D7B" w:rsidRDefault="00000000" w:rsidP="00974D7B">
      <w:pPr>
        <w:pStyle w:val="Heading3"/>
      </w:pPr>
      <w:r w:rsidRPr="00974D7B">
        <w:lastRenderedPageBreak/>
        <w:t>Issues with the original effect sizes’ Confidence Intervals</w:t>
      </w:r>
    </w:p>
    <w:p w14:paraId="22B55DC3" w14:textId="2D8F4322" w:rsidR="00C34F86" w:rsidRDefault="00000000" w:rsidP="00D77465">
      <w:r>
        <w:t xml:space="preserve">Separately, it is also worth inspecting the weighted average effect sizes for each of the component studies reported in Vahey et al.’s (2015) Figure 1. These numerical values were extracted and are reproduced in Figure 1 of this manuscript and serve as the data for the verification attempts below. The individual effect sizes are labeled as representing weighted </w:t>
      </w:r>
      <w:r w:rsidRPr="00DC4226">
        <w:rPr>
          <w:i/>
          <w:iCs/>
        </w:rPr>
        <w:t>r</w:t>
      </w:r>
      <w:r>
        <w:t xml:space="preserve"> values and its Confidence Intervals. As such, the </w:t>
      </w:r>
      <w:r w:rsidR="002F45F0">
        <w:t>C</w:t>
      </w:r>
      <w:r>
        <w:t xml:space="preserve">onfidence </w:t>
      </w:r>
      <w:r w:rsidR="002F45F0">
        <w:t>I</w:t>
      </w:r>
      <w:r>
        <w:t xml:space="preserve">ntervals should be symmetrical, but they are not. For example, the effect size reported for Vahey et al. (2010) is </w:t>
      </w:r>
      <w:r w:rsidRPr="00064BCC">
        <w:rPr>
          <w:i/>
          <w:iCs/>
        </w:rPr>
        <w:t>r</w:t>
      </w:r>
      <w:r>
        <w:t xml:space="preserve"> = .36, 95% CI [-.24, .76]. This makes </w:t>
      </w:r>
      <w:r w:rsidRPr="009B2BE9">
        <w:t>the</w:t>
      </w:r>
      <w:r w:rsidRPr="00034410">
        <w:t xml:space="preserve"> upper bound +</w:t>
      </w:r>
      <w:r>
        <w:t xml:space="preserve">.40 larger than the </w:t>
      </w:r>
      <w:r w:rsidRPr="00034410">
        <w:t>point estimate whereas the lower bound is -</w:t>
      </w:r>
      <w:r>
        <w:t>.60</w:t>
      </w:r>
      <w:r w:rsidRPr="00034410">
        <w:t xml:space="preserve"> from the point estimate. </w:t>
      </w:r>
      <w:r>
        <w:t xml:space="preserve">The asymmetry is therefore in the opposite direction to that in the reported meta-analytic effect size's Confidence Interval and is in principle compatible with a transformation having been applied (e.g., Fisher's r-to-z). As I discuss later in meta-analysis reproduction attempt 4, it is likely that the original figure mislabels what are weighted average Fisher’s </w:t>
      </w:r>
      <w:r>
        <w:rPr>
          <w:i/>
          <w:iCs/>
        </w:rPr>
        <w:t>r</w:t>
      </w:r>
      <w:r w:rsidRPr="00E91DD6">
        <w:t>-to-</w:t>
      </w:r>
      <w:r>
        <w:rPr>
          <w:i/>
          <w:iCs/>
        </w:rPr>
        <w:t>z</w:t>
      </w:r>
      <w:r w:rsidRPr="00E91DD6">
        <w:t xml:space="preserve"> transformed </w:t>
      </w:r>
      <w:r w:rsidRPr="00FD7D4F">
        <w:t>values as</w:t>
      </w:r>
      <w:r>
        <w:rPr>
          <w:i/>
          <w:iCs/>
        </w:rPr>
        <w:t xml:space="preserve"> </w:t>
      </w:r>
      <w:r w:rsidRPr="00FD7D4F">
        <w:t>weighted average</w:t>
      </w:r>
      <w:r>
        <w:rPr>
          <w:i/>
          <w:iCs/>
        </w:rPr>
        <w:t xml:space="preserve"> r</w:t>
      </w:r>
      <w:r w:rsidRPr="00FD7D4F">
        <w:t xml:space="preserve"> values.</w:t>
      </w:r>
      <w:r>
        <w:t xml:space="preserve"> </w:t>
      </w:r>
    </w:p>
    <w:p w14:paraId="22DAC8F3" w14:textId="77777777" w:rsidR="00F862D8" w:rsidRPr="00F862D8" w:rsidRDefault="00000000" w:rsidP="00974D7B">
      <w:pPr>
        <w:pStyle w:val="Heading3"/>
      </w:pPr>
      <w:r>
        <w:t>Data in the f</w:t>
      </w:r>
      <w:r w:rsidRPr="00F862D8">
        <w:t>unnel plot</w:t>
      </w:r>
      <w:r>
        <w:t xml:space="preserve"> does not match the forest plot</w:t>
      </w:r>
    </w:p>
    <w:p w14:paraId="3E5BD437" w14:textId="77777777" w:rsidR="00F862D8" w:rsidRDefault="00000000" w:rsidP="00D77465">
      <w:r>
        <w:t xml:space="preserve">Vahey et al. (2015) also reported their weighted average effect size estimates in a funnel plot (see their Figure 2). </w:t>
      </w:r>
      <w:r w:rsidR="007A2285">
        <w:t>This duplication of data between two plots provided a vector for error detection. W</w:t>
      </w:r>
      <w:r>
        <w:t xml:space="preserve">hen I created a funnel plot from the results reported in their forest plot, one of the data points did not match their funnel plot. See Figure </w:t>
      </w:r>
      <w:r w:rsidR="00B45F73">
        <w:t>2</w:t>
      </w:r>
      <w:r w:rsidR="00FB485F">
        <w:t>,</w:t>
      </w:r>
      <w:r>
        <w:t xml:space="preserve"> which illustrates this discrepancy. This suggests that the </w:t>
      </w:r>
      <w:r w:rsidR="00D219E4">
        <w:t xml:space="preserve">original </w:t>
      </w:r>
      <w:r>
        <w:t xml:space="preserve">funnel plot and forest plot were created from slightly different data sets. It is unclear which one represents the ‘correct’ data set (especially </w:t>
      </w:r>
      <w:proofErr w:type="gramStart"/>
      <w:r>
        <w:t>in light of</w:t>
      </w:r>
      <w:proofErr w:type="gramEnd"/>
      <w:r>
        <w:t xml:space="preserve"> the </w:t>
      </w:r>
      <w:r w:rsidR="00367018">
        <w:t>section on ‘a</w:t>
      </w:r>
      <w:r w:rsidR="00367018" w:rsidRPr="00367018">
        <w:t>verage effect sizes</w:t>
      </w:r>
      <w:r w:rsidR="00367018">
        <w:t>’ that I discuss later</w:t>
      </w:r>
      <w:r>
        <w:t xml:space="preserve">), but this speaks to the broader pattern of non-reproducibility and internal inconsistencies in Vahey et al.’s (2015) results. </w:t>
      </w:r>
    </w:p>
    <w:p w14:paraId="396F68C2" w14:textId="77777777" w:rsidR="000C7F5A" w:rsidRDefault="000C7F5A" w:rsidP="003C6E44"/>
    <w:p w14:paraId="63E915D3" w14:textId="67E0E2F3" w:rsidR="00C4623D" w:rsidRPr="00C4623D" w:rsidRDefault="00000000" w:rsidP="00974D7B">
      <w:pPr>
        <w:pStyle w:val="Heading3"/>
      </w:pPr>
      <w:r w:rsidRPr="00F862D8">
        <w:lastRenderedPageBreak/>
        <w:t>Implementation of the meta-analysis</w:t>
      </w:r>
    </w:p>
    <w:p w14:paraId="7FF7234E" w14:textId="77777777" w:rsidR="00297052" w:rsidRDefault="00000000" w:rsidP="00D77465">
      <w:r w:rsidRPr="00034410">
        <w:t>Vahey et al. (2015) stated that they employed a Hunter &amp; Schmidt style meta-analysis and cited Field &amp; Gillett (2010)</w:t>
      </w:r>
      <w:r w:rsidR="004E50FB">
        <w:t xml:space="preserve"> and its </w:t>
      </w:r>
      <w:r w:rsidR="00C4623D">
        <w:t xml:space="preserve">accompanying </w:t>
      </w:r>
      <w:r w:rsidR="004E50FB">
        <w:t>scripts that are maintained by Fields</w:t>
      </w:r>
      <w:r w:rsidR="00C4623D">
        <w:t xml:space="preserve"> on his website (</w:t>
      </w:r>
      <w:hyperlink r:id="rId14" w:history="1">
        <w:r w:rsidR="00C4623D" w:rsidRPr="000E0890">
          <w:rPr>
            <w:rStyle w:val="Hyperlink"/>
          </w:rPr>
          <w:t>https://www.discoveringstatistics.com/repository/fieldgillett/how_to_do_a_meta_analysis.html</w:t>
        </w:r>
      </w:hyperlink>
      <w:r w:rsidR="00C4623D">
        <w:t>)</w:t>
      </w:r>
      <w:r w:rsidRPr="00034410">
        <w:t xml:space="preserve">. </w:t>
      </w:r>
      <w:r>
        <w:t>In personal correspondence with Vahey, he stated it should in principle be possible to reconstruct their analytic strategy and results from the code provided by Field &amp; Gillett (2010), but he declined to share the actual code used in Vahey et al. (2015). In practice, it was surprisingly difficult to reconstruct what was done because of multiple discrepancies both (a) between Field &amp; Gillett (2010) and Vahey et al. (2015)</w:t>
      </w:r>
      <w:r w:rsidR="000C0C37">
        <w:t xml:space="preserve">; </w:t>
      </w:r>
      <w:r>
        <w:t>(b) within Vahey et al. (2015) itself</w:t>
      </w:r>
      <w:r w:rsidR="000C0C37">
        <w:t xml:space="preserve">; (c) between Field and Gillett’s (2010) descriptions and Field’s actual code implementations, and (d) between the different implementations of the Hunter &amp; Schmidt style meta-analysis between Field’s two different scripts that are associated with Field &amp; Gillett (2010). </w:t>
      </w:r>
      <w:r>
        <w:t>I will discuss</w:t>
      </w:r>
      <w:r w:rsidR="000C0C37">
        <w:t xml:space="preserve"> each of these</w:t>
      </w:r>
      <w:r>
        <w:t>.</w:t>
      </w:r>
      <w:r w:rsidR="000C0C37">
        <w:t xml:space="preserve"> Trying to unravel this was extremely challenging, to a degree that is difficult to convey.</w:t>
      </w:r>
    </w:p>
    <w:p w14:paraId="7DDD7CB8" w14:textId="5BA99982" w:rsidR="000F14E7" w:rsidRPr="000F14E7" w:rsidRDefault="00000000" w:rsidP="00D77465">
      <w:pPr>
        <w:rPr>
          <w:iCs/>
        </w:rPr>
      </w:pPr>
      <w:r>
        <w:t xml:space="preserve">Field &amp; Gillett (2010) describe two different ways of conducting meta-analyses: a Hedges </w:t>
      </w:r>
      <w:r w:rsidR="00013124">
        <w:t xml:space="preserve">and </w:t>
      </w:r>
      <w:proofErr w:type="gramStart"/>
      <w:r w:rsidR="00013124">
        <w:t>colleagues</w:t>
      </w:r>
      <w:proofErr w:type="gramEnd"/>
      <w:r w:rsidR="00013124">
        <w:t xml:space="preserve"> </w:t>
      </w:r>
      <w:r>
        <w:t>style “basic” meta-analysis and a Hunter and Schmidt style psychometric meta-analysis. Despite Vahey et al. (2015) stating that they applied the Hunter and Schmidt approach, multiple features of this approach are missing from their results</w:t>
      </w:r>
      <w:r w:rsidR="004423C2">
        <w:t xml:space="preserve">. This becomes more apparent when examining the metrics returned by Field’s accompanying SPSS scripts for Field &amp; Gillett (2010): </w:t>
      </w:r>
      <w:r w:rsidR="004423C2" w:rsidRPr="00034410">
        <w:t>“Meta_Basic_r.sps” and “h_s syntax.sps”.</w:t>
      </w:r>
      <w:r w:rsidR="004423C2">
        <w:t xml:space="preserve"> To complicate things, both scripts contain code to produce a Hunter and Schmidt style meta-analysis, with the former also producing a Hedges and </w:t>
      </w:r>
      <w:proofErr w:type="gramStart"/>
      <w:r w:rsidR="004423C2">
        <w:t>colleagues</w:t>
      </w:r>
      <w:proofErr w:type="gramEnd"/>
      <w:r w:rsidR="004423C2">
        <w:t xml:space="preserve"> style ‘basic’ meta-analysis. </w:t>
      </w:r>
    </w:p>
    <w:p w14:paraId="1862F107" w14:textId="77777777" w:rsidR="00442CE7" w:rsidRDefault="00442CE7" w:rsidP="00974D7B">
      <w:pPr>
        <w:pStyle w:val="Heading3"/>
        <w:sectPr w:rsidR="00442CE7" w:rsidSect="00D77465">
          <w:type w:val="continuous"/>
          <w:pgSz w:w="11900" w:h="16840"/>
          <w:pgMar w:top="1440" w:right="1440" w:bottom="1440" w:left="1440" w:header="709" w:footer="709" w:gutter="0"/>
          <w:cols w:space="340"/>
          <w:titlePg/>
          <w:docGrid w:linePitch="360"/>
          <w15:footnoteColumns w:val="1"/>
        </w:sectPr>
      </w:pPr>
    </w:p>
    <w:p w14:paraId="7AACC489" w14:textId="1DA35CA6" w:rsidR="00442CE7" w:rsidRDefault="00000000" w:rsidP="009E4A22">
      <w:pPr>
        <w:rPr>
          <w:rFonts w:eastAsia="MS Mincho"/>
          <w:lang w:val=""/>
        </w:rPr>
        <w:sectPr w:rsidR="00442CE7" w:rsidSect="00D77465">
          <w:pgSz w:w="16840" w:h="11900" w:orient="landscape"/>
          <w:pgMar w:top="1440" w:right="1440" w:bottom="1440" w:left="1440" w:header="709" w:footer="709" w:gutter="0"/>
          <w:cols w:space="340"/>
          <w:titlePg/>
          <w:docGrid w:linePitch="360"/>
          <w15:footnoteColumns w:val="1"/>
        </w:sectPr>
      </w:pPr>
      <w:r w:rsidRPr="004C1702">
        <w:rPr>
          <w:rFonts w:eastAsia="MS Mincho"/>
          <w:b/>
          <w:bCs/>
          <w:lang w:val=""/>
        </w:rPr>
        <w:lastRenderedPageBreak/>
        <w:t xml:space="preserve">Table 2. </w:t>
      </w:r>
      <w:r w:rsidRPr="004C1702">
        <w:rPr>
          <w:rFonts w:eastAsia="MS Mincho"/>
          <w:lang w:val=""/>
        </w:rPr>
        <w:t>Alignment between the results reported in Vahey et al. (2015) and Field’s SPSS scripts accompanying Field &amp; Gillett (2010)</w:t>
      </w:r>
    </w:p>
    <w:p w14:paraId="50FCBDC5" w14:textId="77777777" w:rsidR="00442CE7" w:rsidRPr="007C5953" w:rsidRDefault="00442CE7" w:rsidP="009E4A22">
      <w:pPr>
        <w:ind w:firstLine="0"/>
        <w:rPr>
          <w:rFonts w:eastAsia="MS Mincho"/>
          <w:lang w:val=""/>
        </w:rPr>
      </w:pPr>
    </w:p>
    <w:tbl>
      <w:tblPr>
        <w:tblStyle w:val="TableGrid1"/>
        <w:tblW w:w="12960" w:type="dxa"/>
        <w:jc w:val="center"/>
        <w:tblLayout w:type="fixed"/>
        <w:tblLook w:val="04A0" w:firstRow="1" w:lastRow="0" w:firstColumn="1" w:lastColumn="0" w:noHBand="0" w:noVBand="1"/>
      </w:tblPr>
      <w:tblGrid>
        <w:gridCol w:w="6559"/>
        <w:gridCol w:w="538"/>
        <w:gridCol w:w="538"/>
        <w:gridCol w:w="717"/>
        <w:gridCol w:w="2808"/>
        <w:gridCol w:w="1800"/>
      </w:tblGrid>
      <w:tr w:rsidR="00AA6907" w:rsidRPr="009E4A22" w14:paraId="6206B657" w14:textId="77777777" w:rsidTr="009E4A22">
        <w:trPr>
          <w:trHeight w:val="180"/>
          <w:jc w:val="center"/>
        </w:trPr>
        <w:tc>
          <w:tcPr>
            <w:tcW w:w="6559" w:type="dxa"/>
            <w:tcBorders>
              <w:top w:val="single" w:sz="4" w:space="0" w:color="auto"/>
              <w:left w:val="nil"/>
              <w:bottom w:val="single" w:sz="4" w:space="0" w:color="auto"/>
              <w:right w:val="nil"/>
            </w:tcBorders>
            <w:vAlign w:val="center"/>
            <w:hideMark/>
          </w:tcPr>
          <w:p w14:paraId="0B090E1B" w14:textId="77777777" w:rsidR="00442CE7" w:rsidRPr="009E4A22" w:rsidRDefault="00000000" w:rsidP="009E4A22">
            <w:pPr>
              <w:spacing w:line="240" w:lineRule="auto"/>
              <w:ind w:firstLine="0"/>
              <w:rPr>
                <w:rFonts w:eastAsia="MS Mincho"/>
                <w:sz w:val="20"/>
                <w:szCs w:val="20"/>
              </w:rPr>
            </w:pPr>
            <w:r w:rsidRPr="009E4A22">
              <w:rPr>
                <w:rFonts w:eastAsia="MS Mincho"/>
                <w:sz w:val="20"/>
                <w:szCs w:val="20"/>
              </w:rPr>
              <w:t>Source</w:t>
            </w:r>
          </w:p>
        </w:tc>
        <w:tc>
          <w:tcPr>
            <w:tcW w:w="538" w:type="dxa"/>
            <w:tcBorders>
              <w:top w:val="single" w:sz="4" w:space="0" w:color="auto"/>
              <w:left w:val="nil"/>
              <w:bottom w:val="single" w:sz="4" w:space="0" w:color="auto"/>
              <w:right w:val="nil"/>
            </w:tcBorders>
            <w:vAlign w:val="center"/>
            <w:hideMark/>
          </w:tcPr>
          <w:p w14:paraId="756EC59F" w14:textId="77777777" w:rsidR="00442CE7" w:rsidRPr="009E4A22" w:rsidRDefault="00000000" w:rsidP="009E4A22">
            <w:pPr>
              <w:spacing w:line="240" w:lineRule="auto"/>
              <w:ind w:firstLine="0"/>
              <w:jc w:val="center"/>
              <w:rPr>
                <w:rFonts w:eastAsia="MS Mincho"/>
                <w:sz w:val="20"/>
                <w:szCs w:val="20"/>
              </w:rPr>
            </w:pPr>
            <m:oMathPara>
              <m:oMath>
                <m:acc>
                  <m:accPr>
                    <m:chr m:val="̅"/>
                    <m:ctrlPr>
                      <w:rPr>
                        <w:rFonts w:ascii="Cambria Math" w:eastAsia="MS Mincho" w:hAnsi="Cambria Math"/>
                        <w:sz w:val="20"/>
                        <w:szCs w:val="20"/>
                      </w:rPr>
                    </m:ctrlPr>
                  </m:accPr>
                  <m:e>
                    <m:r>
                      <w:rPr>
                        <w:rFonts w:ascii="Cambria Math" w:eastAsia="MS Mincho" w:hAnsi="Cambria Math"/>
                        <w:sz w:val="20"/>
                        <w:szCs w:val="20"/>
                      </w:rPr>
                      <m:t>r</m:t>
                    </m:r>
                  </m:e>
                </m:acc>
              </m:oMath>
            </m:oMathPara>
          </w:p>
        </w:tc>
        <w:tc>
          <w:tcPr>
            <w:tcW w:w="538" w:type="dxa"/>
            <w:tcBorders>
              <w:top w:val="single" w:sz="4" w:space="0" w:color="auto"/>
              <w:left w:val="nil"/>
              <w:bottom w:val="single" w:sz="4" w:space="0" w:color="auto"/>
              <w:right w:val="nil"/>
            </w:tcBorders>
            <w:vAlign w:val="center"/>
            <w:hideMark/>
          </w:tcPr>
          <w:p w14:paraId="35A05E39" w14:textId="77777777" w:rsidR="00442CE7" w:rsidRPr="009E4A22" w:rsidRDefault="00000000" w:rsidP="009E4A22">
            <w:pPr>
              <w:spacing w:line="240" w:lineRule="auto"/>
              <w:ind w:firstLine="0"/>
              <w:jc w:val="center"/>
              <w:rPr>
                <w:rFonts w:eastAsia="MS Mincho"/>
                <w:sz w:val="20"/>
                <w:szCs w:val="20"/>
              </w:rPr>
            </w:pPr>
            <w:r w:rsidRPr="009E4A22">
              <w:rPr>
                <w:rFonts w:eastAsia="MS Mincho"/>
                <w:sz w:val="20"/>
                <w:szCs w:val="20"/>
              </w:rPr>
              <w:t>CIs</w:t>
            </w:r>
          </w:p>
        </w:tc>
        <w:tc>
          <w:tcPr>
            <w:tcW w:w="717" w:type="dxa"/>
            <w:tcBorders>
              <w:top w:val="single" w:sz="4" w:space="0" w:color="auto"/>
              <w:left w:val="nil"/>
              <w:bottom w:val="single" w:sz="4" w:space="0" w:color="auto"/>
              <w:right w:val="nil"/>
            </w:tcBorders>
            <w:noWrap/>
            <w:vAlign w:val="center"/>
            <w:hideMark/>
          </w:tcPr>
          <w:p w14:paraId="644B751D" w14:textId="77777777" w:rsidR="00442CE7" w:rsidRPr="009E4A22" w:rsidRDefault="00000000" w:rsidP="009E4A22">
            <w:pPr>
              <w:spacing w:line="240" w:lineRule="auto"/>
              <w:ind w:firstLine="0"/>
              <w:jc w:val="center"/>
              <w:rPr>
                <w:rFonts w:eastAsia="MS Mincho"/>
                <w:sz w:val="20"/>
                <w:szCs w:val="20"/>
              </w:rPr>
            </w:pPr>
            <w:r w:rsidRPr="009E4A22">
              <w:rPr>
                <w:rFonts w:eastAsia="MS Mincho"/>
                <w:sz w:val="20"/>
                <w:szCs w:val="20"/>
              </w:rPr>
              <w:t>CRs</w:t>
            </w:r>
          </w:p>
        </w:tc>
        <w:tc>
          <w:tcPr>
            <w:tcW w:w="2808" w:type="dxa"/>
            <w:tcBorders>
              <w:top w:val="single" w:sz="4" w:space="0" w:color="auto"/>
              <w:left w:val="nil"/>
              <w:bottom w:val="single" w:sz="4" w:space="0" w:color="auto"/>
              <w:right w:val="nil"/>
            </w:tcBorders>
            <w:vAlign w:val="center"/>
          </w:tcPr>
          <w:p w14:paraId="3DD8D385" w14:textId="77777777" w:rsidR="00442CE7" w:rsidRPr="009E4A22" w:rsidRDefault="00000000" w:rsidP="009E4A22">
            <w:pPr>
              <w:spacing w:line="240" w:lineRule="auto"/>
              <w:ind w:firstLine="0"/>
              <w:jc w:val="center"/>
              <w:rPr>
                <w:rFonts w:eastAsia="MS Mincho"/>
                <w:sz w:val="20"/>
                <w:szCs w:val="20"/>
              </w:rPr>
            </w:pPr>
            <w:r w:rsidRPr="009E4A22">
              <w:rPr>
                <w:rFonts w:eastAsia="MS Mincho"/>
                <w:sz w:val="20"/>
                <w:szCs w:val="20"/>
              </w:rPr>
              <w:t>Adjustments &amp; Transformations</w:t>
            </w:r>
          </w:p>
        </w:tc>
        <w:tc>
          <w:tcPr>
            <w:tcW w:w="1800" w:type="dxa"/>
            <w:tcBorders>
              <w:top w:val="single" w:sz="4" w:space="0" w:color="auto"/>
              <w:left w:val="nil"/>
              <w:bottom w:val="single" w:sz="4" w:space="0" w:color="auto"/>
              <w:right w:val="nil"/>
            </w:tcBorders>
            <w:vAlign w:val="center"/>
          </w:tcPr>
          <w:p w14:paraId="42376411" w14:textId="77777777" w:rsidR="00442CE7" w:rsidRPr="009E4A22" w:rsidRDefault="00000000" w:rsidP="009E4A22">
            <w:pPr>
              <w:spacing w:line="240" w:lineRule="auto"/>
              <w:ind w:firstLine="0"/>
              <w:jc w:val="center"/>
              <w:rPr>
                <w:rFonts w:eastAsia="MS Mincho"/>
                <w:sz w:val="20"/>
                <w:szCs w:val="20"/>
              </w:rPr>
            </w:pPr>
            <w:r w:rsidRPr="009E4A22">
              <w:rPr>
                <w:rFonts w:eastAsia="MS Mincho"/>
                <w:sz w:val="20"/>
                <w:szCs w:val="20"/>
              </w:rPr>
              <w:t>Employs reliability estimates</w:t>
            </w:r>
          </w:p>
        </w:tc>
      </w:tr>
      <w:tr w:rsidR="00AA6907" w:rsidRPr="009E4A22" w14:paraId="3ED524EC" w14:textId="77777777" w:rsidTr="009E4A22">
        <w:trPr>
          <w:trHeight w:val="512"/>
          <w:jc w:val="center"/>
        </w:trPr>
        <w:tc>
          <w:tcPr>
            <w:tcW w:w="6559" w:type="dxa"/>
            <w:tcBorders>
              <w:top w:val="single" w:sz="4" w:space="0" w:color="auto"/>
              <w:left w:val="nil"/>
              <w:bottom w:val="nil"/>
              <w:right w:val="nil"/>
            </w:tcBorders>
            <w:vAlign w:val="center"/>
            <w:hideMark/>
          </w:tcPr>
          <w:p w14:paraId="368E2376" w14:textId="77777777" w:rsidR="00442CE7" w:rsidRPr="009E4A22" w:rsidRDefault="00000000" w:rsidP="009E4A22">
            <w:pPr>
              <w:spacing w:line="240" w:lineRule="auto"/>
              <w:ind w:firstLine="0"/>
              <w:rPr>
                <w:rFonts w:eastAsia="MS Mincho"/>
                <w:sz w:val="20"/>
                <w:szCs w:val="20"/>
              </w:rPr>
            </w:pPr>
            <w:r w:rsidRPr="009E4A22">
              <w:rPr>
                <w:rFonts w:eastAsia="MS Mincho"/>
                <w:sz w:val="20"/>
                <w:szCs w:val="20"/>
              </w:rPr>
              <w:t>Vahey et al. (2015)</w:t>
            </w:r>
          </w:p>
        </w:tc>
        <w:tc>
          <w:tcPr>
            <w:tcW w:w="538" w:type="dxa"/>
            <w:tcBorders>
              <w:top w:val="single" w:sz="4" w:space="0" w:color="auto"/>
              <w:left w:val="nil"/>
              <w:bottom w:val="nil"/>
              <w:right w:val="nil"/>
            </w:tcBorders>
            <w:shd w:val="clear" w:color="auto" w:fill="D9D9D9"/>
            <w:vAlign w:val="center"/>
            <w:hideMark/>
          </w:tcPr>
          <w:p w14:paraId="05F34960" w14:textId="77777777" w:rsidR="00442CE7" w:rsidRPr="009E4A22" w:rsidRDefault="00000000" w:rsidP="009E4A22">
            <w:pPr>
              <w:spacing w:line="240" w:lineRule="auto"/>
              <w:ind w:firstLine="0"/>
              <w:jc w:val="center"/>
              <w:rPr>
                <w:rFonts w:eastAsia="MS Mincho"/>
                <w:sz w:val="20"/>
                <w:szCs w:val="20"/>
              </w:rPr>
            </w:pPr>
            <w:r w:rsidRPr="009E4A22">
              <w:rPr>
                <w:rFonts w:eastAsia="MS Mincho"/>
                <w:sz w:val="20"/>
                <w:szCs w:val="20"/>
              </w:rPr>
              <w:t>Yes</w:t>
            </w:r>
          </w:p>
        </w:tc>
        <w:tc>
          <w:tcPr>
            <w:tcW w:w="538" w:type="dxa"/>
            <w:tcBorders>
              <w:top w:val="single" w:sz="4" w:space="0" w:color="auto"/>
              <w:left w:val="nil"/>
              <w:bottom w:val="nil"/>
              <w:right w:val="nil"/>
            </w:tcBorders>
            <w:shd w:val="clear" w:color="auto" w:fill="D9D9D9"/>
            <w:vAlign w:val="center"/>
            <w:hideMark/>
          </w:tcPr>
          <w:p w14:paraId="6152A3BE" w14:textId="77777777" w:rsidR="00442CE7" w:rsidRPr="009E4A22" w:rsidRDefault="00000000" w:rsidP="009E4A22">
            <w:pPr>
              <w:spacing w:line="240" w:lineRule="auto"/>
              <w:ind w:firstLine="0"/>
              <w:jc w:val="center"/>
              <w:rPr>
                <w:rFonts w:eastAsia="MS Mincho"/>
                <w:sz w:val="20"/>
                <w:szCs w:val="20"/>
              </w:rPr>
            </w:pPr>
            <w:r w:rsidRPr="009E4A22">
              <w:rPr>
                <w:rFonts w:eastAsia="MS Mincho"/>
                <w:sz w:val="20"/>
                <w:szCs w:val="20"/>
              </w:rPr>
              <w:t>Yes</w:t>
            </w:r>
          </w:p>
        </w:tc>
        <w:tc>
          <w:tcPr>
            <w:tcW w:w="717" w:type="dxa"/>
            <w:tcBorders>
              <w:top w:val="single" w:sz="4" w:space="0" w:color="auto"/>
              <w:left w:val="nil"/>
              <w:bottom w:val="nil"/>
              <w:right w:val="nil"/>
            </w:tcBorders>
            <w:shd w:val="clear" w:color="auto" w:fill="D9D9D9"/>
            <w:noWrap/>
            <w:vAlign w:val="center"/>
            <w:hideMark/>
          </w:tcPr>
          <w:p w14:paraId="3A608EE2" w14:textId="77777777" w:rsidR="00442CE7" w:rsidRPr="009E4A22" w:rsidRDefault="00000000" w:rsidP="009E4A22">
            <w:pPr>
              <w:spacing w:line="240" w:lineRule="auto"/>
              <w:ind w:firstLine="0"/>
              <w:jc w:val="center"/>
              <w:rPr>
                <w:rFonts w:eastAsia="MS Mincho"/>
                <w:sz w:val="20"/>
                <w:szCs w:val="20"/>
              </w:rPr>
            </w:pPr>
            <w:r w:rsidRPr="009E4A22">
              <w:rPr>
                <w:rFonts w:eastAsia="MS Mincho"/>
                <w:sz w:val="20"/>
                <w:szCs w:val="20"/>
              </w:rPr>
              <w:t>Yes</w:t>
            </w:r>
          </w:p>
        </w:tc>
        <w:tc>
          <w:tcPr>
            <w:tcW w:w="2808" w:type="dxa"/>
            <w:tcBorders>
              <w:top w:val="single" w:sz="4" w:space="0" w:color="auto"/>
              <w:left w:val="nil"/>
              <w:bottom w:val="nil"/>
              <w:right w:val="nil"/>
            </w:tcBorders>
            <w:shd w:val="clear" w:color="auto" w:fill="D9D9D9"/>
            <w:vAlign w:val="center"/>
          </w:tcPr>
          <w:p w14:paraId="25564C4B" w14:textId="46C878B8" w:rsidR="00442CE7" w:rsidRPr="009E4A22" w:rsidRDefault="00000000" w:rsidP="009E4A22">
            <w:pPr>
              <w:spacing w:line="240" w:lineRule="auto"/>
              <w:ind w:firstLine="0"/>
              <w:jc w:val="center"/>
              <w:rPr>
                <w:rFonts w:eastAsia="MS Mincho"/>
                <w:sz w:val="20"/>
                <w:szCs w:val="20"/>
              </w:rPr>
            </w:pPr>
            <w:r w:rsidRPr="009E4A22">
              <w:rPr>
                <w:rFonts w:eastAsia="MS Mincho"/>
                <w:sz w:val="20"/>
                <w:szCs w:val="20"/>
              </w:rPr>
              <w:t>Likely</w:t>
            </w:r>
          </w:p>
          <w:p w14:paraId="7AB9AB11" w14:textId="77777777" w:rsidR="00442CE7" w:rsidRPr="009E4A22" w:rsidRDefault="00000000" w:rsidP="009E4A22">
            <w:pPr>
              <w:spacing w:line="240" w:lineRule="auto"/>
              <w:ind w:firstLine="0"/>
              <w:jc w:val="center"/>
              <w:rPr>
                <w:rFonts w:eastAsia="MS Mincho"/>
                <w:sz w:val="20"/>
                <w:szCs w:val="20"/>
              </w:rPr>
            </w:pPr>
            <w:r w:rsidRPr="009E4A22">
              <w:rPr>
                <w:rFonts w:eastAsia="MS Mincho"/>
                <w:sz w:val="20"/>
                <w:szCs w:val="20"/>
              </w:rPr>
              <w:t xml:space="preserve">Fisher’s </w:t>
            </w:r>
            <w:r w:rsidRPr="009E4A22">
              <w:rPr>
                <w:rFonts w:eastAsia="MS Mincho"/>
                <w:i/>
                <w:iCs/>
                <w:sz w:val="20"/>
                <w:szCs w:val="20"/>
              </w:rPr>
              <w:t>r</w:t>
            </w:r>
            <w:r w:rsidRPr="009E4A22">
              <w:rPr>
                <w:rFonts w:eastAsia="MS Mincho"/>
                <w:sz w:val="20"/>
                <w:szCs w:val="20"/>
              </w:rPr>
              <w:t>-to-</w:t>
            </w:r>
            <w:r w:rsidRPr="009E4A22">
              <w:rPr>
                <w:rFonts w:eastAsia="MS Mincho"/>
                <w:i/>
                <w:iCs/>
                <w:sz w:val="20"/>
                <w:szCs w:val="20"/>
              </w:rPr>
              <w:t>z</w:t>
            </w:r>
            <w:r w:rsidRPr="009E4A22">
              <w:rPr>
                <w:rFonts w:eastAsia="MS Mincho"/>
                <w:sz w:val="20"/>
                <w:szCs w:val="20"/>
              </w:rPr>
              <w:t>*</w:t>
            </w:r>
          </w:p>
        </w:tc>
        <w:tc>
          <w:tcPr>
            <w:tcW w:w="1800" w:type="dxa"/>
            <w:tcBorders>
              <w:top w:val="single" w:sz="4" w:space="0" w:color="auto"/>
              <w:left w:val="nil"/>
              <w:bottom w:val="nil"/>
              <w:right w:val="nil"/>
            </w:tcBorders>
            <w:shd w:val="clear" w:color="auto" w:fill="D9D9D9"/>
            <w:vAlign w:val="center"/>
          </w:tcPr>
          <w:p w14:paraId="3FE49281" w14:textId="77777777" w:rsidR="00442CE7" w:rsidRPr="009E4A22" w:rsidRDefault="00000000" w:rsidP="009E4A22">
            <w:pPr>
              <w:spacing w:line="240" w:lineRule="auto"/>
              <w:ind w:firstLine="0"/>
              <w:jc w:val="center"/>
              <w:rPr>
                <w:rFonts w:eastAsia="MS Mincho"/>
                <w:sz w:val="20"/>
                <w:szCs w:val="20"/>
              </w:rPr>
            </w:pPr>
            <w:r w:rsidRPr="009E4A22">
              <w:rPr>
                <w:rFonts w:eastAsia="MS Mincho"/>
                <w:sz w:val="20"/>
                <w:szCs w:val="20"/>
              </w:rPr>
              <w:t>No</w:t>
            </w:r>
          </w:p>
        </w:tc>
      </w:tr>
      <w:tr w:rsidR="00AA6907" w:rsidRPr="009E4A22" w14:paraId="13C30C7A" w14:textId="77777777" w:rsidTr="009E4A22">
        <w:trPr>
          <w:trHeight w:val="550"/>
          <w:jc w:val="center"/>
        </w:trPr>
        <w:tc>
          <w:tcPr>
            <w:tcW w:w="6559" w:type="dxa"/>
            <w:tcBorders>
              <w:top w:val="nil"/>
              <w:left w:val="nil"/>
              <w:bottom w:val="nil"/>
              <w:right w:val="nil"/>
            </w:tcBorders>
            <w:vAlign w:val="center"/>
            <w:hideMark/>
          </w:tcPr>
          <w:p w14:paraId="11F64535" w14:textId="77777777" w:rsidR="00442CE7" w:rsidRPr="009E4A22" w:rsidRDefault="00000000" w:rsidP="009E4A22">
            <w:pPr>
              <w:spacing w:line="240" w:lineRule="auto"/>
              <w:ind w:firstLine="0"/>
              <w:rPr>
                <w:rFonts w:eastAsia="MS Mincho"/>
                <w:sz w:val="20"/>
                <w:szCs w:val="20"/>
              </w:rPr>
            </w:pPr>
            <w:r w:rsidRPr="009E4A22">
              <w:rPr>
                <w:rFonts w:eastAsia="MS Mincho"/>
                <w:sz w:val="20"/>
                <w:szCs w:val="20"/>
              </w:rPr>
              <w:t>Hunter &amp; Schmidt meta-analysis via Field’s “h_s_syntax.sps”</w:t>
            </w:r>
          </w:p>
        </w:tc>
        <w:tc>
          <w:tcPr>
            <w:tcW w:w="538" w:type="dxa"/>
            <w:tcBorders>
              <w:top w:val="nil"/>
              <w:left w:val="nil"/>
              <w:bottom w:val="nil"/>
              <w:right w:val="nil"/>
            </w:tcBorders>
            <w:shd w:val="clear" w:color="auto" w:fill="D9D9D9"/>
            <w:vAlign w:val="center"/>
            <w:hideMark/>
          </w:tcPr>
          <w:p w14:paraId="2FC9C311" w14:textId="77777777" w:rsidR="00442CE7" w:rsidRPr="009E4A22" w:rsidRDefault="00000000" w:rsidP="009E4A22">
            <w:pPr>
              <w:spacing w:line="240" w:lineRule="auto"/>
              <w:ind w:firstLine="0"/>
              <w:jc w:val="center"/>
              <w:rPr>
                <w:rFonts w:eastAsia="MS Mincho"/>
                <w:sz w:val="20"/>
                <w:szCs w:val="20"/>
              </w:rPr>
            </w:pPr>
            <w:r w:rsidRPr="009E4A22">
              <w:rPr>
                <w:rFonts w:eastAsia="MS Mincho"/>
                <w:sz w:val="20"/>
                <w:szCs w:val="20"/>
              </w:rPr>
              <w:t>Yes</w:t>
            </w:r>
          </w:p>
        </w:tc>
        <w:tc>
          <w:tcPr>
            <w:tcW w:w="538" w:type="dxa"/>
            <w:tcBorders>
              <w:top w:val="nil"/>
              <w:left w:val="nil"/>
              <w:bottom w:val="nil"/>
              <w:right w:val="nil"/>
            </w:tcBorders>
            <w:shd w:val="clear" w:color="auto" w:fill="D9D9D9"/>
            <w:vAlign w:val="center"/>
            <w:hideMark/>
          </w:tcPr>
          <w:p w14:paraId="6A4D4195" w14:textId="77777777" w:rsidR="00442CE7" w:rsidRPr="009E4A22" w:rsidRDefault="00000000" w:rsidP="009E4A22">
            <w:pPr>
              <w:spacing w:line="240" w:lineRule="auto"/>
              <w:ind w:firstLine="0"/>
              <w:jc w:val="center"/>
              <w:rPr>
                <w:rFonts w:eastAsia="MS Mincho"/>
                <w:sz w:val="20"/>
                <w:szCs w:val="20"/>
              </w:rPr>
            </w:pPr>
            <w:r w:rsidRPr="009E4A22">
              <w:rPr>
                <w:rFonts w:eastAsia="MS Mincho"/>
                <w:sz w:val="20"/>
                <w:szCs w:val="20"/>
              </w:rPr>
              <w:t>Yes</w:t>
            </w:r>
          </w:p>
        </w:tc>
        <w:tc>
          <w:tcPr>
            <w:tcW w:w="717" w:type="dxa"/>
            <w:tcBorders>
              <w:top w:val="nil"/>
              <w:left w:val="nil"/>
              <w:bottom w:val="nil"/>
              <w:right w:val="nil"/>
            </w:tcBorders>
            <w:shd w:val="clear" w:color="auto" w:fill="D9D9D9"/>
            <w:noWrap/>
            <w:vAlign w:val="center"/>
            <w:hideMark/>
          </w:tcPr>
          <w:p w14:paraId="30D9EC3D" w14:textId="77777777" w:rsidR="00442CE7" w:rsidRPr="009E4A22" w:rsidRDefault="00000000" w:rsidP="009E4A22">
            <w:pPr>
              <w:spacing w:line="240" w:lineRule="auto"/>
              <w:ind w:firstLine="0"/>
              <w:jc w:val="center"/>
              <w:rPr>
                <w:rFonts w:eastAsia="MS Mincho"/>
                <w:sz w:val="20"/>
                <w:szCs w:val="20"/>
              </w:rPr>
            </w:pPr>
            <w:r w:rsidRPr="009E4A22">
              <w:rPr>
                <w:rFonts w:eastAsia="MS Mincho"/>
                <w:sz w:val="20"/>
                <w:szCs w:val="20"/>
              </w:rPr>
              <w:t>Yes</w:t>
            </w:r>
          </w:p>
        </w:tc>
        <w:tc>
          <w:tcPr>
            <w:tcW w:w="2808" w:type="dxa"/>
            <w:tcBorders>
              <w:top w:val="nil"/>
              <w:left w:val="nil"/>
              <w:bottom w:val="nil"/>
              <w:right w:val="nil"/>
            </w:tcBorders>
            <w:shd w:val="clear" w:color="auto" w:fill="auto"/>
            <w:vAlign w:val="center"/>
          </w:tcPr>
          <w:p w14:paraId="3348A459" w14:textId="77777777" w:rsidR="00442CE7" w:rsidRPr="009E4A22" w:rsidRDefault="00000000" w:rsidP="009E4A22">
            <w:pPr>
              <w:spacing w:line="240" w:lineRule="auto"/>
              <w:ind w:firstLine="0"/>
              <w:jc w:val="center"/>
              <w:rPr>
                <w:rFonts w:eastAsia="MS Mincho"/>
                <w:sz w:val="20"/>
                <w:szCs w:val="20"/>
                <w:highlight w:val="yellow"/>
              </w:rPr>
            </w:pPr>
            <w:r w:rsidRPr="009E4A22">
              <w:rPr>
                <w:rFonts w:eastAsia="MS Mincho"/>
                <w:sz w:val="20"/>
                <w:szCs w:val="20"/>
              </w:rPr>
              <w:t>No</w:t>
            </w:r>
          </w:p>
        </w:tc>
        <w:tc>
          <w:tcPr>
            <w:tcW w:w="1800" w:type="dxa"/>
            <w:tcBorders>
              <w:top w:val="nil"/>
              <w:left w:val="nil"/>
              <w:bottom w:val="nil"/>
              <w:right w:val="nil"/>
            </w:tcBorders>
            <w:vAlign w:val="center"/>
          </w:tcPr>
          <w:p w14:paraId="04D5A90D" w14:textId="77777777" w:rsidR="00442CE7" w:rsidRPr="009E4A22" w:rsidRDefault="00000000" w:rsidP="009E4A22">
            <w:pPr>
              <w:spacing w:line="240" w:lineRule="auto"/>
              <w:ind w:firstLine="0"/>
              <w:jc w:val="center"/>
              <w:rPr>
                <w:rFonts w:eastAsia="MS Mincho"/>
                <w:sz w:val="20"/>
                <w:szCs w:val="20"/>
              </w:rPr>
            </w:pPr>
            <w:r w:rsidRPr="009E4A22">
              <w:rPr>
                <w:rFonts w:eastAsia="MS Mincho"/>
                <w:sz w:val="20"/>
                <w:szCs w:val="20"/>
              </w:rPr>
              <w:t>Yes</w:t>
            </w:r>
          </w:p>
        </w:tc>
      </w:tr>
      <w:tr w:rsidR="00AA6907" w:rsidRPr="009E4A22" w14:paraId="0B5483F5" w14:textId="77777777" w:rsidTr="009E4A22">
        <w:trPr>
          <w:trHeight w:val="756"/>
          <w:jc w:val="center"/>
        </w:trPr>
        <w:tc>
          <w:tcPr>
            <w:tcW w:w="6559" w:type="dxa"/>
            <w:tcBorders>
              <w:top w:val="nil"/>
              <w:left w:val="nil"/>
              <w:bottom w:val="nil"/>
              <w:right w:val="nil"/>
            </w:tcBorders>
            <w:vAlign w:val="center"/>
            <w:hideMark/>
          </w:tcPr>
          <w:p w14:paraId="3CC25300" w14:textId="77777777" w:rsidR="00442CE7" w:rsidRPr="009E4A22" w:rsidRDefault="00000000" w:rsidP="009E4A22">
            <w:pPr>
              <w:spacing w:line="240" w:lineRule="auto"/>
              <w:ind w:firstLine="0"/>
              <w:rPr>
                <w:rFonts w:eastAsia="MS Mincho"/>
                <w:sz w:val="20"/>
                <w:szCs w:val="20"/>
              </w:rPr>
            </w:pPr>
            <w:r w:rsidRPr="009E4A22">
              <w:rPr>
                <w:rFonts w:eastAsia="MS Mincho"/>
                <w:sz w:val="20"/>
                <w:szCs w:val="20"/>
              </w:rPr>
              <w:t>Hunter &amp; Schmidt meta-analysis via Field’s “Meta_Basic_r.sps”</w:t>
            </w:r>
          </w:p>
        </w:tc>
        <w:tc>
          <w:tcPr>
            <w:tcW w:w="538" w:type="dxa"/>
            <w:tcBorders>
              <w:top w:val="nil"/>
              <w:left w:val="nil"/>
              <w:bottom w:val="nil"/>
              <w:right w:val="nil"/>
            </w:tcBorders>
            <w:shd w:val="clear" w:color="auto" w:fill="D9D9D9"/>
            <w:vAlign w:val="center"/>
            <w:hideMark/>
          </w:tcPr>
          <w:p w14:paraId="05F70710" w14:textId="77777777" w:rsidR="00442CE7" w:rsidRPr="009E4A22" w:rsidRDefault="00000000" w:rsidP="009E4A22">
            <w:pPr>
              <w:spacing w:line="240" w:lineRule="auto"/>
              <w:ind w:firstLine="0"/>
              <w:jc w:val="center"/>
              <w:rPr>
                <w:rFonts w:eastAsia="MS Mincho"/>
                <w:sz w:val="20"/>
                <w:szCs w:val="20"/>
              </w:rPr>
            </w:pPr>
            <w:r w:rsidRPr="009E4A22">
              <w:rPr>
                <w:rFonts w:eastAsia="MS Mincho"/>
                <w:sz w:val="20"/>
                <w:szCs w:val="20"/>
              </w:rPr>
              <w:t>Yes</w:t>
            </w:r>
          </w:p>
        </w:tc>
        <w:tc>
          <w:tcPr>
            <w:tcW w:w="538" w:type="dxa"/>
            <w:tcBorders>
              <w:top w:val="nil"/>
              <w:left w:val="nil"/>
              <w:bottom w:val="nil"/>
              <w:right w:val="nil"/>
            </w:tcBorders>
            <w:vAlign w:val="center"/>
            <w:hideMark/>
          </w:tcPr>
          <w:p w14:paraId="70D69F0A" w14:textId="77777777" w:rsidR="00442CE7" w:rsidRPr="009E4A22" w:rsidRDefault="00000000" w:rsidP="009E4A22">
            <w:pPr>
              <w:spacing w:line="240" w:lineRule="auto"/>
              <w:ind w:firstLine="0"/>
              <w:jc w:val="center"/>
              <w:rPr>
                <w:rFonts w:eastAsia="MS Mincho"/>
                <w:sz w:val="20"/>
                <w:szCs w:val="20"/>
              </w:rPr>
            </w:pPr>
            <w:r w:rsidRPr="009E4A22">
              <w:rPr>
                <w:rFonts w:eastAsia="MS Mincho"/>
                <w:sz w:val="20"/>
                <w:szCs w:val="20"/>
              </w:rPr>
              <w:t>No</w:t>
            </w:r>
          </w:p>
        </w:tc>
        <w:tc>
          <w:tcPr>
            <w:tcW w:w="717" w:type="dxa"/>
            <w:tcBorders>
              <w:top w:val="nil"/>
              <w:left w:val="nil"/>
              <w:bottom w:val="nil"/>
              <w:right w:val="nil"/>
            </w:tcBorders>
            <w:shd w:val="clear" w:color="auto" w:fill="D9D9D9"/>
            <w:noWrap/>
            <w:vAlign w:val="center"/>
            <w:hideMark/>
          </w:tcPr>
          <w:p w14:paraId="74A0459B" w14:textId="77777777" w:rsidR="00442CE7" w:rsidRPr="009E4A22" w:rsidRDefault="00000000" w:rsidP="009E4A22">
            <w:pPr>
              <w:spacing w:line="240" w:lineRule="auto"/>
              <w:ind w:firstLine="0"/>
              <w:jc w:val="center"/>
              <w:rPr>
                <w:rFonts w:eastAsia="MS Mincho"/>
                <w:sz w:val="20"/>
                <w:szCs w:val="20"/>
              </w:rPr>
            </w:pPr>
            <w:r w:rsidRPr="009E4A22">
              <w:rPr>
                <w:rFonts w:eastAsia="MS Mincho"/>
                <w:sz w:val="20"/>
                <w:szCs w:val="20"/>
              </w:rPr>
              <w:t>Yes</w:t>
            </w:r>
          </w:p>
        </w:tc>
        <w:tc>
          <w:tcPr>
            <w:tcW w:w="2808" w:type="dxa"/>
            <w:tcBorders>
              <w:top w:val="nil"/>
              <w:left w:val="nil"/>
              <w:bottom w:val="nil"/>
              <w:right w:val="nil"/>
            </w:tcBorders>
            <w:shd w:val="clear" w:color="auto" w:fill="auto"/>
            <w:vAlign w:val="center"/>
          </w:tcPr>
          <w:p w14:paraId="439B38A1" w14:textId="77777777" w:rsidR="00442CE7" w:rsidRPr="009E4A22" w:rsidRDefault="00000000" w:rsidP="009E4A22">
            <w:pPr>
              <w:spacing w:line="240" w:lineRule="auto"/>
              <w:ind w:firstLine="0"/>
              <w:jc w:val="center"/>
              <w:rPr>
                <w:rFonts w:eastAsia="MS Mincho"/>
                <w:sz w:val="20"/>
                <w:szCs w:val="20"/>
              </w:rPr>
            </w:pPr>
            <w:r w:rsidRPr="009E4A22">
              <w:rPr>
                <w:rFonts w:eastAsia="MS Mincho"/>
                <w:sz w:val="20"/>
                <w:szCs w:val="20"/>
              </w:rPr>
              <w:t>Overton corrections,</w:t>
            </w:r>
          </w:p>
          <w:p w14:paraId="34D852EE" w14:textId="77777777" w:rsidR="00442CE7" w:rsidRPr="009E4A22" w:rsidRDefault="00000000" w:rsidP="009E4A22">
            <w:pPr>
              <w:spacing w:line="240" w:lineRule="auto"/>
              <w:ind w:firstLine="0"/>
              <w:jc w:val="center"/>
              <w:rPr>
                <w:rFonts w:eastAsia="MS Mincho"/>
                <w:sz w:val="20"/>
                <w:szCs w:val="20"/>
              </w:rPr>
            </w:pPr>
            <w:r w:rsidRPr="009E4A22">
              <w:rPr>
                <w:rFonts w:eastAsia="MS Mincho"/>
                <w:sz w:val="20"/>
                <w:szCs w:val="20"/>
              </w:rPr>
              <w:t xml:space="preserve">Fisher’s </w:t>
            </w:r>
            <w:r w:rsidRPr="009E4A22">
              <w:rPr>
                <w:rFonts w:eastAsia="MS Mincho"/>
                <w:i/>
                <w:iCs/>
                <w:sz w:val="20"/>
                <w:szCs w:val="20"/>
              </w:rPr>
              <w:t>r</w:t>
            </w:r>
            <w:r w:rsidRPr="009E4A22">
              <w:rPr>
                <w:rFonts w:eastAsia="MS Mincho"/>
                <w:sz w:val="20"/>
                <w:szCs w:val="20"/>
              </w:rPr>
              <w:t>-to-</w:t>
            </w:r>
            <w:r w:rsidRPr="009E4A22">
              <w:rPr>
                <w:rFonts w:eastAsia="MS Mincho"/>
                <w:i/>
                <w:iCs/>
                <w:sz w:val="20"/>
                <w:szCs w:val="20"/>
              </w:rPr>
              <w:t>z</w:t>
            </w:r>
            <w:r w:rsidRPr="009E4A22">
              <w:rPr>
                <w:rFonts w:eastAsia="MS Mincho"/>
                <w:sz w:val="20"/>
                <w:szCs w:val="20"/>
              </w:rPr>
              <w:t xml:space="preserve"> for </w:t>
            </w:r>
            <m:oMath>
              <m:acc>
                <m:accPr>
                  <m:chr m:val="̅"/>
                  <m:ctrlPr>
                    <w:rPr>
                      <w:rFonts w:ascii="Cambria Math" w:eastAsia="MS Mincho" w:hAnsi="Cambria Math"/>
                      <w:sz w:val="20"/>
                      <w:szCs w:val="20"/>
                    </w:rPr>
                  </m:ctrlPr>
                </m:accPr>
                <m:e>
                  <m:r>
                    <w:rPr>
                      <w:rFonts w:ascii="Cambria Math" w:eastAsia="MS Mincho" w:hAnsi="Cambria Math"/>
                      <w:sz w:val="20"/>
                      <w:szCs w:val="20"/>
                    </w:rPr>
                    <m:t>r</m:t>
                  </m:r>
                </m:e>
              </m:acc>
            </m:oMath>
            <w:r w:rsidRPr="009E4A22">
              <w:rPr>
                <w:rFonts w:eastAsia="MS Mincho"/>
                <w:sz w:val="20"/>
                <w:szCs w:val="20"/>
              </w:rPr>
              <w:t xml:space="preserve"> but not CRs</w:t>
            </w:r>
          </w:p>
        </w:tc>
        <w:tc>
          <w:tcPr>
            <w:tcW w:w="1800" w:type="dxa"/>
            <w:tcBorders>
              <w:top w:val="nil"/>
              <w:left w:val="nil"/>
              <w:bottom w:val="nil"/>
              <w:right w:val="nil"/>
            </w:tcBorders>
            <w:shd w:val="clear" w:color="auto" w:fill="D9D9D9"/>
            <w:vAlign w:val="center"/>
          </w:tcPr>
          <w:p w14:paraId="69F23127" w14:textId="77777777" w:rsidR="00442CE7" w:rsidRPr="009E4A22" w:rsidRDefault="00000000" w:rsidP="009E4A22">
            <w:pPr>
              <w:spacing w:line="240" w:lineRule="auto"/>
              <w:ind w:firstLine="0"/>
              <w:jc w:val="center"/>
              <w:rPr>
                <w:rFonts w:eastAsia="MS Mincho"/>
                <w:sz w:val="20"/>
                <w:szCs w:val="20"/>
              </w:rPr>
            </w:pPr>
            <w:r w:rsidRPr="009E4A22">
              <w:rPr>
                <w:rFonts w:eastAsia="MS Mincho"/>
                <w:sz w:val="20"/>
                <w:szCs w:val="20"/>
              </w:rPr>
              <w:t>No</w:t>
            </w:r>
          </w:p>
        </w:tc>
      </w:tr>
      <w:tr w:rsidR="00AA6907" w:rsidRPr="009E4A22" w14:paraId="06FD9358" w14:textId="77777777" w:rsidTr="009E4A22">
        <w:trPr>
          <w:trHeight w:val="756"/>
          <w:jc w:val="center"/>
        </w:trPr>
        <w:tc>
          <w:tcPr>
            <w:tcW w:w="6559" w:type="dxa"/>
            <w:tcBorders>
              <w:top w:val="nil"/>
              <w:left w:val="nil"/>
              <w:bottom w:val="nil"/>
              <w:right w:val="nil"/>
            </w:tcBorders>
            <w:vAlign w:val="center"/>
          </w:tcPr>
          <w:p w14:paraId="4456F8DD" w14:textId="77777777" w:rsidR="00442CE7" w:rsidRPr="009E4A22" w:rsidRDefault="00000000" w:rsidP="009E4A22">
            <w:pPr>
              <w:spacing w:line="240" w:lineRule="auto"/>
              <w:ind w:firstLine="0"/>
              <w:rPr>
                <w:rFonts w:eastAsia="MS Mincho"/>
                <w:sz w:val="20"/>
                <w:szCs w:val="20"/>
              </w:rPr>
            </w:pPr>
            <w:r w:rsidRPr="009E4A22">
              <w:rPr>
                <w:rFonts w:eastAsia="MS Mincho"/>
                <w:sz w:val="20"/>
                <w:szCs w:val="20"/>
              </w:rPr>
              <w:t>Hedges and colleagues meta-analysis via Field’s “Meta_Basic_r.sps”</w:t>
            </w:r>
          </w:p>
        </w:tc>
        <w:tc>
          <w:tcPr>
            <w:tcW w:w="538" w:type="dxa"/>
            <w:tcBorders>
              <w:top w:val="nil"/>
              <w:left w:val="nil"/>
              <w:bottom w:val="nil"/>
              <w:right w:val="nil"/>
            </w:tcBorders>
            <w:shd w:val="clear" w:color="auto" w:fill="D9D9D9"/>
            <w:vAlign w:val="center"/>
          </w:tcPr>
          <w:p w14:paraId="57960C3A" w14:textId="77777777" w:rsidR="00442CE7" w:rsidRPr="009E4A22" w:rsidRDefault="00000000" w:rsidP="009E4A22">
            <w:pPr>
              <w:spacing w:line="240" w:lineRule="auto"/>
              <w:ind w:firstLine="0"/>
              <w:jc w:val="center"/>
              <w:rPr>
                <w:rFonts w:eastAsia="MS Mincho"/>
                <w:sz w:val="20"/>
                <w:szCs w:val="20"/>
              </w:rPr>
            </w:pPr>
            <w:r w:rsidRPr="009E4A22">
              <w:rPr>
                <w:rFonts w:eastAsia="MS Mincho"/>
                <w:sz w:val="20"/>
                <w:szCs w:val="20"/>
              </w:rPr>
              <w:t>Yes</w:t>
            </w:r>
          </w:p>
        </w:tc>
        <w:tc>
          <w:tcPr>
            <w:tcW w:w="538" w:type="dxa"/>
            <w:tcBorders>
              <w:top w:val="nil"/>
              <w:left w:val="nil"/>
              <w:bottom w:val="nil"/>
              <w:right w:val="nil"/>
            </w:tcBorders>
            <w:shd w:val="clear" w:color="auto" w:fill="D9D9D9"/>
            <w:vAlign w:val="center"/>
          </w:tcPr>
          <w:p w14:paraId="325FF406" w14:textId="77777777" w:rsidR="00442CE7" w:rsidRPr="009E4A22" w:rsidRDefault="00000000" w:rsidP="009E4A22">
            <w:pPr>
              <w:spacing w:line="240" w:lineRule="auto"/>
              <w:ind w:firstLine="0"/>
              <w:jc w:val="center"/>
              <w:rPr>
                <w:rFonts w:eastAsia="MS Mincho"/>
                <w:sz w:val="20"/>
                <w:szCs w:val="20"/>
              </w:rPr>
            </w:pPr>
            <w:r w:rsidRPr="009E4A22">
              <w:rPr>
                <w:rFonts w:eastAsia="MS Mincho"/>
                <w:sz w:val="20"/>
                <w:szCs w:val="20"/>
              </w:rPr>
              <w:t>Yes</w:t>
            </w:r>
          </w:p>
        </w:tc>
        <w:tc>
          <w:tcPr>
            <w:tcW w:w="717" w:type="dxa"/>
            <w:tcBorders>
              <w:top w:val="nil"/>
              <w:left w:val="nil"/>
              <w:bottom w:val="nil"/>
              <w:right w:val="nil"/>
            </w:tcBorders>
            <w:shd w:val="clear" w:color="auto" w:fill="auto"/>
            <w:noWrap/>
            <w:vAlign w:val="center"/>
          </w:tcPr>
          <w:p w14:paraId="262153B0" w14:textId="77777777" w:rsidR="00442CE7" w:rsidRPr="009E4A22" w:rsidRDefault="00000000" w:rsidP="009E4A22">
            <w:pPr>
              <w:spacing w:line="240" w:lineRule="auto"/>
              <w:ind w:firstLine="0"/>
              <w:jc w:val="center"/>
              <w:rPr>
                <w:rFonts w:eastAsia="MS Mincho"/>
                <w:sz w:val="20"/>
                <w:szCs w:val="20"/>
              </w:rPr>
            </w:pPr>
            <w:r w:rsidRPr="009E4A22">
              <w:rPr>
                <w:rFonts w:eastAsia="MS Mincho"/>
                <w:sz w:val="20"/>
                <w:szCs w:val="20"/>
              </w:rPr>
              <w:t>No</w:t>
            </w:r>
          </w:p>
        </w:tc>
        <w:tc>
          <w:tcPr>
            <w:tcW w:w="2808" w:type="dxa"/>
            <w:tcBorders>
              <w:top w:val="nil"/>
              <w:left w:val="nil"/>
              <w:bottom w:val="nil"/>
              <w:right w:val="nil"/>
            </w:tcBorders>
            <w:shd w:val="clear" w:color="auto" w:fill="auto"/>
            <w:vAlign w:val="center"/>
          </w:tcPr>
          <w:p w14:paraId="679441AE" w14:textId="77777777" w:rsidR="00442CE7" w:rsidRPr="009E4A22" w:rsidRDefault="00000000" w:rsidP="009E4A22">
            <w:pPr>
              <w:spacing w:line="240" w:lineRule="auto"/>
              <w:ind w:firstLine="0"/>
              <w:jc w:val="center"/>
              <w:rPr>
                <w:rFonts w:eastAsia="MS Mincho"/>
                <w:sz w:val="20"/>
                <w:szCs w:val="20"/>
              </w:rPr>
            </w:pPr>
            <w:r w:rsidRPr="009E4A22">
              <w:rPr>
                <w:rFonts w:eastAsia="MS Mincho"/>
                <w:sz w:val="20"/>
                <w:szCs w:val="20"/>
              </w:rPr>
              <w:t>Overton corrections,</w:t>
            </w:r>
          </w:p>
          <w:p w14:paraId="3DA899A3" w14:textId="77777777" w:rsidR="00442CE7" w:rsidRPr="009E4A22" w:rsidRDefault="00000000" w:rsidP="009E4A22">
            <w:pPr>
              <w:spacing w:line="240" w:lineRule="auto"/>
              <w:ind w:firstLine="0"/>
              <w:jc w:val="center"/>
              <w:rPr>
                <w:rFonts w:eastAsia="MS Mincho"/>
                <w:sz w:val="20"/>
                <w:szCs w:val="20"/>
              </w:rPr>
            </w:pPr>
            <w:r w:rsidRPr="009E4A22">
              <w:rPr>
                <w:rFonts w:eastAsia="MS Mincho"/>
                <w:sz w:val="20"/>
                <w:szCs w:val="20"/>
              </w:rPr>
              <w:t xml:space="preserve">Fisher’s </w:t>
            </w:r>
            <w:r w:rsidRPr="009E4A22">
              <w:rPr>
                <w:rFonts w:eastAsia="MS Mincho"/>
                <w:i/>
                <w:iCs/>
                <w:sz w:val="20"/>
                <w:szCs w:val="20"/>
              </w:rPr>
              <w:t>r</w:t>
            </w:r>
            <w:r w:rsidRPr="009E4A22">
              <w:rPr>
                <w:rFonts w:eastAsia="MS Mincho"/>
                <w:sz w:val="20"/>
                <w:szCs w:val="20"/>
              </w:rPr>
              <w:t>-to-</w:t>
            </w:r>
            <w:r w:rsidRPr="009E4A22">
              <w:rPr>
                <w:rFonts w:eastAsia="MS Mincho"/>
                <w:i/>
                <w:iCs/>
                <w:sz w:val="20"/>
                <w:szCs w:val="20"/>
              </w:rPr>
              <w:t>z</w:t>
            </w:r>
          </w:p>
        </w:tc>
        <w:tc>
          <w:tcPr>
            <w:tcW w:w="1800" w:type="dxa"/>
            <w:tcBorders>
              <w:top w:val="nil"/>
              <w:left w:val="nil"/>
              <w:bottom w:val="nil"/>
              <w:right w:val="nil"/>
            </w:tcBorders>
            <w:shd w:val="clear" w:color="auto" w:fill="D9D9D9"/>
            <w:vAlign w:val="center"/>
          </w:tcPr>
          <w:p w14:paraId="081ACB80" w14:textId="77777777" w:rsidR="00442CE7" w:rsidRPr="009E4A22" w:rsidRDefault="00000000" w:rsidP="009E4A22">
            <w:pPr>
              <w:spacing w:line="240" w:lineRule="auto"/>
              <w:ind w:firstLine="0"/>
              <w:jc w:val="center"/>
              <w:rPr>
                <w:rFonts w:eastAsia="MS Mincho"/>
                <w:sz w:val="20"/>
                <w:szCs w:val="20"/>
              </w:rPr>
            </w:pPr>
            <w:r w:rsidRPr="009E4A22">
              <w:rPr>
                <w:rFonts w:eastAsia="MS Mincho"/>
                <w:sz w:val="20"/>
                <w:szCs w:val="20"/>
              </w:rPr>
              <w:t>No</w:t>
            </w:r>
          </w:p>
        </w:tc>
      </w:tr>
      <w:tr w:rsidR="00AA6907" w:rsidRPr="009E4A22" w14:paraId="5B4697E8" w14:textId="77777777" w:rsidTr="009E4A22">
        <w:trPr>
          <w:trHeight w:val="720"/>
          <w:jc w:val="center"/>
        </w:trPr>
        <w:tc>
          <w:tcPr>
            <w:tcW w:w="6559" w:type="dxa"/>
            <w:tcBorders>
              <w:top w:val="nil"/>
              <w:left w:val="nil"/>
              <w:bottom w:val="single" w:sz="4" w:space="0" w:color="auto"/>
              <w:right w:val="nil"/>
            </w:tcBorders>
            <w:vAlign w:val="center"/>
          </w:tcPr>
          <w:p w14:paraId="490A4007" w14:textId="77777777" w:rsidR="00442CE7" w:rsidRPr="009E4A22" w:rsidRDefault="00000000" w:rsidP="009E4A22">
            <w:pPr>
              <w:spacing w:line="240" w:lineRule="auto"/>
              <w:ind w:firstLine="0"/>
              <w:rPr>
                <w:rFonts w:eastAsia="MS Mincho"/>
                <w:sz w:val="20"/>
                <w:szCs w:val="20"/>
              </w:rPr>
            </w:pPr>
            <w:r w:rsidRPr="009E4A22">
              <w:rPr>
                <w:rFonts w:eastAsia="MS Mincho"/>
                <w:sz w:val="20"/>
                <w:szCs w:val="20"/>
              </w:rPr>
              <w:t>Hunter &amp; Schmidt meta-analysis via a modification of Field’s "Meta_Basic_r.sps" to remove apparently erroneous Overton correction**</w:t>
            </w:r>
          </w:p>
        </w:tc>
        <w:tc>
          <w:tcPr>
            <w:tcW w:w="538" w:type="dxa"/>
            <w:tcBorders>
              <w:top w:val="nil"/>
              <w:left w:val="nil"/>
              <w:bottom w:val="single" w:sz="4" w:space="0" w:color="auto"/>
              <w:right w:val="nil"/>
            </w:tcBorders>
            <w:shd w:val="clear" w:color="auto" w:fill="D9D9D9"/>
            <w:vAlign w:val="center"/>
          </w:tcPr>
          <w:p w14:paraId="29473B10" w14:textId="77777777" w:rsidR="00442CE7" w:rsidRPr="009E4A22" w:rsidRDefault="00000000" w:rsidP="009E4A22">
            <w:pPr>
              <w:spacing w:line="240" w:lineRule="auto"/>
              <w:ind w:firstLine="0"/>
              <w:jc w:val="center"/>
              <w:rPr>
                <w:rFonts w:eastAsia="MS Mincho"/>
                <w:sz w:val="20"/>
                <w:szCs w:val="20"/>
              </w:rPr>
            </w:pPr>
            <w:r w:rsidRPr="009E4A22">
              <w:rPr>
                <w:rFonts w:eastAsia="MS Mincho"/>
                <w:sz w:val="20"/>
                <w:szCs w:val="20"/>
              </w:rPr>
              <w:t>Yes</w:t>
            </w:r>
          </w:p>
        </w:tc>
        <w:tc>
          <w:tcPr>
            <w:tcW w:w="538" w:type="dxa"/>
            <w:tcBorders>
              <w:top w:val="nil"/>
              <w:left w:val="nil"/>
              <w:bottom w:val="single" w:sz="4" w:space="0" w:color="auto"/>
              <w:right w:val="nil"/>
            </w:tcBorders>
            <w:vAlign w:val="center"/>
          </w:tcPr>
          <w:p w14:paraId="2CB1AB95" w14:textId="77777777" w:rsidR="00442CE7" w:rsidRPr="009E4A22" w:rsidRDefault="00000000" w:rsidP="009E4A22">
            <w:pPr>
              <w:spacing w:line="240" w:lineRule="auto"/>
              <w:ind w:firstLine="0"/>
              <w:jc w:val="center"/>
              <w:rPr>
                <w:rFonts w:eastAsia="MS Mincho"/>
                <w:sz w:val="20"/>
                <w:szCs w:val="20"/>
              </w:rPr>
            </w:pPr>
            <w:r w:rsidRPr="009E4A22">
              <w:rPr>
                <w:rFonts w:eastAsia="MS Mincho"/>
                <w:sz w:val="20"/>
                <w:szCs w:val="20"/>
              </w:rPr>
              <w:t>No</w:t>
            </w:r>
          </w:p>
        </w:tc>
        <w:tc>
          <w:tcPr>
            <w:tcW w:w="717" w:type="dxa"/>
            <w:tcBorders>
              <w:top w:val="nil"/>
              <w:left w:val="nil"/>
              <w:bottom w:val="single" w:sz="4" w:space="0" w:color="auto"/>
              <w:right w:val="nil"/>
            </w:tcBorders>
            <w:shd w:val="clear" w:color="auto" w:fill="D9D9D9"/>
            <w:noWrap/>
            <w:vAlign w:val="center"/>
          </w:tcPr>
          <w:p w14:paraId="371033A5" w14:textId="77777777" w:rsidR="00442CE7" w:rsidRPr="009E4A22" w:rsidRDefault="00000000" w:rsidP="009E4A22">
            <w:pPr>
              <w:spacing w:line="240" w:lineRule="auto"/>
              <w:ind w:firstLine="0"/>
              <w:jc w:val="center"/>
              <w:rPr>
                <w:rFonts w:eastAsia="MS Mincho"/>
                <w:sz w:val="20"/>
                <w:szCs w:val="20"/>
              </w:rPr>
            </w:pPr>
            <w:r w:rsidRPr="009E4A22">
              <w:rPr>
                <w:rFonts w:eastAsia="MS Mincho"/>
                <w:sz w:val="20"/>
                <w:szCs w:val="20"/>
              </w:rPr>
              <w:t>Yes</w:t>
            </w:r>
          </w:p>
        </w:tc>
        <w:tc>
          <w:tcPr>
            <w:tcW w:w="2808" w:type="dxa"/>
            <w:tcBorders>
              <w:top w:val="nil"/>
              <w:left w:val="nil"/>
              <w:bottom w:val="single" w:sz="4" w:space="0" w:color="auto"/>
              <w:right w:val="nil"/>
            </w:tcBorders>
            <w:shd w:val="clear" w:color="auto" w:fill="D9D9D9"/>
            <w:vAlign w:val="center"/>
          </w:tcPr>
          <w:p w14:paraId="039A037B" w14:textId="77777777" w:rsidR="00442CE7" w:rsidRPr="009E4A22" w:rsidRDefault="00000000" w:rsidP="009E4A22">
            <w:pPr>
              <w:spacing w:line="240" w:lineRule="auto"/>
              <w:ind w:firstLine="0"/>
              <w:jc w:val="center"/>
              <w:rPr>
                <w:rFonts w:eastAsia="MS Mincho"/>
                <w:sz w:val="20"/>
                <w:szCs w:val="20"/>
              </w:rPr>
            </w:pPr>
            <w:r w:rsidRPr="009E4A22">
              <w:rPr>
                <w:rFonts w:eastAsia="MS Mincho"/>
                <w:sz w:val="20"/>
                <w:szCs w:val="20"/>
              </w:rPr>
              <w:t xml:space="preserve">Fisher’s </w:t>
            </w:r>
            <w:r w:rsidRPr="009E4A22">
              <w:rPr>
                <w:rFonts w:eastAsia="MS Mincho"/>
                <w:i/>
                <w:iCs/>
                <w:sz w:val="20"/>
                <w:szCs w:val="20"/>
              </w:rPr>
              <w:t>r</w:t>
            </w:r>
            <w:r w:rsidRPr="009E4A22">
              <w:rPr>
                <w:rFonts w:eastAsia="MS Mincho"/>
                <w:sz w:val="20"/>
                <w:szCs w:val="20"/>
              </w:rPr>
              <w:t>-to-</w:t>
            </w:r>
            <w:r w:rsidRPr="009E4A22">
              <w:rPr>
                <w:rFonts w:eastAsia="MS Mincho"/>
                <w:i/>
                <w:iCs/>
                <w:sz w:val="20"/>
                <w:szCs w:val="20"/>
              </w:rPr>
              <w:t>z</w:t>
            </w:r>
          </w:p>
        </w:tc>
        <w:tc>
          <w:tcPr>
            <w:tcW w:w="1800" w:type="dxa"/>
            <w:tcBorders>
              <w:top w:val="nil"/>
              <w:left w:val="nil"/>
              <w:bottom w:val="single" w:sz="4" w:space="0" w:color="auto"/>
              <w:right w:val="nil"/>
            </w:tcBorders>
            <w:shd w:val="clear" w:color="auto" w:fill="D9D9D9"/>
            <w:vAlign w:val="center"/>
          </w:tcPr>
          <w:p w14:paraId="4684448C" w14:textId="77777777" w:rsidR="00442CE7" w:rsidRPr="009E4A22" w:rsidRDefault="00000000" w:rsidP="009E4A22">
            <w:pPr>
              <w:spacing w:line="240" w:lineRule="auto"/>
              <w:ind w:firstLine="0"/>
              <w:jc w:val="center"/>
              <w:rPr>
                <w:rFonts w:eastAsia="MS Mincho"/>
                <w:sz w:val="20"/>
                <w:szCs w:val="20"/>
              </w:rPr>
            </w:pPr>
            <w:r w:rsidRPr="009E4A22">
              <w:rPr>
                <w:rFonts w:eastAsia="MS Mincho"/>
                <w:sz w:val="20"/>
                <w:szCs w:val="20"/>
              </w:rPr>
              <w:t>No</w:t>
            </w:r>
          </w:p>
        </w:tc>
      </w:tr>
      <w:tr w:rsidR="00AA6907" w:rsidRPr="009E4A22" w14:paraId="7F54B5BD" w14:textId="77777777" w:rsidTr="009E4A22">
        <w:trPr>
          <w:trHeight w:val="1845"/>
          <w:jc w:val="center"/>
        </w:trPr>
        <w:tc>
          <w:tcPr>
            <w:tcW w:w="12960" w:type="dxa"/>
            <w:gridSpan w:val="6"/>
            <w:tcBorders>
              <w:top w:val="single" w:sz="4" w:space="0" w:color="auto"/>
              <w:left w:val="nil"/>
              <w:bottom w:val="nil"/>
              <w:right w:val="nil"/>
            </w:tcBorders>
            <w:vAlign w:val="center"/>
          </w:tcPr>
          <w:p w14:paraId="3E3E9272" w14:textId="77777777" w:rsidR="00442CE7" w:rsidRPr="009E4A22" w:rsidRDefault="00000000" w:rsidP="009E4A22">
            <w:pPr>
              <w:spacing w:line="240" w:lineRule="auto"/>
              <w:ind w:firstLine="0"/>
              <w:rPr>
                <w:rFonts w:eastAsia="MS Mincho"/>
                <w:sz w:val="20"/>
                <w:szCs w:val="20"/>
              </w:rPr>
            </w:pPr>
            <w:r w:rsidRPr="009E4A22">
              <w:rPr>
                <w:rFonts w:eastAsia="MS Mincho"/>
                <w:i/>
                <w:iCs/>
                <w:sz w:val="20"/>
                <w:szCs w:val="20"/>
              </w:rPr>
              <w:t xml:space="preserve">Notes: </w:t>
            </w:r>
            <w:r w:rsidRPr="009E4A22">
              <w:rPr>
                <w:rFonts w:eastAsia="MS Mincho"/>
                <w:sz w:val="20"/>
                <w:szCs w:val="20"/>
              </w:rPr>
              <w:t xml:space="preserve">Shaded cells match the requirements to be capable of producing the same type of output as reported in Vahey et al. (2015), agnostic to whether the numerical results match those reported in Vahey et al. (2015). </w:t>
            </w:r>
          </w:p>
          <w:p w14:paraId="0185003A" w14:textId="77777777" w:rsidR="00442CE7" w:rsidRPr="009E4A22" w:rsidRDefault="00000000" w:rsidP="009E4A22">
            <w:pPr>
              <w:spacing w:line="240" w:lineRule="auto"/>
              <w:ind w:firstLine="0"/>
              <w:rPr>
                <w:rFonts w:eastAsia="MS Mincho"/>
                <w:sz w:val="20"/>
                <w:szCs w:val="20"/>
              </w:rPr>
            </w:pPr>
            <w:r w:rsidRPr="009E4A22">
              <w:rPr>
                <w:rFonts w:eastAsia="MS Mincho"/>
                <w:sz w:val="20"/>
                <w:szCs w:val="20"/>
              </w:rPr>
              <w:t xml:space="preserve">* Vahey et al. (2015) did not explicitly state using any transformations. However, their forest plot's (their Figure 1) individual effect sizes have asymmetric confidence intervals implying a transformation; their funnel plot (their Figure 2) is labeled as employing Fisher's </w:t>
            </w:r>
            <w:r w:rsidRPr="009E4A22">
              <w:rPr>
                <w:rFonts w:eastAsia="MS Mincho"/>
                <w:i/>
                <w:iCs/>
                <w:sz w:val="20"/>
                <w:szCs w:val="20"/>
              </w:rPr>
              <w:t>r</w:t>
            </w:r>
            <w:r w:rsidRPr="009E4A22">
              <w:rPr>
                <w:rFonts w:eastAsia="MS Mincho"/>
                <w:sz w:val="20"/>
                <w:szCs w:val="20"/>
              </w:rPr>
              <w:t>-to-</w:t>
            </w:r>
            <w:r w:rsidRPr="009E4A22">
              <w:rPr>
                <w:rFonts w:eastAsia="MS Mincho"/>
                <w:i/>
                <w:iCs/>
                <w:sz w:val="20"/>
                <w:szCs w:val="20"/>
              </w:rPr>
              <w:t>z</w:t>
            </w:r>
            <w:r w:rsidRPr="009E4A22">
              <w:rPr>
                <w:rFonts w:eastAsia="MS Mincho"/>
                <w:sz w:val="20"/>
                <w:szCs w:val="20"/>
              </w:rPr>
              <w:t xml:space="preserve"> transformed values; and the method they state they followed employs Fisher's </w:t>
            </w:r>
            <w:r w:rsidRPr="009E4A22">
              <w:rPr>
                <w:rFonts w:eastAsia="MS Mincho"/>
                <w:i/>
                <w:iCs/>
                <w:sz w:val="20"/>
                <w:szCs w:val="20"/>
              </w:rPr>
              <w:t>r</w:t>
            </w:r>
            <w:r w:rsidRPr="009E4A22">
              <w:rPr>
                <w:rFonts w:eastAsia="MS Mincho"/>
                <w:sz w:val="20"/>
                <w:szCs w:val="20"/>
              </w:rPr>
              <w:t>-to-</w:t>
            </w:r>
            <w:r w:rsidRPr="009E4A22">
              <w:rPr>
                <w:rFonts w:eastAsia="MS Mincho"/>
                <w:i/>
                <w:iCs/>
                <w:sz w:val="20"/>
                <w:szCs w:val="20"/>
              </w:rPr>
              <w:t>z</w:t>
            </w:r>
            <w:r w:rsidRPr="009E4A22">
              <w:rPr>
                <w:rFonts w:eastAsia="MS Mincho"/>
                <w:sz w:val="20"/>
                <w:szCs w:val="20"/>
              </w:rPr>
              <w:t xml:space="preserve"> transformations.</w:t>
            </w:r>
          </w:p>
          <w:p w14:paraId="66665841" w14:textId="77777777" w:rsidR="00442CE7" w:rsidRPr="009E4A22" w:rsidRDefault="00000000" w:rsidP="009E4A22">
            <w:pPr>
              <w:spacing w:line="240" w:lineRule="auto"/>
              <w:ind w:firstLine="0"/>
              <w:rPr>
                <w:rFonts w:eastAsia="MS Mincho"/>
                <w:sz w:val="20"/>
                <w:szCs w:val="20"/>
              </w:rPr>
            </w:pPr>
            <w:r w:rsidRPr="009E4A22">
              <w:rPr>
                <w:rFonts w:eastAsia="MS Mincho"/>
                <w:sz w:val="20"/>
                <w:szCs w:val="20"/>
              </w:rPr>
              <w:t>** Field &amp; Gillett (2010) describe the Hedges and colleagues style meta-analysis as involving an Overton correction but not the Hunter and Schmidt style meta-analysis. However, their script applies the correction to both, misaligning the code with the article. In order to correct this apparent issue and attempt to more closely align the code with the described method, I therefore removed the Overton correction from this version.</w:t>
            </w:r>
          </w:p>
        </w:tc>
      </w:tr>
    </w:tbl>
    <w:p w14:paraId="355CA1EF" w14:textId="77777777" w:rsidR="00442CE7" w:rsidRPr="007C5953" w:rsidRDefault="00442CE7" w:rsidP="00D77465">
      <w:pPr>
        <w:rPr>
          <w:rFonts w:eastAsia="MS Mincho"/>
          <w:lang w:val=""/>
        </w:rPr>
      </w:pPr>
    </w:p>
    <w:p w14:paraId="3DBD2664" w14:textId="77777777" w:rsidR="00442CE7" w:rsidRDefault="00442CE7" w:rsidP="00D77465">
      <w:pPr>
        <w:rPr>
          <w:rFonts w:eastAsia="MS Mincho"/>
          <w:lang w:val=""/>
        </w:rPr>
        <w:sectPr w:rsidR="00442CE7" w:rsidSect="00D77465">
          <w:type w:val="continuous"/>
          <w:pgSz w:w="16840" w:h="11900" w:orient="landscape"/>
          <w:pgMar w:top="1440" w:right="1440" w:bottom="1440" w:left="1440" w:header="709" w:footer="709" w:gutter="0"/>
          <w:cols w:space="340"/>
          <w:titlePg/>
          <w:docGrid w:linePitch="360"/>
          <w15:footnoteColumns w:val="1"/>
        </w:sectPr>
      </w:pPr>
    </w:p>
    <w:p w14:paraId="0CCA2B36" w14:textId="1F26028E" w:rsidR="00442CE7" w:rsidRPr="00271F97" w:rsidRDefault="00442CE7" w:rsidP="009E4A22">
      <w:pPr>
        <w:ind w:firstLine="0"/>
        <w:rPr>
          <w:rFonts w:eastAsia="MS Mincho"/>
          <w:lang w:val=""/>
        </w:rPr>
        <w:sectPr w:rsidR="00442CE7" w:rsidRPr="00271F97" w:rsidSect="00D77465">
          <w:type w:val="continuous"/>
          <w:pgSz w:w="16840" w:h="11900" w:orient="landscape"/>
          <w:pgMar w:top="1440" w:right="1440" w:bottom="1440" w:left="1440" w:header="709" w:footer="709" w:gutter="0"/>
          <w:cols w:space="340"/>
          <w:titlePg/>
          <w:docGrid w:linePitch="360"/>
          <w15:footnoteColumns w:val="1"/>
        </w:sectPr>
      </w:pPr>
    </w:p>
    <w:p w14:paraId="7886DC6B" w14:textId="77777777" w:rsidR="00F0424A" w:rsidRDefault="00F0424A" w:rsidP="00D77465">
      <w:r>
        <w:lastRenderedPageBreak/>
        <w:t xml:space="preserve">Table 2 </w:t>
      </w:r>
      <w:proofErr w:type="spellStart"/>
      <w:r>
        <w:t>catalogs</w:t>
      </w:r>
      <w:proofErr w:type="spellEnd"/>
      <w:r>
        <w:t xml:space="preserve"> the metrics reported in Vahey et al. (2015) and those nominally calculated by the scripts, based on an inspection of their code. Table 2 illustrates that neither script’s features (e.g., use of corrections, transformations, and reliability estimates) nor outputs (point estimates and types of intervals, which I discuss in detail later) correspond with the results reported in Vahey et al. (2015). </w:t>
      </w:r>
    </w:p>
    <w:p w14:paraId="57761AD7" w14:textId="1A072E3D" w:rsidR="000E5C0F" w:rsidRPr="00F0424A" w:rsidRDefault="00F0424A" w:rsidP="00D77465">
      <w:r>
        <w:t xml:space="preserve">Specifically, Vahey et al. (2015) likely (but not definitely, or perhaps not consistently across analyses) used Fisher’s </w:t>
      </w:r>
      <w:r w:rsidRPr="00055607">
        <w:rPr>
          <w:i/>
          <w:iCs/>
        </w:rPr>
        <w:t>r</w:t>
      </w:r>
      <w:r>
        <w:t>-to-</w:t>
      </w:r>
      <w:r w:rsidRPr="00055607">
        <w:rPr>
          <w:i/>
          <w:iCs/>
        </w:rPr>
        <w:t>z</w:t>
      </w:r>
      <w:r>
        <w:t xml:space="preserve"> transformations (e.g., due to asymmetric Confidence Intervals in the weighted mean effect sizes in their Figure 1, and the reference to this transformation in Figure 2), and reported both Confidence Intervals and Credibility Intervals. In </w:t>
      </w:r>
      <w:r w:rsidR="000E5C0F">
        <w:t xml:space="preserve">contrast, </w:t>
      </w:r>
      <w:r w:rsidR="000E5C0F" w:rsidRPr="00A035CD">
        <w:t>“</w:t>
      </w:r>
      <w:proofErr w:type="spellStart"/>
      <w:r w:rsidR="000E5C0F" w:rsidRPr="00A035CD">
        <w:t>h_s</w:t>
      </w:r>
      <w:proofErr w:type="spellEnd"/>
      <w:r w:rsidR="000E5C0F" w:rsidRPr="00A035CD">
        <w:t xml:space="preserve"> </w:t>
      </w:r>
      <w:proofErr w:type="spellStart"/>
      <w:r w:rsidR="000E5C0F" w:rsidRPr="00A035CD">
        <w:t>syntax.sps</w:t>
      </w:r>
      <w:proofErr w:type="spellEnd"/>
      <w:r w:rsidR="000E5C0F" w:rsidRPr="00A035CD">
        <w:t>” script</w:t>
      </w:r>
      <w:r w:rsidR="000E5C0F">
        <w:t>’s Hunter and Schmidt style meta-analysis</w:t>
      </w:r>
      <w:r w:rsidR="000E5C0F" w:rsidRPr="00A035CD">
        <w:t xml:space="preserve"> does </w:t>
      </w:r>
      <w:r w:rsidR="000E5C0F">
        <w:t xml:space="preserve">not </w:t>
      </w:r>
      <w:r w:rsidR="000E5C0F" w:rsidRPr="00A035CD">
        <w:t>calculate Confidence Intervals</w:t>
      </w:r>
      <w:r w:rsidR="000E5C0F">
        <w:t xml:space="preserve">; </w:t>
      </w:r>
      <w:r w:rsidR="000E5C0F" w:rsidRPr="00A035CD">
        <w:t>the “</w:t>
      </w:r>
      <w:proofErr w:type="spellStart"/>
      <w:r w:rsidR="000E5C0F" w:rsidRPr="00A035CD">
        <w:t>Meta_Basic_R.sps</w:t>
      </w:r>
      <w:proofErr w:type="spellEnd"/>
      <w:r w:rsidR="000E5C0F" w:rsidRPr="00A035CD">
        <w:t>” script</w:t>
      </w:r>
      <w:r w:rsidR="000E5C0F">
        <w:t xml:space="preserve">’s </w:t>
      </w:r>
      <w:r w:rsidR="000E5C0F" w:rsidRPr="00A035CD">
        <w:t>Hunter &amp; Schmidt style meta-analys</w:t>
      </w:r>
      <w:r w:rsidR="000E5C0F">
        <w:t>i</w:t>
      </w:r>
      <w:r w:rsidR="000E5C0F" w:rsidRPr="00A035CD">
        <w:t xml:space="preserve">s </w:t>
      </w:r>
      <w:r w:rsidR="000E5C0F">
        <w:t xml:space="preserve">does not report Confidence Intervals; and its Hedges and </w:t>
      </w:r>
      <w:proofErr w:type="gramStart"/>
      <w:r w:rsidR="000E5C0F">
        <w:t>colleagues</w:t>
      </w:r>
      <w:proofErr w:type="gramEnd"/>
      <w:r w:rsidR="000E5C0F">
        <w:t xml:space="preserve"> style meta-analysis does not use </w:t>
      </w:r>
      <w:r w:rsidR="000E5C0F" w:rsidRPr="00055607">
        <w:t xml:space="preserve">Fisher’s </w:t>
      </w:r>
      <w:r w:rsidR="000E5C0F" w:rsidRPr="00055607">
        <w:rPr>
          <w:i/>
          <w:iCs/>
        </w:rPr>
        <w:t>r</w:t>
      </w:r>
      <w:r w:rsidR="000E5C0F" w:rsidRPr="00055607">
        <w:t>-to-</w:t>
      </w:r>
      <w:r w:rsidR="000E5C0F" w:rsidRPr="00055607">
        <w:rPr>
          <w:i/>
          <w:iCs/>
        </w:rPr>
        <w:t>z</w:t>
      </w:r>
      <w:r w:rsidR="000E5C0F">
        <w:t xml:space="preserve"> transformations or report Credibility Intervals. In addition to this, the </w:t>
      </w:r>
      <w:r w:rsidR="000E5C0F" w:rsidRPr="00A035CD">
        <w:t>“</w:t>
      </w:r>
      <w:proofErr w:type="spellStart"/>
      <w:r w:rsidR="000E5C0F" w:rsidRPr="00A035CD">
        <w:t>h_s</w:t>
      </w:r>
      <w:proofErr w:type="spellEnd"/>
      <w:r w:rsidR="000E5C0F" w:rsidRPr="00A035CD">
        <w:t xml:space="preserve"> </w:t>
      </w:r>
      <w:proofErr w:type="spellStart"/>
      <w:r w:rsidR="000E5C0F" w:rsidRPr="00A035CD">
        <w:t>syntax.sps</w:t>
      </w:r>
      <w:proofErr w:type="spellEnd"/>
      <w:r w:rsidR="000E5C0F" w:rsidRPr="00A035CD">
        <w:t>” scri</w:t>
      </w:r>
      <w:r w:rsidR="000E5C0F">
        <w:t xml:space="preserve">pt requires </w:t>
      </w:r>
      <w:r w:rsidR="000E5C0F" w:rsidRPr="00A035CD">
        <w:t xml:space="preserve">the </w:t>
      </w:r>
      <w:r w:rsidR="000E5C0F">
        <w:t xml:space="preserve">researcher </w:t>
      </w:r>
      <w:r w:rsidR="000E5C0F" w:rsidRPr="00A035CD">
        <w:t xml:space="preserve">to provide reliability estimates for both variables in each correlation (i.e., the reliabilities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sidR="000E5C0F" w:rsidRPr="00A035CD">
        <w:t xml:space="preserve"> and </w:t>
      </w:r>
      <m:oMath>
        <m:sSub>
          <m:sSubPr>
            <m:ctrlPr>
              <w:rPr>
                <w:rFonts w:ascii="Cambria Math" w:hAnsi="Cambria Math"/>
                <w:i/>
              </w:rPr>
            </m:ctrlPr>
          </m:sSubPr>
          <m:e>
            <m:r>
              <w:rPr>
                <w:rFonts w:ascii="Cambria Math" w:hAnsi="Cambria Math"/>
              </w:rPr>
              <m:t>r</m:t>
            </m:r>
          </m:e>
          <m:sub>
            <m:r>
              <w:rPr>
                <w:rFonts w:ascii="Cambria Math" w:hAnsi="Cambria Math"/>
              </w:rPr>
              <m:t>y</m:t>
            </m:r>
          </m:sub>
        </m:sSub>
      </m:oMath>
      <w:r w:rsidR="000E5C0F" w:rsidRPr="00A035CD">
        <w:t xml:space="preserve"> for the correlation </w:t>
      </w:r>
      <m:oMath>
        <m:sSub>
          <m:sSubPr>
            <m:ctrlPr>
              <w:rPr>
                <w:rFonts w:ascii="Cambria Math" w:hAnsi="Cambria Math"/>
                <w:i/>
              </w:rPr>
            </m:ctrlPr>
          </m:sSubPr>
          <m:e>
            <m:r>
              <w:rPr>
                <w:rFonts w:ascii="Cambria Math" w:hAnsi="Cambria Math"/>
              </w:rPr>
              <m:t>r</m:t>
            </m:r>
          </m:e>
          <m:sub>
            <m:r>
              <w:rPr>
                <w:rFonts w:ascii="Cambria Math" w:hAnsi="Cambria Math"/>
              </w:rPr>
              <m:t>xy</m:t>
            </m:r>
          </m:sub>
        </m:sSub>
      </m:oMath>
      <w:r w:rsidR="000E5C0F" w:rsidRPr="00A035CD">
        <w:t xml:space="preserve">) </w:t>
      </w:r>
      <w:proofErr w:type="gramStart"/>
      <w:r w:rsidR="000E5C0F" w:rsidRPr="00A035CD">
        <w:t>in order to</w:t>
      </w:r>
      <w:proofErr w:type="gramEnd"/>
      <w:r w:rsidR="000E5C0F" w:rsidRPr="00A035CD">
        <w:t xml:space="preserve"> correct the effect sizes for attenuation. Vahey et al. (2015) did not report extracting or using reliability estimates in this way in their article or supplementary materials.</w:t>
      </w:r>
      <w:r w:rsidR="000E5C0F">
        <w:t xml:space="preserve"> </w:t>
      </w:r>
    </w:p>
    <w:p w14:paraId="68F09912" w14:textId="77777777" w:rsidR="000E5C0F" w:rsidRDefault="000E5C0F" w:rsidP="00D77465">
      <w:r>
        <w:t xml:space="preserve">Based on these facts, we could conclude that Vahey et al. (2015) did not in fact employ the Hunter &amp; Schmidt style meta-analysis specified in Field &amp; Gillett (2010), as stated. It is possible they ran more than one type or implementation of the meta-analyses implemented in these scripts and reported them as one, or perhaps they modified the analytic strategy in an undisclosed way. </w:t>
      </w:r>
    </w:p>
    <w:p w14:paraId="712D481D" w14:textId="77777777" w:rsidR="000E5C0F" w:rsidRDefault="000E5C0F" w:rsidP="00D77465">
      <w:proofErr w:type="gramStart"/>
      <w:r w:rsidRPr="00034410">
        <w:t>In light of</w:t>
      </w:r>
      <w:proofErr w:type="gramEnd"/>
      <w:r w:rsidRPr="00034410">
        <w:t xml:space="preserve"> this, I therefore altered the implementations in multiple ways in order to attempt to reproduce Vahey et al.’s (2015) results. </w:t>
      </w:r>
      <w:r>
        <w:t xml:space="preserve">The code used to implement each </w:t>
      </w:r>
      <w:r>
        <w:lastRenderedPageBreak/>
        <w:t>verification attempt, notes on what was modified from the default original code, and the results of the meta-analyses are reported in Table 3.</w:t>
      </w:r>
      <w:r w:rsidRPr="00772E42">
        <w:t xml:space="preserve"> </w:t>
      </w:r>
      <w:r w:rsidRPr="00034410">
        <w:t xml:space="preserve">Copies of all original and </w:t>
      </w:r>
      <w:r>
        <w:t>modified</w:t>
      </w:r>
      <w:r w:rsidRPr="00034410">
        <w:t xml:space="preserve"> scripts are available in the supplementary materials.</w:t>
      </w:r>
    </w:p>
    <w:p w14:paraId="7134750C" w14:textId="77777777" w:rsidR="000E5C0F" w:rsidRPr="00CC1B6A" w:rsidRDefault="000E5C0F" w:rsidP="00974D7B">
      <w:pPr>
        <w:pStyle w:val="Heading3"/>
      </w:pPr>
      <w:r w:rsidRPr="00CC1B6A">
        <w:t>Definitions of different types of intervals</w:t>
      </w:r>
    </w:p>
    <w:p w14:paraId="047B3896" w14:textId="77777777" w:rsidR="000E5C0F" w:rsidRPr="00CC1B6A" w:rsidRDefault="000E5C0F" w:rsidP="00D77465">
      <w:r w:rsidRPr="00CC1B6A">
        <w:t xml:space="preserve">Vahey et al. (2015) report both Confidence Intervals (CI) and Credibility Intervals (CR which attempt to estimate the generalizability of the meta-effect size </w:t>
      </w:r>
      <w:r w:rsidRPr="00CC1B6A">
        <w:fldChar w:fldCharType="begin"/>
      </w:r>
      <w:r w:rsidRPr="00CC1B6A">
        <w:instrText xml:space="preserve"> ADDIN ZOTERO_ITEM CSL_CITATION {"citationID":"7TL7OAQf","properties":{"formattedCitation":"(Field &amp; Gillett, 2010; Hunter &amp; Schmidt, 2004)","plainCitation":"(Field &amp; Gillett, 2010; Hunter &amp; Schmidt, 2004)","noteIndex":0},"citationItems":[{"id":400,"uris":["http://zotero.org/users/1687755/items/T4RKSQ58"],"itemData":{"id":400,"type":"article-journal","abstract":"Meta-analysis is a statistical tool for estimating the mean and variance of underlying population effects from a collection of empirical studies addressing ostensibly the same research question. Meta-analysis has become an increasing popular and valuable tool in psychological research, and major review articles typically employ these methods. This article describes the process of conducting meta-analysis: selecting articles, developing inclusion criteria, calculating effect sizes, conducting the actual analysis (including information on how to do the analysis on popular computer packages such as IBM SPSS and R) and estimating the effects of publication bias. Guidance is also given on how to write up a meta-analysis.","container-title":"British Journal of Mathematical and Statistical Psychology","DOI":"10.1348/000711010X502733","ISSN":"2044-8317","issue":"3","language":"en","note":"_eprint: https://onlinelibrary.wiley.com/doi/pdf/10.1348/000711010X502733","page":"665-694","source":"Wiley Online Library","title":"How to do a meta-analysis","volume":"63","author":[{"family":"Field","given":"Andy P."},{"family":"Gillett","given":"Raphael"}],"issued":{"date-parts":[["2010"]]}}},{"id":29142,"uris":["http://zotero.org/users/1687755/items/G2PQG5VA"],"itemData":{"id":29142,"type":"book","publisher":"Sage","title":"Methods of meta-analysis: Correcting error and bias in research findings","author":[{"family":"Hunter","given":"John E"},{"family":"Schmidt","given":"Frank L"}],"issued":{"date-parts":[["2004"]]}}}],"schema":"https://github.com/citation-style-language/schema/raw/master/csl-citation.json"} </w:instrText>
      </w:r>
      <w:r w:rsidRPr="00CC1B6A">
        <w:fldChar w:fldCharType="separate"/>
      </w:r>
      <w:r w:rsidRPr="00CC1B6A">
        <w:rPr>
          <w:noProof/>
        </w:rPr>
        <w:t>(Field &amp; Gillett, 2010; Hunter &amp; Schmidt, 2004)</w:t>
      </w:r>
      <w:r w:rsidRPr="00CC1B6A">
        <w:fldChar w:fldCharType="end"/>
      </w:r>
      <w:r w:rsidRPr="00CC1B6A">
        <w:t xml:space="preserve">. </w:t>
      </w:r>
    </w:p>
    <w:p w14:paraId="06368346" w14:textId="77777777" w:rsidR="000E5C0F" w:rsidRDefault="000E5C0F" w:rsidP="00D77465">
      <w:r w:rsidRPr="00CC1B6A">
        <w:t xml:space="preserve">Vahey et al. (2015) state that such “Credibility Intervals are generally wider and thus more conservative than corresponding Confidence Intervals” (p.61), however, this is not the case: Confidence Intervals and Credibility Intervals have different </w:t>
      </w:r>
      <w:proofErr w:type="spellStart"/>
      <w:r w:rsidRPr="00CC1B6A">
        <w:t>estimands</w:t>
      </w:r>
      <w:proofErr w:type="spellEnd"/>
      <w:r w:rsidRPr="00CC1B6A">
        <w:t xml:space="preserve">, and therefore the two have no correlation. Confidence Intervals quantify the precision of the estimate given sampling error (i.e., within-study variance,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Pr="00CC1B6A">
        <w:t>), whereas Credibility Intervals are a function of between-study variance (</w:t>
      </w:r>
      <m:oMath>
        <m:sSup>
          <m:sSupPr>
            <m:ctrlPr>
              <w:rPr>
                <w:rFonts w:ascii="Cambria Math" w:hAnsi="Cambria Math"/>
                <w:i/>
              </w:rPr>
            </m:ctrlPr>
          </m:sSupPr>
          <m:e>
            <m:acc>
              <m:accPr>
                <m:ctrlPr>
                  <w:rPr>
                    <w:rFonts w:ascii="Cambria Math" w:hAnsi="Cambria Math"/>
                    <w:i/>
                  </w:rPr>
                </m:ctrlPr>
              </m:accPr>
              <m:e>
                <m:r>
                  <w:rPr>
                    <w:rFonts w:ascii="Cambria Math" w:hAnsi="Cambria Math"/>
                  </w:rPr>
                  <m:t>τ</m:t>
                </m:r>
              </m:e>
            </m:acc>
          </m:e>
          <m:sup>
            <m:r>
              <w:rPr>
                <w:rFonts w:ascii="Cambria Math" w:hAnsi="Cambria Math"/>
              </w:rPr>
              <m:t>2</m:t>
            </m:r>
          </m:sup>
        </m:sSup>
      </m:oMath>
      <w:r w:rsidRPr="00CC1B6A">
        <w:t xml:space="preserve">: see Field &amp; Gillett, 2010, equations 2, 3, 4, and 5). A third type of interval, Prediction Intervals (PI), take both into account and are often reported for meta-analyses (e.g., within the </w:t>
      </w:r>
      <w:proofErr w:type="spellStart"/>
      <w:r w:rsidRPr="00CC1B6A">
        <w:t>metafor</w:t>
      </w:r>
      <w:proofErr w:type="spellEnd"/>
      <w:r w:rsidRPr="00CC1B6A">
        <w:t xml:space="preserve"> R package). It is true that PIs are at least as wide as Confidence Intervals, however, this is not because they are more 'conservative' than Confidence Intervals but because they quantify a different property under different assumptions. It is unclear whether this discrepancy in Vahey et al. (2015) was due to (a) a misinterpretation of Credibility Intervals, or (b) whether they </w:t>
      </w:r>
      <w:proofErr w:type="gramStart"/>
      <w:r w:rsidRPr="00CC1B6A">
        <w:t>actually calculated</w:t>
      </w:r>
      <w:proofErr w:type="gramEnd"/>
      <w:r w:rsidRPr="00CC1B6A">
        <w:t xml:space="preserve"> PIs but mislabelled them as Credibility Intervals. </w:t>
      </w:r>
      <w:proofErr w:type="gramStart"/>
      <w:r w:rsidRPr="00CC1B6A">
        <w:t>In order to</w:t>
      </w:r>
      <w:proofErr w:type="gramEnd"/>
      <w:r w:rsidRPr="00CC1B6A">
        <w:t xml:space="preserve"> attempt to resolve this for the purpose of verification, it is useful to define all three to highlight the differences between them: </w:t>
      </w:r>
    </w:p>
    <w:p w14:paraId="203254E8" w14:textId="77777777" w:rsidR="000C7F5A" w:rsidRDefault="000C7F5A" w:rsidP="00D77465"/>
    <w:p w14:paraId="2315C498" w14:textId="77777777" w:rsidR="000C7F5A" w:rsidRPr="00CC1B6A" w:rsidRDefault="000C7F5A" w:rsidP="00D77465"/>
    <w:p w14:paraId="7456D16B" w14:textId="77777777" w:rsidR="000E5C0F" w:rsidRPr="00CC1B6A" w:rsidRDefault="000E5C0F" w:rsidP="00D77465"/>
    <w:p w14:paraId="22945239" w14:textId="1523B3CB" w:rsidR="000E5C0F" w:rsidRPr="00CC1B6A" w:rsidRDefault="00000000" w:rsidP="000C7F5A">
      <m:oMathPara>
        <m:oMath>
          <m:eqArr>
            <m:eqArrPr>
              <m:maxDist m:val="1"/>
              <m:ctrlPr>
                <w:rPr>
                  <w:rFonts w:ascii="Cambria Math" w:hAnsi="Cambria Math"/>
                  <w:i/>
                </w:rPr>
              </m:ctrlPr>
            </m:eqArrPr>
            <m:e>
              <m:r>
                <m:rPr>
                  <m:sty m:val="p"/>
                </m:rPr>
                <w:rPr>
                  <w:rFonts w:ascii="Cambria Math" w:hAnsi="Cambria Math"/>
                </w:rPr>
                <m:t>95% CI=</m:t>
              </m:r>
              <m:acc>
                <m:accPr>
                  <m:chr m:val="̅"/>
                  <m:ctrlPr>
                    <w:rPr>
                      <w:rFonts w:ascii="Cambria Math" w:hAnsi="Cambria Math"/>
                    </w:rPr>
                  </m:ctrlPr>
                </m:accPr>
                <m:e>
                  <m:r>
                    <w:rPr>
                      <w:rFonts w:ascii="Cambria Math" w:hAnsi="Cambria Math"/>
                    </w:rPr>
                    <m:t>r</m:t>
                  </m:r>
                </m:e>
              </m:acc>
              <m:r>
                <m:rPr>
                  <m:sty m:val="p"/>
                </m:rPr>
                <w:rPr>
                  <w:rFonts w:ascii="Cambria Math" w:hAnsi="Cambria Math"/>
                </w:rPr>
                <m:t xml:space="preserve"> ±1.96</m:t>
              </m:r>
              <m:rad>
                <m:radPr>
                  <m:degHide m:val="1"/>
                  <m:ctrlPr>
                    <w:rPr>
                      <w:rFonts w:ascii="Cambria Math" w:hAnsi="Cambria Math"/>
                    </w:rPr>
                  </m:ctrlPr>
                </m:radPr>
                <m:deg/>
                <m:e>
                  <m:sSup>
                    <m:sSupPr>
                      <m:ctrlPr>
                        <w:rPr>
                          <w:rFonts w:ascii="Cambria Math" w:hAnsi="Cambria Math"/>
                        </w:rPr>
                      </m:ctrlPr>
                    </m:sSupPr>
                    <m:e>
                      <m:acc>
                        <m:accPr>
                          <m:ctrlPr>
                            <w:rPr>
                              <w:rFonts w:ascii="Cambria Math" w:hAnsi="Cambria Math"/>
                            </w:rPr>
                          </m:ctrlPr>
                        </m:accPr>
                        <m:e>
                          <m:r>
                            <w:rPr>
                              <w:rFonts w:ascii="Cambria Math" w:hAnsi="Cambria Math"/>
                            </w:rPr>
                            <m:t>σ</m:t>
                          </m:r>
                        </m:e>
                      </m:acc>
                    </m:e>
                    <m:sup>
                      <m:r>
                        <m:rPr>
                          <m:sty m:val="p"/>
                        </m:rPr>
                        <w:rPr>
                          <w:rFonts w:ascii="Cambria Math" w:hAnsi="Cambria Math"/>
                        </w:rPr>
                        <m:t>2</m:t>
                      </m:r>
                    </m:sup>
                  </m:sSup>
                </m:e>
              </m:rad>
              <m:r>
                <w:rPr>
                  <w:rFonts w:ascii="Cambria Math" w:hAnsi="Cambria Math"/>
                </w:rPr>
                <m:t xml:space="preserve"> #</m:t>
              </m:r>
              <m:d>
                <m:dPr>
                  <m:ctrlPr>
                    <w:rPr>
                      <w:rFonts w:ascii="Cambria Math" w:hAnsi="Cambria Math"/>
                      <w:i/>
                    </w:rPr>
                  </m:ctrlPr>
                </m:dPr>
                <m:e>
                  <m:r>
                    <w:rPr>
                      <w:rFonts w:ascii="Cambria Math" w:hAnsi="Cambria Math"/>
                    </w:rPr>
                    <m:t>2</m:t>
                  </m:r>
                </m:e>
              </m:d>
            </m:e>
          </m:eqArr>
        </m:oMath>
      </m:oMathPara>
    </w:p>
    <w:p w14:paraId="6EAD1CDB" w14:textId="15B52B8B" w:rsidR="000E5C0F" w:rsidRPr="00CC1B6A" w:rsidRDefault="00000000" w:rsidP="000C7F5A">
      <m:oMathPara>
        <m:oMath>
          <m:eqArr>
            <m:eqArrPr>
              <m:maxDist m:val="1"/>
              <m:ctrlPr>
                <w:rPr>
                  <w:rFonts w:ascii="Cambria Math" w:hAnsi="Cambria Math"/>
                  <w:i/>
                </w:rPr>
              </m:ctrlPr>
            </m:eqArrPr>
            <m:e>
              <m:r>
                <m:rPr>
                  <m:sty m:val="p"/>
                </m:rPr>
                <w:rPr>
                  <w:rFonts w:ascii="Cambria Math" w:hAnsi="Cambria Math"/>
                </w:rPr>
                <m:t>95% CR=</m:t>
              </m:r>
              <m:acc>
                <m:accPr>
                  <m:chr m:val="̅"/>
                  <m:ctrlPr>
                    <w:rPr>
                      <w:rFonts w:ascii="Cambria Math" w:hAnsi="Cambria Math"/>
                    </w:rPr>
                  </m:ctrlPr>
                </m:accPr>
                <m:e>
                  <m:r>
                    <w:rPr>
                      <w:rFonts w:ascii="Cambria Math" w:hAnsi="Cambria Math"/>
                    </w:rPr>
                    <m:t>r</m:t>
                  </m:r>
                </m:e>
              </m:acc>
              <m:r>
                <m:rPr>
                  <m:sty m:val="p"/>
                </m:rPr>
                <w:rPr>
                  <w:rFonts w:ascii="Cambria Math" w:hAnsi="Cambria Math"/>
                </w:rPr>
                <m:t xml:space="preserve"> ±1.96</m:t>
              </m:r>
              <m:rad>
                <m:radPr>
                  <m:degHide m:val="1"/>
                  <m:ctrlPr>
                    <w:rPr>
                      <w:rFonts w:ascii="Cambria Math" w:hAnsi="Cambria Math"/>
                    </w:rPr>
                  </m:ctrlPr>
                </m:radPr>
                <m:deg/>
                <m:e>
                  <m:sSup>
                    <m:sSupPr>
                      <m:ctrlPr>
                        <w:rPr>
                          <w:rFonts w:ascii="Cambria Math" w:hAnsi="Cambria Math"/>
                        </w:rPr>
                      </m:ctrlPr>
                    </m:sSupPr>
                    <m:e>
                      <m:acc>
                        <m:accPr>
                          <m:ctrlPr>
                            <w:rPr>
                              <w:rFonts w:ascii="Cambria Math" w:hAnsi="Cambria Math"/>
                            </w:rPr>
                          </m:ctrlPr>
                        </m:accPr>
                        <m:e>
                          <m:r>
                            <w:rPr>
                              <w:rFonts w:ascii="Cambria Math" w:hAnsi="Cambria Math"/>
                            </w:rPr>
                            <m:t>τ</m:t>
                          </m:r>
                        </m:e>
                      </m:acc>
                    </m:e>
                    <m:sup>
                      <m:r>
                        <m:rPr>
                          <m:sty m:val="p"/>
                        </m:rPr>
                        <w:rPr>
                          <w:rFonts w:ascii="Cambria Math" w:hAnsi="Cambria Math"/>
                        </w:rPr>
                        <m:t>2</m:t>
                      </m:r>
                    </m:sup>
                  </m:sSup>
                </m:e>
              </m:rad>
              <m:r>
                <w:rPr>
                  <w:rFonts w:ascii="Cambria Math" w:hAnsi="Cambria Math"/>
                </w:rPr>
                <m:t xml:space="preserve"> #</m:t>
              </m:r>
              <m:d>
                <m:dPr>
                  <m:ctrlPr>
                    <w:rPr>
                      <w:rFonts w:ascii="Cambria Math" w:hAnsi="Cambria Math"/>
                      <w:i/>
                    </w:rPr>
                  </m:ctrlPr>
                </m:dPr>
                <m:e>
                  <m:r>
                    <w:rPr>
                      <w:rFonts w:ascii="Cambria Math" w:hAnsi="Cambria Math"/>
                    </w:rPr>
                    <m:t>3</m:t>
                  </m:r>
                </m:e>
              </m:d>
            </m:e>
          </m:eqArr>
        </m:oMath>
      </m:oMathPara>
    </w:p>
    <w:p w14:paraId="0238E81C" w14:textId="77777777" w:rsidR="000E5C0F" w:rsidRPr="00CC1B6A" w:rsidRDefault="00000000" w:rsidP="00D77465">
      <m:oMathPara>
        <m:oMath>
          <m:eqArr>
            <m:eqArrPr>
              <m:maxDist m:val="1"/>
              <m:ctrlPr>
                <w:rPr>
                  <w:rFonts w:ascii="Cambria Math" w:hAnsi="Cambria Math"/>
                  <w:i/>
                </w:rPr>
              </m:ctrlPr>
            </m:eqArrPr>
            <m:e>
              <m:r>
                <m:rPr>
                  <m:sty m:val="p"/>
                </m:rPr>
                <w:rPr>
                  <w:rFonts w:ascii="Cambria Math" w:hAnsi="Cambria Math"/>
                </w:rPr>
                <m:t>95% PI=</m:t>
              </m:r>
              <m:acc>
                <m:accPr>
                  <m:chr m:val="̅"/>
                  <m:ctrlPr>
                    <w:rPr>
                      <w:rFonts w:ascii="Cambria Math" w:hAnsi="Cambria Math"/>
                    </w:rPr>
                  </m:ctrlPr>
                </m:accPr>
                <m:e>
                  <m:r>
                    <w:rPr>
                      <w:rFonts w:ascii="Cambria Math" w:hAnsi="Cambria Math"/>
                    </w:rPr>
                    <m:t>r</m:t>
                  </m:r>
                </m:e>
              </m:acc>
              <m:r>
                <m:rPr>
                  <m:sty m:val="p"/>
                </m:rPr>
                <w:rPr>
                  <w:rFonts w:ascii="Cambria Math" w:hAnsi="Cambria Math"/>
                </w:rPr>
                <m:t xml:space="preserve"> ±1.96</m:t>
              </m:r>
              <m:rad>
                <m:radPr>
                  <m:degHide m:val="1"/>
                  <m:ctrlPr>
                    <w:rPr>
                      <w:rFonts w:ascii="Cambria Math" w:hAnsi="Cambria Math"/>
                    </w:rPr>
                  </m:ctrlPr>
                </m:radPr>
                <m:deg/>
                <m:e>
                  <m:sSup>
                    <m:sSupPr>
                      <m:ctrlPr>
                        <w:rPr>
                          <w:rFonts w:ascii="Cambria Math" w:hAnsi="Cambria Math"/>
                        </w:rPr>
                      </m:ctrlPr>
                    </m:sSupPr>
                    <m:e>
                      <m:acc>
                        <m:accPr>
                          <m:ctrlPr>
                            <w:rPr>
                              <w:rFonts w:ascii="Cambria Math" w:hAnsi="Cambria Math"/>
                            </w:rPr>
                          </m:ctrlPr>
                        </m:accPr>
                        <m:e>
                          <m:r>
                            <w:rPr>
                              <w:rFonts w:ascii="Cambria Math" w:hAnsi="Cambria Math"/>
                            </w:rPr>
                            <m:t>τ</m:t>
                          </m:r>
                        </m:e>
                      </m:acc>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acc>
                        <m:accPr>
                          <m:ctrlPr>
                            <w:rPr>
                              <w:rFonts w:ascii="Cambria Math" w:hAnsi="Cambria Math"/>
                            </w:rPr>
                          </m:ctrlPr>
                        </m:accPr>
                        <m:e>
                          <m:r>
                            <w:rPr>
                              <w:rFonts w:ascii="Cambria Math" w:hAnsi="Cambria Math"/>
                            </w:rPr>
                            <m:t>σ</m:t>
                          </m:r>
                        </m:e>
                      </m:acc>
                    </m:e>
                    <m:sup>
                      <m:r>
                        <m:rPr>
                          <m:sty m:val="p"/>
                        </m:rPr>
                        <w:rPr>
                          <w:rFonts w:ascii="Cambria Math" w:hAnsi="Cambria Math"/>
                        </w:rPr>
                        <m:t>2</m:t>
                      </m:r>
                    </m:sup>
                  </m:sSup>
                </m:e>
              </m:rad>
              <m:r>
                <w:rPr>
                  <w:rFonts w:ascii="Cambria Math" w:hAnsi="Cambria Math"/>
                </w:rPr>
                <m:t xml:space="preserve"> #</m:t>
              </m:r>
              <m:d>
                <m:dPr>
                  <m:ctrlPr>
                    <w:rPr>
                      <w:rFonts w:ascii="Cambria Math" w:hAnsi="Cambria Math"/>
                      <w:i/>
                    </w:rPr>
                  </m:ctrlPr>
                </m:dPr>
                <m:e>
                  <m:r>
                    <w:rPr>
                      <w:rFonts w:ascii="Cambria Math" w:hAnsi="Cambria Math"/>
                    </w:rPr>
                    <m:t>4</m:t>
                  </m:r>
                </m:e>
              </m:d>
            </m:e>
          </m:eqArr>
        </m:oMath>
      </m:oMathPara>
    </w:p>
    <w:p w14:paraId="5C2D38E3" w14:textId="77777777" w:rsidR="000E5C0F" w:rsidRDefault="000E5C0F" w:rsidP="00D77465"/>
    <w:p w14:paraId="4DEC3794" w14:textId="77777777" w:rsidR="000E5C0F" w:rsidRPr="00CC1B6A" w:rsidRDefault="000E5C0F" w:rsidP="00D77465"/>
    <w:p w14:paraId="7A1D14CF" w14:textId="77777777" w:rsidR="000E5C0F" w:rsidRPr="00CC1B6A" w:rsidRDefault="000E5C0F" w:rsidP="00D77465">
      <w:r w:rsidRPr="00CC1B6A">
        <w:t xml:space="preserve">Where </w:t>
      </w:r>
      <m:oMath>
        <m:acc>
          <m:accPr>
            <m:chr m:val="̅"/>
            <m:ctrlPr>
              <w:rPr>
                <w:rFonts w:ascii="Cambria Math" w:hAnsi="Cambria Math"/>
                <w:i/>
              </w:rPr>
            </m:ctrlPr>
          </m:accPr>
          <m:e>
            <m:r>
              <w:rPr>
                <w:rFonts w:ascii="Cambria Math" w:hAnsi="Cambria Math"/>
              </w:rPr>
              <m:t>r</m:t>
            </m:r>
          </m:e>
        </m:acc>
      </m:oMath>
      <w:r w:rsidRPr="00CC1B6A">
        <w:t xml:space="preserve"> is the weighted average effect size,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Pr="00CC1B6A">
        <w:t xml:space="preserve"> is the estimated within-study variance (i.e., the square of the Standard Error of </w:t>
      </w:r>
      <m:oMath>
        <m:acc>
          <m:accPr>
            <m:chr m:val="̅"/>
            <m:ctrlPr>
              <w:rPr>
                <w:rFonts w:ascii="Cambria Math" w:hAnsi="Cambria Math"/>
                <w:i/>
              </w:rPr>
            </m:ctrlPr>
          </m:accPr>
          <m:e>
            <m:r>
              <w:rPr>
                <w:rFonts w:ascii="Cambria Math" w:hAnsi="Cambria Math"/>
              </w:rPr>
              <m:t>r</m:t>
            </m:r>
          </m:e>
        </m:acc>
      </m:oMath>
      <w:r w:rsidRPr="00CC1B6A">
        <w:t xml:space="preserve">), and </w:t>
      </w:r>
      <m:oMath>
        <m:sSup>
          <m:sSupPr>
            <m:ctrlPr>
              <w:rPr>
                <w:rFonts w:ascii="Cambria Math" w:hAnsi="Cambria Math"/>
                <w:i/>
              </w:rPr>
            </m:ctrlPr>
          </m:sSupPr>
          <m:e>
            <m:acc>
              <m:accPr>
                <m:ctrlPr>
                  <w:rPr>
                    <w:rFonts w:ascii="Cambria Math" w:hAnsi="Cambria Math"/>
                    <w:i/>
                  </w:rPr>
                </m:ctrlPr>
              </m:accPr>
              <m:e>
                <m:r>
                  <w:rPr>
                    <w:rFonts w:ascii="Cambria Math" w:hAnsi="Cambria Math"/>
                  </w:rPr>
                  <m:t>τ</m:t>
                </m:r>
              </m:e>
            </m:acc>
          </m:e>
          <m:sup>
            <m:r>
              <w:rPr>
                <w:rFonts w:ascii="Cambria Math" w:hAnsi="Cambria Math"/>
              </w:rPr>
              <m:t>2</m:t>
            </m:r>
          </m:sup>
        </m:sSup>
      </m:oMath>
      <w:r w:rsidRPr="00CC1B6A">
        <w:t xml:space="preserve"> is the estimated between-study variance (heterogeneity). </w:t>
      </w:r>
    </w:p>
    <w:p w14:paraId="48B4468E" w14:textId="77777777" w:rsidR="000E5C0F" w:rsidRPr="00CC1B6A" w:rsidRDefault="000E5C0F" w:rsidP="00D77465">
      <w:r w:rsidRPr="00CC1B6A">
        <w:t>An important point to appreciate regarding Credibility Intervals is that when between-study heterogeneity is zero (</w:t>
      </w:r>
      <m:oMath>
        <m:sSup>
          <m:sSupPr>
            <m:ctrlPr>
              <w:rPr>
                <w:rFonts w:ascii="Cambria Math" w:hAnsi="Cambria Math"/>
              </w:rPr>
            </m:ctrlPr>
          </m:sSupPr>
          <m:e>
            <m:acc>
              <m:accPr>
                <m:ctrlPr>
                  <w:rPr>
                    <w:rFonts w:ascii="Cambria Math" w:hAnsi="Cambria Math"/>
                  </w:rPr>
                </m:ctrlPr>
              </m:accPr>
              <m:e>
                <m:r>
                  <w:rPr>
                    <w:rFonts w:ascii="Cambria Math" w:hAnsi="Cambria Math"/>
                  </w:rPr>
                  <m:t>τ</m:t>
                </m:r>
              </m:e>
            </m:acc>
          </m:e>
          <m:sup>
            <m:r>
              <m:rPr>
                <m:sty m:val="p"/>
              </m:rPr>
              <w:rPr>
                <w:rFonts w:ascii="Cambria Math" w:hAnsi="Cambria Math"/>
              </w:rPr>
              <m:t>2</m:t>
            </m:r>
          </m:sup>
        </m:sSup>
      </m:oMath>
      <w:r w:rsidRPr="00CC1B6A">
        <w:t xml:space="preserve"> = 0), the CR interval width will also be zero, as is the case in the results of the verification attempts reported later. </w:t>
      </w:r>
    </w:p>
    <w:p w14:paraId="47038B14" w14:textId="77777777" w:rsidR="000E5C0F" w:rsidRDefault="000E5C0F" w:rsidP="00D77465">
      <w:r w:rsidRPr="00CC1B6A">
        <w:t xml:space="preserve">This also follows from Field &amp; Gillet’s (2010) equations 2, 3, 4, and 5 (note that they use slightly different notation), which define the variance in the estimate of population correlations as the variance of sample effect sizes (which Vahey et al. 2015 denote as </w:t>
      </w:r>
      <m:oMath>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2</m:t>
            </m:r>
          </m:sup>
        </m:sSubSup>
      </m:oMath>
      <w:r w:rsidRPr="00CC1B6A">
        <w:t xml:space="preserve">) minus the sampling error variance. As such, if the sampling error variance is found to be larger than the variance in the sample effect sizes, then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CC1B6A">
        <w:t xml:space="preserve"> will be negative, and Credibility Intervals cannot be calculated, as the square root of a negative number is non-real. Although Field and Gillett (2010) do not discuss this possibility in their article, they cover this case in their code by setting negative values of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CC1B6A">
        <w:t xml:space="preserve"> to zero (see “h_s syntax.sps” script). In such cases, both the lower and upper bound of the Credibility Interval will equal the point estimate (i.e., </w:t>
      </w:r>
      <m:oMath>
        <m:r>
          <w:rPr>
            <w:rFonts w:ascii="Cambria Math" w:hAnsi="Cambria Math"/>
          </w:rPr>
          <m:t xml:space="preserve">95% </m:t>
        </m:r>
        <m:r>
          <m:rPr>
            <m:sty m:val="p"/>
          </m:rPr>
          <w:rPr>
            <w:rFonts w:ascii="Cambria Math" w:hAnsi="Cambria Math"/>
          </w:rPr>
          <m:t>CR</m:t>
        </m:r>
        <m:r>
          <w:rPr>
            <w:rFonts w:ascii="Cambria Math" w:hAnsi="Cambria Math"/>
          </w:rPr>
          <m:t xml:space="preserve">= </m:t>
        </m:r>
        <m:acc>
          <m:accPr>
            <m:chr m:val="̅"/>
            <m:ctrlPr>
              <w:rPr>
                <w:rFonts w:ascii="Cambria Math" w:hAnsi="Cambria Math"/>
              </w:rPr>
            </m:ctrlPr>
          </m:accPr>
          <m:e>
            <m:r>
              <w:rPr>
                <w:rFonts w:ascii="Cambria Math" w:hAnsi="Cambria Math"/>
              </w:rPr>
              <m:t>r</m:t>
            </m:r>
          </m:e>
        </m:acc>
        <m:r>
          <w:rPr>
            <w:rFonts w:ascii="Cambria Math" w:hAnsi="Cambria Math"/>
          </w:rPr>
          <m:t xml:space="preserve"> ±1.96×0=[</m:t>
        </m:r>
        <m:acc>
          <m:accPr>
            <m:chr m:val="̅"/>
            <m:ctrlPr>
              <w:rPr>
                <w:rFonts w:ascii="Cambria Math" w:hAnsi="Cambria Math"/>
              </w:rPr>
            </m:ctrlPr>
          </m:accPr>
          <m:e>
            <m:r>
              <w:rPr>
                <w:rFonts w:ascii="Cambria Math" w:hAnsi="Cambria Math"/>
              </w:rPr>
              <m:t>r</m:t>
            </m:r>
          </m:e>
        </m:acc>
        <m:r>
          <w:rPr>
            <w:rFonts w:ascii="Cambria Math" w:hAnsi="Cambria Math"/>
          </w:rPr>
          <m:t xml:space="preserve">,  </m:t>
        </m:r>
        <m:acc>
          <m:accPr>
            <m:chr m:val="̅"/>
            <m:ctrlPr>
              <w:rPr>
                <w:rFonts w:ascii="Cambria Math" w:hAnsi="Cambria Math"/>
              </w:rPr>
            </m:ctrlPr>
          </m:accPr>
          <m:e>
            <m:r>
              <w:rPr>
                <w:rFonts w:ascii="Cambria Math" w:hAnsi="Cambria Math"/>
              </w:rPr>
              <m:t>r</m:t>
            </m:r>
          </m:e>
        </m:acc>
        <m:r>
          <w:rPr>
            <w:rFonts w:ascii="Cambria Math" w:hAnsi="Cambria Math"/>
          </w:rPr>
          <m:t>]</m:t>
        </m:r>
      </m:oMath>
      <w:r w:rsidRPr="00CC1B6A">
        <w:t>). This would represent an important case in which Confidence Intervals are both wider than Credibility Intervals, contrary to Vahey et al.'s (2015) claim and indeed where the Credibility Intervals are implausibly narrow (i.e., 0).</w:t>
      </w:r>
    </w:p>
    <w:p w14:paraId="1FB770AC" w14:textId="4E989C59" w:rsidR="00056983" w:rsidRPr="00993E5C" w:rsidRDefault="00056983" w:rsidP="00D77465">
      <w:pPr>
        <w:sectPr w:rsidR="00056983" w:rsidRPr="00993E5C" w:rsidSect="00D77465">
          <w:pgSz w:w="11900" w:h="16840"/>
          <w:pgMar w:top="1440" w:right="1440" w:bottom="1440" w:left="1440" w:header="709" w:footer="709" w:gutter="0"/>
          <w:cols w:space="340"/>
          <w:titlePg/>
          <w:docGrid w:linePitch="360"/>
          <w15:footnoteColumns w:val="1"/>
        </w:sectPr>
      </w:pPr>
    </w:p>
    <w:p w14:paraId="14BB7E51" w14:textId="119840C2" w:rsidR="004219D9" w:rsidRPr="004219D9" w:rsidRDefault="00000000" w:rsidP="000C7F5A">
      <w:pPr>
        <w:ind w:firstLine="0"/>
        <w:rPr>
          <w:rFonts w:eastAsia="MS Mincho"/>
          <w:lang w:val=""/>
        </w:rPr>
      </w:pPr>
      <w:r w:rsidRPr="00DC0FA7">
        <w:rPr>
          <w:rFonts w:eastAsia="MS Mincho"/>
          <w:b/>
          <w:bCs/>
          <w:lang w:val=""/>
        </w:rPr>
        <w:lastRenderedPageBreak/>
        <w:t xml:space="preserve">Table </w:t>
      </w:r>
      <w:r w:rsidR="00BD4CA2" w:rsidRPr="00DC0FA7">
        <w:rPr>
          <w:rFonts w:eastAsia="MS Mincho"/>
          <w:b/>
          <w:bCs/>
          <w:lang w:val=""/>
        </w:rPr>
        <w:t>3</w:t>
      </w:r>
      <w:r w:rsidRPr="00DC0FA7">
        <w:rPr>
          <w:rFonts w:eastAsia="MS Mincho"/>
          <w:b/>
          <w:bCs/>
          <w:lang w:val=""/>
        </w:rPr>
        <w:t xml:space="preserve">. </w:t>
      </w:r>
      <w:r w:rsidRPr="00DC0FA7">
        <w:rPr>
          <w:rFonts w:eastAsia="MS Mincho"/>
          <w:lang w:val=""/>
        </w:rPr>
        <w:t>Verification attempts for the meta-analysis</w:t>
      </w:r>
    </w:p>
    <w:tbl>
      <w:tblPr>
        <w:tblStyle w:val="TableGrid1"/>
        <w:tblW w:w="0" w:type="auto"/>
        <w:jc w:val="center"/>
        <w:tblLook w:val="04A0" w:firstRow="1" w:lastRow="0" w:firstColumn="1" w:lastColumn="0" w:noHBand="0" w:noVBand="1"/>
      </w:tblPr>
      <w:tblGrid>
        <w:gridCol w:w="1161"/>
        <w:gridCol w:w="3412"/>
        <w:gridCol w:w="4319"/>
        <w:gridCol w:w="706"/>
        <w:gridCol w:w="738"/>
        <w:gridCol w:w="716"/>
        <w:gridCol w:w="738"/>
        <w:gridCol w:w="716"/>
        <w:gridCol w:w="738"/>
        <w:gridCol w:w="716"/>
      </w:tblGrid>
      <w:tr w:rsidR="00AA6907" w:rsidRPr="000C7F5A" w14:paraId="5C785B6C" w14:textId="77777777" w:rsidTr="002D69CC">
        <w:trPr>
          <w:trHeight w:val="269"/>
          <w:jc w:val="center"/>
        </w:trPr>
        <w:tc>
          <w:tcPr>
            <w:tcW w:w="1080" w:type="dxa"/>
            <w:tcBorders>
              <w:top w:val="single" w:sz="4" w:space="0" w:color="auto"/>
              <w:left w:val="nil"/>
              <w:bottom w:val="nil"/>
              <w:right w:val="nil"/>
            </w:tcBorders>
            <w:vAlign w:val="center"/>
          </w:tcPr>
          <w:p w14:paraId="77E99AA7" w14:textId="77777777" w:rsidR="009B4A0E" w:rsidRPr="000C7F5A" w:rsidRDefault="009B4A0E" w:rsidP="000C7F5A">
            <w:pPr>
              <w:spacing w:line="240" w:lineRule="auto"/>
              <w:ind w:firstLine="0"/>
              <w:rPr>
                <w:rFonts w:eastAsia="MS Mincho"/>
                <w:sz w:val="20"/>
                <w:szCs w:val="20"/>
              </w:rPr>
            </w:pPr>
          </w:p>
        </w:tc>
        <w:tc>
          <w:tcPr>
            <w:tcW w:w="3420" w:type="dxa"/>
            <w:tcBorders>
              <w:top w:val="single" w:sz="4" w:space="0" w:color="auto"/>
              <w:left w:val="nil"/>
              <w:bottom w:val="nil"/>
              <w:right w:val="nil"/>
            </w:tcBorders>
            <w:vAlign w:val="center"/>
          </w:tcPr>
          <w:p w14:paraId="57DEDF78" w14:textId="77777777" w:rsidR="009B4A0E" w:rsidRPr="000C7F5A" w:rsidRDefault="009B4A0E" w:rsidP="000C7F5A">
            <w:pPr>
              <w:spacing w:line="240" w:lineRule="auto"/>
              <w:ind w:firstLine="0"/>
              <w:rPr>
                <w:rFonts w:eastAsia="MS Mincho"/>
                <w:sz w:val="20"/>
                <w:szCs w:val="20"/>
              </w:rPr>
            </w:pPr>
          </w:p>
        </w:tc>
        <w:tc>
          <w:tcPr>
            <w:tcW w:w="4332" w:type="dxa"/>
            <w:tcBorders>
              <w:top w:val="single" w:sz="4" w:space="0" w:color="auto"/>
              <w:left w:val="nil"/>
              <w:bottom w:val="nil"/>
              <w:right w:val="nil"/>
            </w:tcBorders>
            <w:vAlign w:val="center"/>
          </w:tcPr>
          <w:p w14:paraId="1C2FE087" w14:textId="77777777" w:rsidR="009B4A0E" w:rsidRPr="000C7F5A" w:rsidRDefault="009B4A0E" w:rsidP="000C7F5A">
            <w:pPr>
              <w:spacing w:line="240" w:lineRule="auto"/>
              <w:ind w:firstLine="0"/>
              <w:rPr>
                <w:rFonts w:eastAsia="MS Mincho"/>
                <w:sz w:val="20"/>
                <w:szCs w:val="20"/>
              </w:rPr>
            </w:pPr>
          </w:p>
        </w:tc>
        <w:tc>
          <w:tcPr>
            <w:tcW w:w="706" w:type="dxa"/>
            <w:tcBorders>
              <w:top w:val="single" w:sz="4" w:space="0" w:color="auto"/>
              <w:left w:val="nil"/>
              <w:bottom w:val="nil"/>
              <w:right w:val="nil"/>
            </w:tcBorders>
            <w:noWrap/>
            <w:vAlign w:val="center"/>
          </w:tcPr>
          <w:p w14:paraId="73C55E07" w14:textId="77777777" w:rsidR="009B4A0E" w:rsidRPr="000C7F5A" w:rsidRDefault="009B4A0E" w:rsidP="000C7F5A">
            <w:pPr>
              <w:spacing w:line="240" w:lineRule="auto"/>
              <w:ind w:firstLine="0"/>
              <w:rPr>
                <w:rFonts w:eastAsia="MS Mincho"/>
                <w:sz w:val="20"/>
                <w:szCs w:val="20"/>
              </w:rPr>
            </w:pPr>
          </w:p>
        </w:tc>
        <w:tc>
          <w:tcPr>
            <w:tcW w:w="1412" w:type="dxa"/>
            <w:gridSpan w:val="2"/>
            <w:tcBorders>
              <w:top w:val="single" w:sz="4" w:space="0" w:color="auto"/>
              <w:left w:val="nil"/>
              <w:bottom w:val="single" w:sz="4" w:space="0" w:color="auto"/>
              <w:right w:val="nil"/>
            </w:tcBorders>
            <w:noWrap/>
            <w:vAlign w:val="center"/>
          </w:tcPr>
          <w:p w14:paraId="75B51B37" w14:textId="77777777" w:rsidR="009B4A0E" w:rsidRPr="000C7F5A" w:rsidRDefault="00000000" w:rsidP="000C7F5A">
            <w:pPr>
              <w:spacing w:line="240" w:lineRule="auto"/>
              <w:ind w:firstLine="0"/>
              <w:rPr>
                <w:rFonts w:eastAsia="MS Mincho"/>
                <w:sz w:val="20"/>
                <w:szCs w:val="20"/>
              </w:rPr>
            </w:pPr>
            <w:r w:rsidRPr="000C7F5A">
              <w:rPr>
                <w:rFonts w:eastAsia="MS Mincho"/>
                <w:sz w:val="20"/>
                <w:szCs w:val="20"/>
              </w:rPr>
              <w:t>95% CI</w:t>
            </w:r>
          </w:p>
        </w:tc>
        <w:tc>
          <w:tcPr>
            <w:tcW w:w="1412" w:type="dxa"/>
            <w:gridSpan w:val="2"/>
            <w:tcBorders>
              <w:top w:val="single" w:sz="4" w:space="0" w:color="auto"/>
              <w:left w:val="nil"/>
              <w:bottom w:val="single" w:sz="4" w:space="0" w:color="auto"/>
              <w:right w:val="nil"/>
            </w:tcBorders>
            <w:noWrap/>
            <w:vAlign w:val="center"/>
          </w:tcPr>
          <w:p w14:paraId="3FE203BE" w14:textId="77777777" w:rsidR="009B4A0E" w:rsidRPr="000C7F5A" w:rsidRDefault="00000000" w:rsidP="000C7F5A">
            <w:pPr>
              <w:spacing w:line="240" w:lineRule="auto"/>
              <w:ind w:firstLine="0"/>
              <w:rPr>
                <w:rFonts w:eastAsia="MS Mincho"/>
                <w:sz w:val="20"/>
                <w:szCs w:val="20"/>
              </w:rPr>
            </w:pPr>
            <w:r w:rsidRPr="000C7F5A">
              <w:rPr>
                <w:rFonts w:eastAsia="MS Mincho"/>
                <w:sz w:val="20"/>
                <w:szCs w:val="20"/>
              </w:rPr>
              <w:t>95% CR</w:t>
            </w:r>
          </w:p>
        </w:tc>
        <w:tc>
          <w:tcPr>
            <w:tcW w:w="1412" w:type="dxa"/>
            <w:gridSpan w:val="2"/>
            <w:tcBorders>
              <w:top w:val="single" w:sz="4" w:space="0" w:color="auto"/>
              <w:left w:val="nil"/>
              <w:bottom w:val="single" w:sz="4" w:space="0" w:color="auto"/>
              <w:right w:val="nil"/>
            </w:tcBorders>
            <w:vAlign w:val="center"/>
          </w:tcPr>
          <w:p w14:paraId="5CB6661D" w14:textId="77777777" w:rsidR="009B4A0E" w:rsidRPr="000C7F5A" w:rsidRDefault="00000000" w:rsidP="000C7F5A">
            <w:pPr>
              <w:spacing w:line="240" w:lineRule="auto"/>
              <w:ind w:firstLine="0"/>
              <w:rPr>
                <w:rFonts w:eastAsia="MS Mincho"/>
                <w:sz w:val="20"/>
                <w:szCs w:val="20"/>
              </w:rPr>
            </w:pPr>
            <w:r w:rsidRPr="000C7F5A">
              <w:rPr>
                <w:rFonts w:eastAsia="MS Mincho"/>
                <w:sz w:val="20"/>
                <w:szCs w:val="20"/>
              </w:rPr>
              <w:t>95% PI</w:t>
            </w:r>
          </w:p>
        </w:tc>
      </w:tr>
      <w:tr w:rsidR="00AA6907" w:rsidRPr="000C7F5A" w14:paraId="23B185AD" w14:textId="77777777" w:rsidTr="002D69CC">
        <w:trPr>
          <w:trHeight w:val="269"/>
          <w:jc w:val="center"/>
        </w:trPr>
        <w:tc>
          <w:tcPr>
            <w:tcW w:w="1080" w:type="dxa"/>
            <w:tcBorders>
              <w:top w:val="nil"/>
              <w:left w:val="nil"/>
              <w:bottom w:val="single" w:sz="4" w:space="0" w:color="auto"/>
              <w:right w:val="nil"/>
            </w:tcBorders>
            <w:vAlign w:val="center"/>
            <w:hideMark/>
          </w:tcPr>
          <w:p w14:paraId="105825DD" w14:textId="77777777" w:rsidR="009B4A0E" w:rsidRPr="000C7F5A" w:rsidRDefault="00000000" w:rsidP="000C7F5A">
            <w:pPr>
              <w:spacing w:line="240" w:lineRule="auto"/>
              <w:ind w:firstLine="0"/>
              <w:rPr>
                <w:rFonts w:eastAsia="MS Mincho"/>
                <w:sz w:val="20"/>
                <w:szCs w:val="20"/>
              </w:rPr>
            </w:pPr>
            <w:r w:rsidRPr="000C7F5A">
              <w:rPr>
                <w:rFonts w:eastAsia="MS Mincho"/>
                <w:sz w:val="20"/>
                <w:szCs w:val="20"/>
              </w:rPr>
              <w:t>Source</w:t>
            </w:r>
          </w:p>
        </w:tc>
        <w:tc>
          <w:tcPr>
            <w:tcW w:w="3420" w:type="dxa"/>
            <w:tcBorders>
              <w:top w:val="nil"/>
              <w:left w:val="nil"/>
              <w:bottom w:val="single" w:sz="4" w:space="0" w:color="auto"/>
              <w:right w:val="nil"/>
            </w:tcBorders>
            <w:vAlign w:val="center"/>
            <w:hideMark/>
          </w:tcPr>
          <w:p w14:paraId="20B14AC8" w14:textId="77777777" w:rsidR="009B4A0E" w:rsidRPr="000C7F5A" w:rsidRDefault="00000000" w:rsidP="000C7F5A">
            <w:pPr>
              <w:spacing w:line="240" w:lineRule="auto"/>
              <w:ind w:firstLine="0"/>
              <w:rPr>
                <w:rFonts w:eastAsia="MS Mincho"/>
                <w:sz w:val="20"/>
                <w:szCs w:val="20"/>
              </w:rPr>
            </w:pPr>
            <w:r w:rsidRPr="000C7F5A">
              <w:rPr>
                <w:rFonts w:eastAsia="MS Mincho"/>
                <w:sz w:val="20"/>
                <w:szCs w:val="20"/>
              </w:rPr>
              <w:t>Implementation</w:t>
            </w:r>
          </w:p>
        </w:tc>
        <w:tc>
          <w:tcPr>
            <w:tcW w:w="4332" w:type="dxa"/>
            <w:tcBorders>
              <w:top w:val="nil"/>
              <w:left w:val="nil"/>
              <w:bottom w:val="single" w:sz="4" w:space="0" w:color="auto"/>
              <w:right w:val="nil"/>
            </w:tcBorders>
            <w:vAlign w:val="center"/>
            <w:hideMark/>
          </w:tcPr>
          <w:p w14:paraId="4C8E96AC" w14:textId="77777777" w:rsidR="009B4A0E" w:rsidRPr="000C7F5A" w:rsidRDefault="00000000" w:rsidP="000C7F5A">
            <w:pPr>
              <w:spacing w:line="240" w:lineRule="auto"/>
              <w:ind w:firstLine="0"/>
              <w:rPr>
                <w:rFonts w:eastAsia="MS Mincho"/>
                <w:sz w:val="20"/>
                <w:szCs w:val="20"/>
              </w:rPr>
            </w:pPr>
            <w:r w:rsidRPr="000C7F5A">
              <w:rPr>
                <w:rFonts w:eastAsia="MS Mincho"/>
                <w:sz w:val="20"/>
                <w:szCs w:val="20"/>
              </w:rPr>
              <w:t>Modifications from the original code</w:t>
            </w:r>
          </w:p>
        </w:tc>
        <w:tc>
          <w:tcPr>
            <w:tcW w:w="706" w:type="dxa"/>
            <w:tcBorders>
              <w:top w:val="nil"/>
              <w:left w:val="nil"/>
              <w:bottom w:val="single" w:sz="4" w:space="0" w:color="auto"/>
              <w:right w:val="nil"/>
            </w:tcBorders>
            <w:noWrap/>
            <w:vAlign w:val="center"/>
            <w:hideMark/>
          </w:tcPr>
          <w:p w14:paraId="15373148" w14:textId="77777777" w:rsidR="009B4A0E" w:rsidRPr="000C7F5A" w:rsidRDefault="00000000" w:rsidP="000C7F5A">
            <w:pPr>
              <w:spacing w:line="240" w:lineRule="auto"/>
              <w:ind w:firstLine="0"/>
              <w:rPr>
                <w:rFonts w:eastAsia="MS Mincho"/>
                <w:sz w:val="20"/>
                <w:szCs w:val="20"/>
              </w:rPr>
            </w:pPr>
            <m:oMathPara>
              <m:oMath>
                <m:acc>
                  <m:accPr>
                    <m:chr m:val="̅"/>
                    <m:ctrlPr>
                      <w:rPr>
                        <w:rFonts w:ascii="Cambria Math" w:eastAsia="MS Mincho" w:hAnsi="Cambria Math"/>
                        <w:sz w:val="20"/>
                        <w:szCs w:val="20"/>
                      </w:rPr>
                    </m:ctrlPr>
                  </m:accPr>
                  <m:e>
                    <m:r>
                      <w:rPr>
                        <w:rFonts w:ascii="Cambria Math" w:eastAsia="MS Mincho" w:hAnsi="Cambria Math"/>
                        <w:sz w:val="20"/>
                        <w:szCs w:val="20"/>
                      </w:rPr>
                      <m:t>r</m:t>
                    </m:r>
                  </m:e>
                </m:acc>
              </m:oMath>
            </m:oMathPara>
          </w:p>
        </w:tc>
        <w:tc>
          <w:tcPr>
            <w:tcW w:w="706" w:type="dxa"/>
            <w:tcBorders>
              <w:top w:val="single" w:sz="4" w:space="0" w:color="auto"/>
              <w:left w:val="nil"/>
              <w:bottom w:val="single" w:sz="4" w:space="0" w:color="auto"/>
              <w:right w:val="nil"/>
            </w:tcBorders>
            <w:noWrap/>
            <w:vAlign w:val="center"/>
            <w:hideMark/>
          </w:tcPr>
          <w:p w14:paraId="016A671C" w14:textId="77777777" w:rsidR="009B4A0E" w:rsidRPr="000C7F5A" w:rsidRDefault="00000000" w:rsidP="000C7F5A">
            <w:pPr>
              <w:spacing w:line="240" w:lineRule="auto"/>
              <w:ind w:firstLine="0"/>
              <w:rPr>
                <w:rFonts w:eastAsia="MS Mincho"/>
                <w:sz w:val="20"/>
                <w:szCs w:val="20"/>
              </w:rPr>
            </w:pPr>
            <w:r w:rsidRPr="000C7F5A">
              <w:rPr>
                <w:rFonts w:eastAsia="MS Mincho"/>
                <w:sz w:val="20"/>
                <w:szCs w:val="20"/>
              </w:rPr>
              <w:t>Lower</w:t>
            </w:r>
          </w:p>
        </w:tc>
        <w:tc>
          <w:tcPr>
            <w:tcW w:w="706" w:type="dxa"/>
            <w:tcBorders>
              <w:top w:val="single" w:sz="4" w:space="0" w:color="auto"/>
              <w:left w:val="nil"/>
              <w:bottom w:val="single" w:sz="4" w:space="0" w:color="auto"/>
              <w:right w:val="nil"/>
            </w:tcBorders>
            <w:noWrap/>
            <w:vAlign w:val="center"/>
            <w:hideMark/>
          </w:tcPr>
          <w:p w14:paraId="6A024961" w14:textId="77777777" w:rsidR="009B4A0E" w:rsidRPr="000C7F5A" w:rsidRDefault="00000000" w:rsidP="000C7F5A">
            <w:pPr>
              <w:spacing w:line="240" w:lineRule="auto"/>
              <w:ind w:firstLine="0"/>
              <w:rPr>
                <w:rFonts w:eastAsia="MS Mincho"/>
                <w:sz w:val="20"/>
                <w:szCs w:val="20"/>
              </w:rPr>
            </w:pPr>
            <w:r w:rsidRPr="000C7F5A">
              <w:rPr>
                <w:rFonts w:eastAsia="MS Mincho"/>
                <w:sz w:val="20"/>
                <w:szCs w:val="20"/>
              </w:rPr>
              <w:t>Upper</w:t>
            </w:r>
          </w:p>
        </w:tc>
        <w:tc>
          <w:tcPr>
            <w:tcW w:w="706" w:type="dxa"/>
            <w:tcBorders>
              <w:top w:val="single" w:sz="4" w:space="0" w:color="auto"/>
              <w:left w:val="nil"/>
              <w:bottom w:val="single" w:sz="4" w:space="0" w:color="auto"/>
              <w:right w:val="nil"/>
            </w:tcBorders>
            <w:noWrap/>
            <w:vAlign w:val="center"/>
            <w:hideMark/>
          </w:tcPr>
          <w:p w14:paraId="74C5EE85" w14:textId="77777777" w:rsidR="009B4A0E" w:rsidRPr="000C7F5A" w:rsidRDefault="00000000" w:rsidP="000C7F5A">
            <w:pPr>
              <w:spacing w:line="240" w:lineRule="auto"/>
              <w:ind w:firstLine="0"/>
              <w:rPr>
                <w:rFonts w:eastAsia="MS Mincho"/>
                <w:sz w:val="20"/>
                <w:szCs w:val="20"/>
              </w:rPr>
            </w:pPr>
            <w:r w:rsidRPr="000C7F5A">
              <w:rPr>
                <w:rFonts w:eastAsia="MS Mincho"/>
                <w:sz w:val="20"/>
                <w:szCs w:val="20"/>
              </w:rPr>
              <w:t>Lower</w:t>
            </w:r>
          </w:p>
        </w:tc>
        <w:tc>
          <w:tcPr>
            <w:tcW w:w="706" w:type="dxa"/>
            <w:tcBorders>
              <w:top w:val="single" w:sz="4" w:space="0" w:color="auto"/>
              <w:left w:val="nil"/>
              <w:bottom w:val="single" w:sz="4" w:space="0" w:color="auto"/>
              <w:right w:val="nil"/>
            </w:tcBorders>
            <w:noWrap/>
            <w:vAlign w:val="center"/>
            <w:hideMark/>
          </w:tcPr>
          <w:p w14:paraId="685C5947" w14:textId="77777777" w:rsidR="009B4A0E" w:rsidRPr="000C7F5A" w:rsidRDefault="00000000" w:rsidP="000C7F5A">
            <w:pPr>
              <w:spacing w:line="240" w:lineRule="auto"/>
              <w:ind w:firstLine="0"/>
              <w:rPr>
                <w:rFonts w:eastAsia="MS Mincho"/>
                <w:sz w:val="20"/>
                <w:szCs w:val="20"/>
              </w:rPr>
            </w:pPr>
            <w:r w:rsidRPr="000C7F5A">
              <w:rPr>
                <w:rFonts w:eastAsia="MS Mincho"/>
                <w:sz w:val="20"/>
                <w:szCs w:val="20"/>
              </w:rPr>
              <w:t>Upper</w:t>
            </w:r>
          </w:p>
        </w:tc>
        <w:tc>
          <w:tcPr>
            <w:tcW w:w="706" w:type="dxa"/>
            <w:tcBorders>
              <w:top w:val="single" w:sz="4" w:space="0" w:color="auto"/>
              <w:left w:val="nil"/>
              <w:bottom w:val="single" w:sz="4" w:space="0" w:color="auto"/>
              <w:right w:val="nil"/>
            </w:tcBorders>
            <w:vAlign w:val="center"/>
          </w:tcPr>
          <w:p w14:paraId="39D9E776" w14:textId="77777777" w:rsidR="009B4A0E" w:rsidRPr="000C7F5A" w:rsidRDefault="00000000" w:rsidP="000C7F5A">
            <w:pPr>
              <w:spacing w:line="240" w:lineRule="auto"/>
              <w:ind w:firstLine="0"/>
              <w:rPr>
                <w:rFonts w:eastAsia="MS Mincho"/>
                <w:sz w:val="20"/>
                <w:szCs w:val="20"/>
              </w:rPr>
            </w:pPr>
            <w:r w:rsidRPr="000C7F5A">
              <w:rPr>
                <w:rFonts w:eastAsia="MS Mincho"/>
                <w:sz w:val="20"/>
                <w:szCs w:val="20"/>
              </w:rPr>
              <w:t>Lower</w:t>
            </w:r>
          </w:p>
        </w:tc>
        <w:tc>
          <w:tcPr>
            <w:tcW w:w="706" w:type="dxa"/>
            <w:tcBorders>
              <w:top w:val="single" w:sz="4" w:space="0" w:color="auto"/>
              <w:left w:val="nil"/>
              <w:bottom w:val="single" w:sz="4" w:space="0" w:color="auto"/>
              <w:right w:val="nil"/>
            </w:tcBorders>
            <w:vAlign w:val="center"/>
          </w:tcPr>
          <w:p w14:paraId="77917E91" w14:textId="77777777" w:rsidR="009B4A0E" w:rsidRPr="000C7F5A" w:rsidRDefault="00000000" w:rsidP="000C7F5A">
            <w:pPr>
              <w:spacing w:line="240" w:lineRule="auto"/>
              <w:ind w:firstLine="0"/>
              <w:rPr>
                <w:rFonts w:eastAsia="MS Mincho"/>
                <w:sz w:val="20"/>
                <w:szCs w:val="20"/>
              </w:rPr>
            </w:pPr>
            <w:r w:rsidRPr="000C7F5A">
              <w:rPr>
                <w:rFonts w:eastAsia="MS Mincho"/>
                <w:sz w:val="20"/>
                <w:szCs w:val="20"/>
              </w:rPr>
              <w:t>Upper</w:t>
            </w:r>
          </w:p>
        </w:tc>
      </w:tr>
      <w:tr w:rsidR="000C7F5A" w:rsidRPr="000C7F5A" w14:paraId="26151E18" w14:textId="77777777" w:rsidTr="004219D9">
        <w:trPr>
          <w:trHeight w:val="806"/>
          <w:jc w:val="center"/>
        </w:trPr>
        <w:tc>
          <w:tcPr>
            <w:tcW w:w="1080" w:type="dxa"/>
            <w:tcBorders>
              <w:top w:val="single" w:sz="4" w:space="0" w:color="auto"/>
              <w:left w:val="nil"/>
              <w:bottom w:val="nil"/>
              <w:right w:val="nil"/>
            </w:tcBorders>
            <w:vAlign w:val="center"/>
            <w:hideMark/>
          </w:tcPr>
          <w:p w14:paraId="6C620135" w14:textId="77777777" w:rsidR="009B4A0E" w:rsidRPr="000C7F5A" w:rsidRDefault="00000000" w:rsidP="000C7F5A">
            <w:pPr>
              <w:spacing w:line="240" w:lineRule="auto"/>
              <w:ind w:firstLine="0"/>
              <w:rPr>
                <w:rFonts w:eastAsia="MS Mincho"/>
                <w:sz w:val="20"/>
                <w:szCs w:val="20"/>
              </w:rPr>
            </w:pPr>
            <w:r w:rsidRPr="000C7F5A">
              <w:rPr>
                <w:rFonts w:eastAsia="MS Mincho"/>
                <w:sz w:val="20"/>
                <w:szCs w:val="20"/>
              </w:rPr>
              <w:t>Vahey et al. (2015)</w:t>
            </w:r>
          </w:p>
        </w:tc>
        <w:tc>
          <w:tcPr>
            <w:tcW w:w="3420" w:type="dxa"/>
            <w:tcBorders>
              <w:top w:val="single" w:sz="4" w:space="0" w:color="auto"/>
              <w:left w:val="nil"/>
              <w:bottom w:val="nil"/>
              <w:right w:val="nil"/>
            </w:tcBorders>
            <w:vAlign w:val="center"/>
            <w:hideMark/>
          </w:tcPr>
          <w:p w14:paraId="06D53369" w14:textId="77777777" w:rsidR="009B4A0E" w:rsidRPr="000C7F5A" w:rsidRDefault="00000000" w:rsidP="000C7F5A">
            <w:pPr>
              <w:spacing w:line="240" w:lineRule="auto"/>
              <w:ind w:firstLine="0"/>
              <w:rPr>
                <w:rFonts w:eastAsia="MS Mincho"/>
                <w:sz w:val="20"/>
                <w:szCs w:val="20"/>
              </w:rPr>
            </w:pPr>
            <w:r w:rsidRPr="000C7F5A">
              <w:rPr>
                <w:rFonts w:eastAsia="MS Mincho"/>
                <w:sz w:val="20"/>
                <w:szCs w:val="20"/>
              </w:rPr>
              <w:t xml:space="preserve">Vahey </w:t>
            </w:r>
            <w:r w:rsidR="003A52F0" w:rsidRPr="000C7F5A">
              <w:rPr>
                <w:rFonts w:eastAsia="MS Mincho"/>
                <w:sz w:val="20"/>
                <w:szCs w:val="20"/>
              </w:rPr>
              <w:t xml:space="preserve">et al. (2015) state they followed </w:t>
            </w:r>
            <w:r w:rsidRPr="000C7F5A">
              <w:rPr>
                <w:rFonts w:eastAsia="MS Mincho"/>
                <w:sz w:val="20"/>
                <w:szCs w:val="20"/>
              </w:rPr>
              <w:t>Field &amp; Gillett’s (2010)</w:t>
            </w:r>
            <w:r w:rsidR="004219D9" w:rsidRPr="000C7F5A">
              <w:rPr>
                <w:rFonts w:eastAsia="MS Mincho"/>
                <w:sz w:val="20"/>
                <w:szCs w:val="20"/>
              </w:rPr>
              <w:t xml:space="preserve"> description of a Hunter and Schmidt style meta-analysis</w:t>
            </w:r>
          </w:p>
        </w:tc>
        <w:tc>
          <w:tcPr>
            <w:tcW w:w="4332" w:type="dxa"/>
            <w:tcBorders>
              <w:top w:val="single" w:sz="4" w:space="0" w:color="auto"/>
              <w:left w:val="nil"/>
              <w:bottom w:val="nil"/>
              <w:right w:val="nil"/>
            </w:tcBorders>
            <w:vAlign w:val="center"/>
            <w:hideMark/>
          </w:tcPr>
          <w:p w14:paraId="3C21FEDD" w14:textId="77777777" w:rsidR="009B4A0E" w:rsidRPr="000C7F5A" w:rsidRDefault="00000000" w:rsidP="000C7F5A">
            <w:pPr>
              <w:spacing w:line="240" w:lineRule="auto"/>
              <w:ind w:firstLine="0"/>
              <w:rPr>
                <w:rFonts w:eastAsia="MS Mincho"/>
                <w:sz w:val="20"/>
                <w:szCs w:val="20"/>
              </w:rPr>
            </w:pPr>
            <w:r w:rsidRPr="000C7F5A">
              <w:rPr>
                <w:rFonts w:eastAsia="MS Mincho"/>
                <w:sz w:val="20"/>
                <w:szCs w:val="20"/>
              </w:rPr>
              <w:t>Unknown.</w:t>
            </w:r>
          </w:p>
        </w:tc>
        <w:tc>
          <w:tcPr>
            <w:tcW w:w="706" w:type="dxa"/>
            <w:tcBorders>
              <w:top w:val="single" w:sz="4" w:space="0" w:color="auto"/>
              <w:left w:val="nil"/>
              <w:bottom w:val="nil"/>
              <w:right w:val="nil"/>
            </w:tcBorders>
            <w:shd w:val="clear" w:color="auto" w:fill="D9D9D9"/>
            <w:noWrap/>
            <w:vAlign w:val="center"/>
            <w:hideMark/>
          </w:tcPr>
          <w:p w14:paraId="7F3B3534" w14:textId="77777777" w:rsidR="009B4A0E" w:rsidRPr="000C7F5A" w:rsidRDefault="00000000" w:rsidP="000C7F5A">
            <w:pPr>
              <w:spacing w:line="240" w:lineRule="auto"/>
              <w:ind w:firstLine="0"/>
              <w:rPr>
                <w:rFonts w:eastAsia="MS Mincho"/>
                <w:sz w:val="20"/>
                <w:szCs w:val="20"/>
              </w:rPr>
            </w:pPr>
            <w:r w:rsidRPr="000C7F5A">
              <w:rPr>
                <w:rFonts w:eastAsia="MS Mincho"/>
                <w:sz w:val="20"/>
                <w:szCs w:val="20"/>
              </w:rPr>
              <w:t>.45</w:t>
            </w:r>
          </w:p>
        </w:tc>
        <w:tc>
          <w:tcPr>
            <w:tcW w:w="706" w:type="dxa"/>
            <w:tcBorders>
              <w:top w:val="single" w:sz="4" w:space="0" w:color="auto"/>
              <w:left w:val="nil"/>
              <w:bottom w:val="nil"/>
              <w:right w:val="nil"/>
            </w:tcBorders>
            <w:shd w:val="clear" w:color="auto" w:fill="D9D9D9"/>
            <w:noWrap/>
            <w:vAlign w:val="center"/>
            <w:hideMark/>
          </w:tcPr>
          <w:p w14:paraId="1D7512B0" w14:textId="77777777" w:rsidR="009B4A0E" w:rsidRPr="000C7F5A" w:rsidRDefault="00000000" w:rsidP="000C7F5A">
            <w:pPr>
              <w:spacing w:line="240" w:lineRule="auto"/>
              <w:ind w:firstLine="0"/>
              <w:rPr>
                <w:rFonts w:eastAsia="MS Mincho"/>
                <w:sz w:val="20"/>
                <w:szCs w:val="20"/>
              </w:rPr>
            </w:pPr>
            <w:r w:rsidRPr="000C7F5A">
              <w:rPr>
                <w:rFonts w:eastAsia="MS Mincho"/>
                <w:sz w:val="20"/>
                <w:szCs w:val="20"/>
              </w:rPr>
              <w:t>.40</w:t>
            </w:r>
          </w:p>
        </w:tc>
        <w:tc>
          <w:tcPr>
            <w:tcW w:w="706" w:type="dxa"/>
            <w:tcBorders>
              <w:top w:val="single" w:sz="4" w:space="0" w:color="auto"/>
              <w:left w:val="nil"/>
              <w:bottom w:val="nil"/>
              <w:right w:val="nil"/>
            </w:tcBorders>
            <w:shd w:val="clear" w:color="auto" w:fill="D9D9D9"/>
            <w:noWrap/>
            <w:vAlign w:val="center"/>
            <w:hideMark/>
          </w:tcPr>
          <w:p w14:paraId="2F5ABB16" w14:textId="77777777" w:rsidR="009B4A0E" w:rsidRPr="000C7F5A" w:rsidRDefault="00000000" w:rsidP="000C7F5A">
            <w:pPr>
              <w:spacing w:line="240" w:lineRule="auto"/>
              <w:ind w:firstLine="0"/>
              <w:rPr>
                <w:rFonts w:eastAsia="MS Mincho"/>
                <w:sz w:val="20"/>
                <w:szCs w:val="20"/>
              </w:rPr>
            </w:pPr>
            <w:r w:rsidRPr="000C7F5A">
              <w:rPr>
                <w:rFonts w:eastAsia="MS Mincho"/>
                <w:sz w:val="20"/>
                <w:szCs w:val="20"/>
              </w:rPr>
              <w:t>.54</w:t>
            </w:r>
          </w:p>
        </w:tc>
        <w:tc>
          <w:tcPr>
            <w:tcW w:w="706" w:type="dxa"/>
            <w:tcBorders>
              <w:top w:val="single" w:sz="4" w:space="0" w:color="auto"/>
              <w:left w:val="nil"/>
              <w:bottom w:val="nil"/>
              <w:right w:val="nil"/>
            </w:tcBorders>
            <w:shd w:val="clear" w:color="auto" w:fill="D9D9D9"/>
            <w:noWrap/>
            <w:vAlign w:val="center"/>
            <w:hideMark/>
          </w:tcPr>
          <w:p w14:paraId="46C809F7" w14:textId="77777777" w:rsidR="009B4A0E" w:rsidRPr="000C7F5A" w:rsidRDefault="00000000" w:rsidP="000C7F5A">
            <w:pPr>
              <w:spacing w:line="240" w:lineRule="auto"/>
              <w:ind w:firstLine="0"/>
              <w:rPr>
                <w:rFonts w:eastAsia="MS Mincho"/>
                <w:sz w:val="20"/>
                <w:szCs w:val="20"/>
              </w:rPr>
            </w:pPr>
            <w:r w:rsidRPr="000C7F5A">
              <w:rPr>
                <w:rFonts w:eastAsia="MS Mincho"/>
                <w:sz w:val="20"/>
                <w:szCs w:val="20"/>
              </w:rPr>
              <w:t>.23</w:t>
            </w:r>
          </w:p>
        </w:tc>
        <w:tc>
          <w:tcPr>
            <w:tcW w:w="706" w:type="dxa"/>
            <w:tcBorders>
              <w:top w:val="single" w:sz="4" w:space="0" w:color="auto"/>
              <w:left w:val="nil"/>
              <w:bottom w:val="nil"/>
              <w:right w:val="nil"/>
            </w:tcBorders>
            <w:shd w:val="clear" w:color="auto" w:fill="D9D9D9"/>
            <w:noWrap/>
            <w:vAlign w:val="center"/>
            <w:hideMark/>
          </w:tcPr>
          <w:p w14:paraId="033333CF" w14:textId="77777777" w:rsidR="009B4A0E" w:rsidRPr="000C7F5A" w:rsidRDefault="00000000" w:rsidP="000C7F5A">
            <w:pPr>
              <w:spacing w:line="240" w:lineRule="auto"/>
              <w:ind w:firstLine="0"/>
              <w:rPr>
                <w:rFonts w:eastAsia="MS Mincho"/>
                <w:sz w:val="20"/>
                <w:szCs w:val="20"/>
              </w:rPr>
            </w:pPr>
            <w:r w:rsidRPr="000C7F5A">
              <w:rPr>
                <w:rFonts w:eastAsia="MS Mincho"/>
                <w:sz w:val="20"/>
                <w:szCs w:val="20"/>
              </w:rPr>
              <w:t>.67</w:t>
            </w:r>
          </w:p>
        </w:tc>
        <w:tc>
          <w:tcPr>
            <w:tcW w:w="706" w:type="dxa"/>
            <w:tcBorders>
              <w:top w:val="single" w:sz="4" w:space="0" w:color="auto"/>
              <w:left w:val="nil"/>
              <w:bottom w:val="nil"/>
              <w:right w:val="nil"/>
            </w:tcBorders>
            <w:shd w:val="clear" w:color="auto" w:fill="D9D9D9"/>
            <w:vAlign w:val="center"/>
          </w:tcPr>
          <w:p w14:paraId="5E572EF7" w14:textId="77777777" w:rsidR="009B4A0E" w:rsidRPr="000C7F5A" w:rsidRDefault="00000000" w:rsidP="000C7F5A">
            <w:pPr>
              <w:spacing w:line="240" w:lineRule="auto"/>
              <w:ind w:firstLine="0"/>
              <w:rPr>
                <w:rFonts w:eastAsia="MS Mincho"/>
                <w:sz w:val="20"/>
                <w:szCs w:val="20"/>
              </w:rPr>
            </w:pPr>
            <w:r w:rsidRPr="000C7F5A">
              <w:rPr>
                <w:rFonts w:eastAsia="MS Mincho"/>
                <w:sz w:val="20"/>
                <w:szCs w:val="20"/>
              </w:rPr>
              <w:t>-</w:t>
            </w:r>
          </w:p>
        </w:tc>
        <w:tc>
          <w:tcPr>
            <w:tcW w:w="706" w:type="dxa"/>
            <w:tcBorders>
              <w:top w:val="single" w:sz="4" w:space="0" w:color="auto"/>
              <w:left w:val="nil"/>
              <w:bottom w:val="nil"/>
              <w:right w:val="nil"/>
            </w:tcBorders>
            <w:shd w:val="clear" w:color="auto" w:fill="D9D9D9"/>
            <w:vAlign w:val="center"/>
          </w:tcPr>
          <w:p w14:paraId="51B19E5C" w14:textId="77777777" w:rsidR="009B4A0E" w:rsidRPr="000C7F5A" w:rsidRDefault="00000000" w:rsidP="000C7F5A">
            <w:pPr>
              <w:spacing w:line="240" w:lineRule="auto"/>
              <w:ind w:firstLine="0"/>
              <w:rPr>
                <w:rFonts w:eastAsia="MS Mincho"/>
                <w:sz w:val="20"/>
                <w:szCs w:val="20"/>
              </w:rPr>
            </w:pPr>
            <w:r w:rsidRPr="000C7F5A">
              <w:rPr>
                <w:rFonts w:eastAsia="MS Mincho"/>
                <w:sz w:val="20"/>
                <w:szCs w:val="20"/>
              </w:rPr>
              <w:t>-</w:t>
            </w:r>
          </w:p>
        </w:tc>
      </w:tr>
      <w:tr w:rsidR="00AA6907" w:rsidRPr="000C7F5A" w14:paraId="4176787A" w14:textId="77777777" w:rsidTr="002D69CC">
        <w:trPr>
          <w:trHeight w:val="540"/>
          <w:jc w:val="center"/>
        </w:trPr>
        <w:tc>
          <w:tcPr>
            <w:tcW w:w="1080" w:type="dxa"/>
            <w:tcBorders>
              <w:top w:val="nil"/>
              <w:left w:val="nil"/>
              <w:bottom w:val="nil"/>
              <w:right w:val="nil"/>
            </w:tcBorders>
            <w:vAlign w:val="center"/>
            <w:hideMark/>
          </w:tcPr>
          <w:p w14:paraId="13303D10" w14:textId="77777777" w:rsidR="009B4A0E" w:rsidRPr="000C7F5A" w:rsidRDefault="00000000" w:rsidP="000C7F5A">
            <w:pPr>
              <w:spacing w:line="240" w:lineRule="auto"/>
              <w:ind w:firstLine="0"/>
              <w:rPr>
                <w:rFonts w:eastAsia="MS Mincho"/>
                <w:sz w:val="20"/>
                <w:szCs w:val="20"/>
              </w:rPr>
            </w:pPr>
            <w:r w:rsidRPr="000C7F5A">
              <w:rPr>
                <w:rFonts w:eastAsia="MS Mincho"/>
                <w:sz w:val="20"/>
                <w:szCs w:val="20"/>
              </w:rPr>
              <w:t>Verification attempt 1</w:t>
            </w:r>
          </w:p>
        </w:tc>
        <w:tc>
          <w:tcPr>
            <w:tcW w:w="3420" w:type="dxa"/>
            <w:tcBorders>
              <w:top w:val="nil"/>
              <w:left w:val="nil"/>
              <w:bottom w:val="nil"/>
              <w:right w:val="nil"/>
            </w:tcBorders>
            <w:vAlign w:val="center"/>
            <w:hideMark/>
          </w:tcPr>
          <w:p w14:paraId="3CA34716" w14:textId="77777777" w:rsidR="009B4A0E" w:rsidRPr="000C7F5A" w:rsidRDefault="00000000" w:rsidP="000C7F5A">
            <w:pPr>
              <w:spacing w:line="240" w:lineRule="auto"/>
              <w:ind w:firstLine="0"/>
              <w:rPr>
                <w:rFonts w:eastAsia="MS Mincho"/>
                <w:sz w:val="20"/>
                <w:szCs w:val="20"/>
              </w:rPr>
            </w:pPr>
            <w:r w:rsidRPr="000C7F5A">
              <w:rPr>
                <w:rFonts w:eastAsia="MS Mincho"/>
                <w:sz w:val="20"/>
                <w:szCs w:val="20"/>
              </w:rPr>
              <w:t>Hunter &amp; Schmidt method using Field &amp; Gillett’s (2010) “h_s_syntax.sps”</w:t>
            </w:r>
          </w:p>
        </w:tc>
        <w:tc>
          <w:tcPr>
            <w:tcW w:w="4332" w:type="dxa"/>
            <w:tcBorders>
              <w:top w:val="nil"/>
              <w:left w:val="nil"/>
              <w:bottom w:val="nil"/>
              <w:right w:val="nil"/>
            </w:tcBorders>
            <w:vAlign w:val="center"/>
            <w:hideMark/>
          </w:tcPr>
          <w:p w14:paraId="5EEADA47" w14:textId="77777777" w:rsidR="009B4A0E" w:rsidRPr="000C7F5A" w:rsidRDefault="00000000" w:rsidP="000C7F5A">
            <w:pPr>
              <w:spacing w:line="240" w:lineRule="auto"/>
              <w:ind w:firstLine="0"/>
              <w:rPr>
                <w:rFonts w:eastAsia="MS Mincho"/>
                <w:sz w:val="20"/>
                <w:szCs w:val="20"/>
              </w:rPr>
            </w:pPr>
            <w:r w:rsidRPr="000C7F5A">
              <w:rPr>
                <w:rFonts w:eastAsia="MS Mincho"/>
                <w:sz w:val="20"/>
                <w:szCs w:val="20"/>
              </w:rPr>
              <w:t>All reliabilities were set to 0.</w:t>
            </w:r>
          </w:p>
        </w:tc>
        <w:tc>
          <w:tcPr>
            <w:tcW w:w="706" w:type="dxa"/>
            <w:tcBorders>
              <w:top w:val="nil"/>
              <w:left w:val="nil"/>
              <w:bottom w:val="nil"/>
              <w:right w:val="nil"/>
            </w:tcBorders>
            <w:noWrap/>
            <w:vAlign w:val="center"/>
            <w:hideMark/>
          </w:tcPr>
          <w:p w14:paraId="72C4B3FA" w14:textId="77777777" w:rsidR="009B4A0E" w:rsidRPr="000C7F5A" w:rsidRDefault="00000000" w:rsidP="000C7F5A">
            <w:pPr>
              <w:spacing w:line="240" w:lineRule="auto"/>
              <w:ind w:firstLine="0"/>
              <w:rPr>
                <w:rFonts w:eastAsia="MS Mincho"/>
                <w:sz w:val="20"/>
                <w:szCs w:val="20"/>
              </w:rPr>
            </w:pPr>
            <w:r w:rsidRPr="000C7F5A">
              <w:rPr>
                <w:rFonts w:eastAsia="MS Mincho"/>
                <w:sz w:val="20"/>
                <w:szCs w:val="20"/>
              </w:rPr>
              <w:t>.47</w:t>
            </w:r>
          </w:p>
        </w:tc>
        <w:tc>
          <w:tcPr>
            <w:tcW w:w="706" w:type="dxa"/>
            <w:tcBorders>
              <w:top w:val="nil"/>
              <w:left w:val="nil"/>
              <w:bottom w:val="nil"/>
              <w:right w:val="nil"/>
            </w:tcBorders>
            <w:noWrap/>
            <w:vAlign w:val="center"/>
            <w:hideMark/>
          </w:tcPr>
          <w:p w14:paraId="7F396405" w14:textId="77777777" w:rsidR="009B4A0E" w:rsidRPr="000C7F5A" w:rsidRDefault="00000000" w:rsidP="000C7F5A">
            <w:pPr>
              <w:spacing w:line="240" w:lineRule="auto"/>
              <w:ind w:firstLine="0"/>
              <w:rPr>
                <w:rFonts w:eastAsia="MS Mincho"/>
                <w:sz w:val="20"/>
                <w:szCs w:val="20"/>
              </w:rPr>
            </w:pPr>
            <w:r w:rsidRPr="000C7F5A">
              <w:rPr>
                <w:rFonts w:eastAsia="MS Mincho"/>
                <w:sz w:val="20"/>
                <w:szCs w:val="20"/>
              </w:rPr>
              <w:t>.20</w:t>
            </w:r>
          </w:p>
        </w:tc>
        <w:tc>
          <w:tcPr>
            <w:tcW w:w="706" w:type="dxa"/>
            <w:tcBorders>
              <w:top w:val="nil"/>
              <w:left w:val="nil"/>
              <w:bottom w:val="nil"/>
              <w:right w:val="nil"/>
            </w:tcBorders>
            <w:noWrap/>
            <w:vAlign w:val="center"/>
            <w:hideMark/>
          </w:tcPr>
          <w:p w14:paraId="57BF0ABA" w14:textId="77777777" w:rsidR="009B4A0E" w:rsidRPr="000C7F5A" w:rsidRDefault="00000000" w:rsidP="000C7F5A">
            <w:pPr>
              <w:spacing w:line="240" w:lineRule="auto"/>
              <w:ind w:firstLine="0"/>
              <w:rPr>
                <w:rFonts w:eastAsia="MS Mincho"/>
                <w:sz w:val="20"/>
                <w:szCs w:val="20"/>
              </w:rPr>
            </w:pPr>
            <w:r w:rsidRPr="000C7F5A">
              <w:rPr>
                <w:rFonts w:eastAsia="MS Mincho"/>
                <w:sz w:val="20"/>
                <w:szCs w:val="20"/>
              </w:rPr>
              <w:t>.74</w:t>
            </w:r>
          </w:p>
        </w:tc>
        <w:tc>
          <w:tcPr>
            <w:tcW w:w="706" w:type="dxa"/>
            <w:tcBorders>
              <w:top w:val="nil"/>
              <w:left w:val="nil"/>
              <w:bottom w:val="nil"/>
              <w:right w:val="nil"/>
            </w:tcBorders>
            <w:noWrap/>
            <w:vAlign w:val="center"/>
            <w:hideMark/>
          </w:tcPr>
          <w:p w14:paraId="570B6599" w14:textId="77777777" w:rsidR="009B4A0E" w:rsidRPr="000C7F5A" w:rsidRDefault="00000000" w:rsidP="000C7F5A">
            <w:pPr>
              <w:spacing w:line="240" w:lineRule="auto"/>
              <w:ind w:firstLine="0"/>
              <w:rPr>
                <w:rFonts w:eastAsia="MS Mincho"/>
                <w:sz w:val="20"/>
                <w:szCs w:val="20"/>
              </w:rPr>
            </w:pPr>
            <w:r w:rsidRPr="000C7F5A">
              <w:rPr>
                <w:rFonts w:eastAsia="MS Mincho"/>
                <w:sz w:val="20"/>
                <w:szCs w:val="20"/>
              </w:rPr>
              <w:t>.47</w:t>
            </w:r>
          </w:p>
        </w:tc>
        <w:tc>
          <w:tcPr>
            <w:tcW w:w="706" w:type="dxa"/>
            <w:tcBorders>
              <w:top w:val="nil"/>
              <w:left w:val="nil"/>
              <w:bottom w:val="nil"/>
              <w:right w:val="nil"/>
            </w:tcBorders>
            <w:noWrap/>
            <w:vAlign w:val="center"/>
            <w:hideMark/>
          </w:tcPr>
          <w:p w14:paraId="6B458B3A" w14:textId="77777777" w:rsidR="009B4A0E" w:rsidRPr="000C7F5A" w:rsidRDefault="00000000" w:rsidP="000C7F5A">
            <w:pPr>
              <w:spacing w:line="240" w:lineRule="auto"/>
              <w:ind w:firstLine="0"/>
              <w:rPr>
                <w:rFonts w:eastAsia="MS Mincho"/>
                <w:sz w:val="20"/>
                <w:szCs w:val="20"/>
              </w:rPr>
            </w:pPr>
            <w:r w:rsidRPr="000C7F5A">
              <w:rPr>
                <w:rFonts w:eastAsia="MS Mincho"/>
                <w:sz w:val="20"/>
                <w:szCs w:val="20"/>
              </w:rPr>
              <w:t>.47</w:t>
            </w:r>
          </w:p>
        </w:tc>
        <w:tc>
          <w:tcPr>
            <w:tcW w:w="706" w:type="dxa"/>
            <w:tcBorders>
              <w:top w:val="nil"/>
              <w:left w:val="nil"/>
              <w:bottom w:val="nil"/>
              <w:right w:val="nil"/>
            </w:tcBorders>
            <w:vAlign w:val="center"/>
          </w:tcPr>
          <w:p w14:paraId="65FB1872" w14:textId="77777777" w:rsidR="009B4A0E" w:rsidRPr="000C7F5A" w:rsidRDefault="00000000" w:rsidP="000C7F5A">
            <w:pPr>
              <w:spacing w:line="240" w:lineRule="auto"/>
              <w:ind w:firstLine="0"/>
              <w:rPr>
                <w:rFonts w:eastAsia="MS Mincho"/>
                <w:sz w:val="20"/>
                <w:szCs w:val="20"/>
              </w:rPr>
            </w:pPr>
            <w:r w:rsidRPr="000C7F5A">
              <w:rPr>
                <w:rFonts w:eastAsia="MS Mincho"/>
                <w:sz w:val="20"/>
                <w:szCs w:val="20"/>
              </w:rPr>
              <w:t>-</w:t>
            </w:r>
          </w:p>
        </w:tc>
        <w:tc>
          <w:tcPr>
            <w:tcW w:w="706" w:type="dxa"/>
            <w:tcBorders>
              <w:top w:val="nil"/>
              <w:left w:val="nil"/>
              <w:bottom w:val="nil"/>
              <w:right w:val="nil"/>
            </w:tcBorders>
            <w:vAlign w:val="center"/>
          </w:tcPr>
          <w:p w14:paraId="6CE5A84D" w14:textId="77777777" w:rsidR="009B4A0E" w:rsidRPr="000C7F5A" w:rsidRDefault="00000000" w:rsidP="000C7F5A">
            <w:pPr>
              <w:spacing w:line="240" w:lineRule="auto"/>
              <w:ind w:firstLine="0"/>
              <w:rPr>
                <w:rFonts w:eastAsia="MS Mincho"/>
                <w:sz w:val="20"/>
                <w:szCs w:val="20"/>
              </w:rPr>
            </w:pPr>
            <w:r w:rsidRPr="000C7F5A">
              <w:rPr>
                <w:rFonts w:eastAsia="MS Mincho"/>
                <w:sz w:val="20"/>
                <w:szCs w:val="20"/>
              </w:rPr>
              <w:t>-</w:t>
            </w:r>
          </w:p>
        </w:tc>
      </w:tr>
      <w:tr w:rsidR="00AA6907" w:rsidRPr="000C7F5A" w14:paraId="7A91E0E7" w14:textId="77777777" w:rsidTr="000B19C6">
        <w:trPr>
          <w:trHeight w:val="549"/>
          <w:jc w:val="center"/>
        </w:trPr>
        <w:tc>
          <w:tcPr>
            <w:tcW w:w="1080" w:type="dxa"/>
            <w:tcBorders>
              <w:top w:val="nil"/>
              <w:left w:val="nil"/>
              <w:bottom w:val="nil"/>
              <w:right w:val="nil"/>
            </w:tcBorders>
            <w:vAlign w:val="center"/>
          </w:tcPr>
          <w:p w14:paraId="78F8A660"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Verification attempt 2</w:t>
            </w:r>
          </w:p>
        </w:tc>
        <w:tc>
          <w:tcPr>
            <w:tcW w:w="3420" w:type="dxa"/>
            <w:tcBorders>
              <w:top w:val="nil"/>
              <w:left w:val="nil"/>
              <w:bottom w:val="nil"/>
              <w:right w:val="nil"/>
            </w:tcBorders>
            <w:vAlign w:val="center"/>
            <w:hideMark/>
          </w:tcPr>
          <w:p w14:paraId="7613AAB5"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Hunter &amp; Schmidt method using Field &amp; Gillett’s (2010) “Meta_Basic_r.sps” *</w:t>
            </w:r>
          </w:p>
        </w:tc>
        <w:tc>
          <w:tcPr>
            <w:tcW w:w="4332" w:type="dxa"/>
            <w:tcBorders>
              <w:top w:val="nil"/>
              <w:left w:val="nil"/>
              <w:bottom w:val="nil"/>
              <w:right w:val="nil"/>
            </w:tcBorders>
            <w:vAlign w:val="center"/>
            <w:hideMark/>
          </w:tcPr>
          <w:p w14:paraId="6B88C8EE"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Set variance in population correlations to zero if it is negative so that CRs must be non-negative.</w:t>
            </w:r>
          </w:p>
        </w:tc>
        <w:tc>
          <w:tcPr>
            <w:tcW w:w="706" w:type="dxa"/>
            <w:tcBorders>
              <w:top w:val="nil"/>
              <w:left w:val="nil"/>
              <w:bottom w:val="nil"/>
              <w:right w:val="nil"/>
            </w:tcBorders>
            <w:shd w:val="clear" w:color="auto" w:fill="auto"/>
            <w:noWrap/>
            <w:vAlign w:val="center"/>
            <w:hideMark/>
          </w:tcPr>
          <w:p w14:paraId="799130F1"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w:t>
            </w:r>
          </w:p>
        </w:tc>
        <w:tc>
          <w:tcPr>
            <w:tcW w:w="706" w:type="dxa"/>
            <w:tcBorders>
              <w:top w:val="nil"/>
              <w:left w:val="nil"/>
              <w:bottom w:val="nil"/>
              <w:right w:val="nil"/>
            </w:tcBorders>
            <w:shd w:val="clear" w:color="auto" w:fill="auto"/>
            <w:noWrap/>
            <w:vAlign w:val="center"/>
            <w:hideMark/>
          </w:tcPr>
          <w:p w14:paraId="520F8FB3"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w:t>
            </w:r>
          </w:p>
        </w:tc>
        <w:tc>
          <w:tcPr>
            <w:tcW w:w="706" w:type="dxa"/>
            <w:tcBorders>
              <w:top w:val="nil"/>
              <w:left w:val="nil"/>
              <w:bottom w:val="nil"/>
              <w:right w:val="nil"/>
            </w:tcBorders>
            <w:shd w:val="clear" w:color="auto" w:fill="auto"/>
            <w:noWrap/>
            <w:vAlign w:val="center"/>
            <w:hideMark/>
          </w:tcPr>
          <w:p w14:paraId="3A08B380"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w:t>
            </w:r>
          </w:p>
        </w:tc>
        <w:tc>
          <w:tcPr>
            <w:tcW w:w="706" w:type="dxa"/>
            <w:tcBorders>
              <w:top w:val="nil"/>
              <w:left w:val="nil"/>
              <w:bottom w:val="nil"/>
              <w:right w:val="nil"/>
            </w:tcBorders>
            <w:shd w:val="clear" w:color="auto" w:fill="auto"/>
            <w:noWrap/>
            <w:vAlign w:val="center"/>
            <w:hideMark/>
          </w:tcPr>
          <w:p w14:paraId="7ADAF76F"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w:t>
            </w:r>
          </w:p>
        </w:tc>
        <w:tc>
          <w:tcPr>
            <w:tcW w:w="706" w:type="dxa"/>
            <w:tcBorders>
              <w:top w:val="nil"/>
              <w:left w:val="nil"/>
              <w:bottom w:val="nil"/>
              <w:right w:val="nil"/>
            </w:tcBorders>
            <w:shd w:val="clear" w:color="auto" w:fill="auto"/>
            <w:noWrap/>
            <w:vAlign w:val="center"/>
            <w:hideMark/>
          </w:tcPr>
          <w:p w14:paraId="3D535788"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w:t>
            </w:r>
          </w:p>
        </w:tc>
        <w:tc>
          <w:tcPr>
            <w:tcW w:w="706" w:type="dxa"/>
            <w:tcBorders>
              <w:top w:val="nil"/>
              <w:left w:val="nil"/>
              <w:bottom w:val="nil"/>
              <w:right w:val="nil"/>
            </w:tcBorders>
            <w:shd w:val="clear" w:color="auto" w:fill="auto"/>
            <w:vAlign w:val="center"/>
          </w:tcPr>
          <w:p w14:paraId="4151E023"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w:t>
            </w:r>
          </w:p>
        </w:tc>
        <w:tc>
          <w:tcPr>
            <w:tcW w:w="706" w:type="dxa"/>
            <w:tcBorders>
              <w:top w:val="nil"/>
              <w:left w:val="nil"/>
              <w:bottom w:val="nil"/>
              <w:right w:val="nil"/>
            </w:tcBorders>
            <w:shd w:val="clear" w:color="auto" w:fill="auto"/>
            <w:vAlign w:val="center"/>
          </w:tcPr>
          <w:p w14:paraId="7D106F7C"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w:t>
            </w:r>
          </w:p>
        </w:tc>
      </w:tr>
      <w:tr w:rsidR="00AA6907" w:rsidRPr="000C7F5A" w14:paraId="2DA8805C" w14:textId="77777777" w:rsidTr="009B4A0E">
        <w:trPr>
          <w:trHeight w:val="801"/>
          <w:jc w:val="center"/>
        </w:trPr>
        <w:tc>
          <w:tcPr>
            <w:tcW w:w="1080" w:type="dxa"/>
            <w:tcBorders>
              <w:top w:val="nil"/>
              <w:left w:val="nil"/>
              <w:bottom w:val="nil"/>
              <w:right w:val="nil"/>
            </w:tcBorders>
            <w:vAlign w:val="center"/>
          </w:tcPr>
          <w:p w14:paraId="496DFDAC"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Verification attempt 3</w:t>
            </w:r>
          </w:p>
        </w:tc>
        <w:tc>
          <w:tcPr>
            <w:tcW w:w="3420" w:type="dxa"/>
            <w:tcBorders>
              <w:top w:val="nil"/>
              <w:left w:val="nil"/>
              <w:bottom w:val="nil"/>
              <w:right w:val="nil"/>
            </w:tcBorders>
            <w:vAlign w:val="center"/>
          </w:tcPr>
          <w:p w14:paraId="1BA97DC9"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Hunter &amp; Schmidt method using a reimplementation of Field &amp; Gillett’s (2010) “Meta_Basic_r.sps” in R</w:t>
            </w:r>
          </w:p>
        </w:tc>
        <w:tc>
          <w:tcPr>
            <w:tcW w:w="4332" w:type="dxa"/>
            <w:tcBorders>
              <w:top w:val="nil"/>
              <w:left w:val="nil"/>
              <w:bottom w:val="nil"/>
              <w:right w:val="nil"/>
            </w:tcBorders>
            <w:vAlign w:val="center"/>
          </w:tcPr>
          <w:p w14:paraId="504B5ABD"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Set variance in population correlations to zero if it is negative so that CRs must be non-negative.</w:t>
            </w:r>
          </w:p>
        </w:tc>
        <w:tc>
          <w:tcPr>
            <w:tcW w:w="706" w:type="dxa"/>
            <w:tcBorders>
              <w:top w:val="nil"/>
              <w:left w:val="nil"/>
              <w:bottom w:val="nil"/>
              <w:right w:val="nil"/>
            </w:tcBorders>
            <w:shd w:val="clear" w:color="auto" w:fill="D9D9D9"/>
            <w:noWrap/>
            <w:vAlign w:val="center"/>
          </w:tcPr>
          <w:p w14:paraId="75E4F2E0"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.46</w:t>
            </w:r>
          </w:p>
        </w:tc>
        <w:tc>
          <w:tcPr>
            <w:tcW w:w="706" w:type="dxa"/>
            <w:tcBorders>
              <w:top w:val="nil"/>
              <w:left w:val="nil"/>
              <w:bottom w:val="nil"/>
              <w:right w:val="nil"/>
            </w:tcBorders>
            <w:shd w:val="clear" w:color="auto" w:fill="auto"/>
            <w:noWrap/>
            <w:vAlign w:val="center"/>
          </w:tcPr>
          <w:p w14:paraId="6B4682FE"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w:t>
            </w:r>
          </w:p>
        </w:tc>
        <w:tc>
          <w:tcPr>
            <w:tcW w:w="706" w:type="dxa"/>
            <w:tcBorders>
              <w:top w:val="nil"/>
              <w:left w:val="nil"/>
              <w:bottom w:val="nil"/>
              <w:right w:val="nil"/>
            </w:tcBorders>
            <w:shd w:val="clear" w:color="auto" w:fill="auto"/>
            <w:noWrap/>
            <w:vAlign w:val="center"/>
          </w:tcPr>
          <w:p w14:paraId="0B1C41A3"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w:t>
            </w:r>
          </w:p>
        </w:tc>
        <w:tc>
          <w:tcPr>
            <w:tcW w:w="706" w:type="dxa"/>
            <w:tcBorders>
              <w:top w:val="nil"/>
              <w:left w:val="nil"/>
              <w:bottom w:val="nil"/>
              <w:right w:val="nil"/>
            </w:tcBorders>
            <w:noWrap/>
            <w:vAlign w:val="center"/>
          </w:tcPr>
          <w:p w14:paraId="560ECB54"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.46</w:t>
            </w:r>
          </w:p>
        </w:tc>
        <w:tc>
          <w:tcPr>
            <w:tcW w:w="706" w:type="dxa"/>
            <w:tcBorders>
              <w:top w:val="nil"/>
              <w:left w:val="nil"/>
              <w:bottom w:val="nil"/>
              <w:right w:val="nil"/>
            </w:tcBorders>
            <w:noWrap/>
            <w:vAlign w:val="center"/>
          </w:tcPr>
          <w:p w14:paraId="109B2970"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.46</w:t>
            </w:r>
          </w:p>
        </w:tc>
        <w:tc>
          <w:tcPr>
            <w:tcW w:w="706" w:type="dxa"/>
            <w:tcBorders>
              <w:top w:val="nil"/>
              <w:left w:val="nil"/>
              <w:bottom w:val="nil"/>
              <w:right w:val="nil"/>
            </w:tcBorders>
            <w:vAlign w:val="center"/>
          </w:tcPr>
          <w:p w14:paraId="2B9171F3"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w:t>
            </w:r>
          </w:p>
        </w:tc>
        <w:tc>
          <w:tcPr>
            <w:tcW w:w="706" w:type="dxa"/>
            <w:tcBorders>
              <w:top w:val="nil"/>
              <w:left w:val="nil"/>
              <w:bottom w:val="nil"/>
              <w:right w:val="nil"/>
            </w:tcBorders>
            <w:vAlign w:val="center"/>
          </w:tcPr>
          <w:p w14:paraId="05CD3CF7"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w:t>
            </w:r>
          </w:p>
        </w:tc>
      </w:tr>
      <w:tr w:rsidR="00AA6907" w:rsidRPr="000C7F5A" w14:paraId="2255D6F5" w14:textId="77777777" w:rsidTr="002D69CC">
        <w:trPr>
          <w:trHeight w:val="801"/>
          <w:jc w:val="center"/>
        </w:trPr>
        <w:tc>
          <w:tcPr>
            <w:tcW w:w="1080" w:type="dxa"/>
            <w:tcBorders>
              <w:top w:val="nil"/>
              <w:left w:val="nil"/>
              <w:bottom w:val="nil"/>
              <w:right w:val="nil"/>
            </w:tcBorders>
            <w:vAlign w:val="center"/>
          </w:tcPr>
          <w:p w14:paraId="34511ED7"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Verification attempt 4</w:t>
            </w:r>
          </w:p>
        </w:tc>
        <w:tc>
          <w:tcPr>
            <w:tcW w:w="3420" w:type="dxa"/>
            <w:tcBorders>
              <w:top w:val="nil"/>
              <w:left w:val="nil"/>
              <w:bottom w:val="nil"/>
              <w:right w:val="nil"/>
            </w:tcBorders>
            <w:vAlign w:val="center"/>
          </w:tcPr>
          <w:p w14:paraId="2718FAA5"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Hunter &amp; Schmidt method using a converstion of Field &amp; Gillett’s (2010) “Meta_Basic_r.sps” to R</w:t>
            </w:r>
          </w:p>
        </w:tc>
        <w:tc>
          <w:tcPr>
            <w:tcW w:w="4332" w:type="dxa"/>
            <w:tcBorders>
              <w:top w:val="nil"/>
              <w:left w:val="nil"/>
              <w:bottom w:val="nil"/>
              <w:right w:val="nil"/>
            </w:tcBorders>
            <w:vAlign w:val="center"/>
          </w:tcPr>
          <w:p w14:paraId="04544BEF"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Set variance in population correlations to zero if it is negative so that CRs must be non-negative. Removed erroneous Overton transformations.</w:t>
            </w:r>
          </w:p>
        </w:tc>
        <w:tc>
          <w:tcPr>
            <w:tcW w:w="706" w:type="dxa"/>
            <w:tcBorders>
              <w:top w:val="nil"/>
              <w:left w:val="nil"/>
              <w:bottom w:val="nil"/>
              <w:right w:val="nil"/>
            </w:tcBorders>
            <w:noWrap/>
            <w:vAlign w:val="center"/>
          </w:tcPr>
          <w:p w14:paraId="30F1C7F2"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.47</w:t>
            </w:r>
          </w:p>
        </w:tc>
        <w:tc>
          <w:tcPr>
            <w:tcW w:w="706" w:type="dxa"/>
            <w:tcBorders>
              <w:top w:val="nil"/>
              <w:left w:val="nil"/>
              <w:bottom w:val="nil"/>
              <w:right w:val="nil"/>
            </w:tcBorders>
            <w:shd w:val="clear" w:color="auto" w:fill="auto"/>
            <w:noWrap/>
            <w:vAlign w:val="center"/>
          </w:tcPr>
          <w:p w14:paraId="46906AA0"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w:t>
            </w:r>
          </w:p>
        </w:tc>
        <w:tc>
          <w:tcPr>
            <w:tcW w:w="706" w:type="dxa"/>
            <w:tcBorders>
              <w:top w:val="nil"/>
              <w:left w:val="nil"/>
              <w:bottom w:val="nil"/>
              <w:right w:val="nil"/>
            </w:tcBorders>
            <w:shd w:val="clear" w:color="auto" w:fill="auto"/>
            <w:noWrap/>
            <w:vAlign w:val="center"/>
          </w:tcPr>
          <w:p w14:paraId="2D57628E"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w:t>
            </w:r>
          </w:p>
        </w:tc>
        <w:tc>
          <w:tcPr>
            <w:tcW w:w="706" w:type="dxa"/>
            <w:tcBorders>
              <w:top w:val="nil"/>
              <w:left w:val="nil"/>
              <w:bottom w:val="nil"/>
              <w:right w:val="nil"/>
            </w:tcBorders>
            <w:noWrap/>
            <w:vAlign w:val="center"/>
          </w:tcPr>
          <w:p w14:paraId="0C6CA0AE"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.47</w:t>
            </w:r>
          </w:p>
        </w:tc>
        <w:tc>
          <w:tcPr>
            <w:tcW w:w="706" w:type="dxa"/>
            <w:tcBorders>
              <w:top w:val="nil"/>
              <w:left w:val="nil"/>
              <w:bottom w:val="nil"/>
              <w:right w:val="nil"/>
            </w:tcBorders>
            <w:noWrap/>
            <w:vAlign w:val="center"/>
          </w:tcPr>
          <w:p w14:paraId="3E5CE470"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.47</w:t>
            </w:r>
          </w:p>
        </w:tc>
        <w:tc>
          <w:tcPr>
            <w:tcW w:w="706" w:type="dxa"/>
            <w:tcBorders>
              <w:top w:val="nil"/>
              <w:left w:val="nil"/>
              <w:bottom w:val="nil"/>
              <w:right w:val="nil"/>
            </w:tcBorders>
            <w:vAlign w:val="center"/>
          </w:tcPr>
          <w:p w14:paraId="0CB4837E"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w:t>
            </w:r>
          </w:p>
        </w:tc>
        <w:tc>
          <w:tcPr>
            <w:tcW w:w="706" w:type="dxa"/>
            <w:tcBorders>
              <w:top w:val="nil"/>
              <w:left w:val="nil"/>
              <w:bottom w:val="nil"/>
              <w:right w:val="nil"/>
            </w:tcBorders>
            <w:vAlign w:val="center"/>
          </w:tcPr>
          <w:p w14:paraId="04253458"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w:t>
            </w:r>
          </w:p>
        </w:tc>
      </w:tr>
      <w:tr w:rsidR="00AA6907" w:rsidRPr="000C7F5A" w14:paraId="27A37D81" w14:textId="77777777" w:rsidTr="008A02C1">
        <w:trPr>
          <w:trHeight w:val="801"/>
          <w:jc w:val="center"/>
        </w:trPr>
        <w:tc>
          <w:tcPr>
            <w:tcW w:w="1080" w:type="dxa"/>
            <w:tcBorders>
              <w:top w:val="nil"/>
              <w:left w:val="nil"/>
              <w:bottom w:val="nil"/>
              <w:right w:val="nil"/>
            </w:tcBorders>
            <w:vAlign w:val="center"/>
          </w:tcPr>
          <w:p w14:paraId="52243751"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Verification attempt 5</w:t>
            </w:r>
          </w:p>
        </w:tc>
        <w:tc>
          <w:tcPr>
            <w:tcW w:w="3420" w:type="dxa"/>
            <w:tcBorders>
              <w:top w:val="nil"/>
              <w:left w:val="nil"/>
              <w:bottom w:val="nil"/>
              <w:right w:val="nil"/>
            </w:tcBorders>
            <w:vAlign w:val="center"/>
          </w:tcPr>
          <w:p w14:paraId="526AEEC0"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Hunter &amp; Schmidt method using Viechtbauer’s (2022) implementation in R and metafor.</w:t>
            </w:r>
          </w:p>
        </w:tc>
        <w:tc>
          <w:tcPr>
            <w:tcW w:w="4332" w:type="dxa"/>
            <w:tcBorders>
              <w:top w:val="nil"/>
              <w:left w:val="nil"/>
              <w:bottom w:val="nil"/>
              <w:right w:val="nil"/>
            </w:tcBorders>
            <w:vAlign w:val="center"/>
          </w:tcPr>
          <w:p w14:paraId="6B560ACC"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Credibility intervals were implemented using Field &amp; Gillett</w:t>
            </w:r>
            <w:r w:rsidR="009862CD" w:rsidRPr="000C7F5A">
              <w:rPr>
                <w:rFonts w:eastAsia="MS Mincho"/>
                <w:sz w:val="20"/>
                <w:szCs w:val="20"/>
              </w:rPr>
              <w:t>’</w:t>
            </w:r>
            <w:r w:rsidRPr="000C7F5A">
              <w:rPr>
                <w:rFonts w:eastAsia="MS Mincho"/>
                <w:sz w:val="20"/>
                <w:szCs w:val="20"/>
              </w:rPr>
              <w:t>s (2010) equations 2 to 5.</w:t>
            </w:r>
          </w:p>
        </w:tc>
        <w:tc>
          <w:tcPr>
            <w:tcW w:w="706" w:type="dxa"/>
            <w:tcBorders>
              <w:top w:val="nil"/>
              <w:left w:val="nil"/>
              <w:bottom w:val="nil"/>
              <w:right w:val="nil"/>
            </w:tcBorders>
            <w:noWrap/>
            <w:vAlign w:val="center"/>
          </w:tcPr>
          <w:p w14:paraId="5EE92626"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.47</w:t>
            </w:r>
          </w:p>
        </w:tc>
        <w:tc>
          <w:tcPr>
            <w:tcW w:w="706" w:type="dxa"/>
            <w:tcBorders>
              <w:top w:val="nil"/>
              <w:left w:val="nil"/>
              <w:bottom w:val="nil"/>
              <w:right w:val="nil"/>
            </w:tcBorders>
            <w:shd w:val="clear" w:color="auto" w:fill="D9D9D9"/>
            <w:noWrap/>
            <w:vAlign w:val="center"/>
          </w:tcPr>
          <w:p w14:paraId="31696B2E"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.40</w:t>
            </w:r>
          </w:p>
        </w:tc>
        <w:tc>
          <w:tcPr>
            <w:tcW w:w="706" w:type="dxa"/>
            <w:tcBorders>
              <w:top w:val="nil"/>
              <w:left w:val="nil"/>
              <w:bottom w:val="nil"/>
              <w:right w:val="nil"/>
            </w:tcBorders>
            <w:shd w:val="clear" w:color="auto" w:fill="D9D9D9"/>
            <w:noWrap/>
            <w:vAlign w:val="center"/>
          </w:tcPr>
          <w:p w14:paraId="3441825A"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.54</w:t>
            </w:r>
          </w:p>
        </w:tc>
        <w:tc>
          <w:tcPr>
            <w:tcW w:w="706" w:type="dxa"/>
            <w:tcBorders>
              <w:top w:val="nil"/>
              <w:left w:val="nil"/>
              <w:bottom w:val="nil"/>
              <w:right w:val="nil"/>
            </w:tcBorders>
            <w:noWrap/>
            <w:vAlign w:val="center"/>
          </w:tcPr>
          <w:p w14:paraId="50328AD7"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.47</w:t>
            </w:r>
          </w:p>
        </w:tc>
        <w:tc>
          <w:tcPr>
            <w:tcW w:w="706" w:type="dxa"/>
            <w:tcBorders>
              <w:top w:val="nil"/>
              <w:left w:val="nil"/>
              <w:bottom w:val="nil"/>
              <w:right w:val="nil"/>
            </w:tcBorders>
            <w:noWrap/>
            <w:vAlign w:val="center"/>
          </w:tcPr>
          <w:p w14:paraId="3E053345"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.47</w:t>
            </w:r>
          </w:p>
        </w:tc>
        <w:tc>
          <w:tcPr>
            <w:tcW w:w="706" w:type="dxa"/>
            <w:tcBorders>
              <w:top w:val="nil"/>
              <w:left w:val="nil"/>
              <w:bottom w:val="nil"/>
              <w:right w:val="nil"/>
            </w:tcBorders>
            <w:vAlign w:val="center"/>
          </w:tcPr>
          <w:p w14:paraId="688CBDBF"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.40</w:t>
            </w:r>
          </w:p>
        </w:tc>
        <w:tc>
          <w:tcPr>
            <w:tcW w:w="706" w:type="dxa"/>
            <w:tcBorders>
              <w:top w:val="nil"/>
              <w:left w:val="nil"/>
              <w:bottom w:val="nil"/>
              <w:right w:val="nil"/>
            </w:tcBorders>
            <w:vAlign w:val="center"/>
          </w:tcPr>
          <w:p w14:paraId="7A5846DD"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.54</w:t>
            </w:r>
          </w:p>
        </w:tc>
      </w:tr>
      <w:tr w:rsidR="00AA6907" w:rsidRPr="000C7F5A" w14:paraId="3BC769F8" w14:textId="77777777" w:rsidTr="008A02C1">
        <w:trPr>
          <w:trHeight w:val="729"/>
          <w:jc w:val="center"/>
        </w:trPr>
        <w:tc>
          <w:tcPr>
            <w:tcW w:w="1080" w:type="dxa"/>
            <w:tcBorders>
              <w:top w:val="nil"/>
              <w:left w:val="nil"/>
              <w:bottom w:val="nil"/>
              <w:right w:val="nil"/>
            </w:tcBorders>
            <w:vAlign w:val="center"/>
          </w:tcPr>
          <w:p w14:paraId="46128306"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Verification attempt 6</w:t>
            </w:r>
          </w:p>
        </w:tc>
        <w:tc>
          <w:tcPr>
            <w:tcW w:w="3420" w:type="dxa"/>
            <w:tcBorders>
              <w:top w:val="nil"/>
              <w:left w:val="nil"/>
              <w:bottom w:val="nil"/>
              <w:right w:val="nil"/>
            </w:tcBorders>
            <w:vAlign w:val="center"/>
            <w:hideMark/>
          </w:tcPr>
          <w:p w14:paraId="4F3949C1"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A mix of Hunter &amp; Schmidt and Hedges methods using Viechtbauer's (2022) implementation in R and metafor.</w:t>
            </w:r>
          </w:p>
        </w:tc>
        <w:tc>
          <w:tcPr>
            <w:tcW w:w="4332" w:type="dxa"/>
            <w:tcBorders>
              <w:top w:val="nil"/>
              <w:left w:val="nil"/>
              <w:bottom w:val="nil"/>
              <w:right w:val="nil"/>
            </w:tcBorders>
            <w:vAlign w:val="center"/>
            <w:hideMark/>
          </w:tcPr>
          <w:p w14:paraId="63CF6361"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Credibility intervals were implemented using Field &amp; Gillett</w:t>
            </w:r>
            <w:r w:rsidR="009862CD" w:rsidRPr="000C7F5A">
              <w:rPr>
                <w:rFonts w:eastAsia="MS Mincho"/>
                <w:sz w:val="20"/>
                <w:szCs w:val="20"/>
              </w:rPr>
              <w:t>’</w:t>
            </w:r>
            <w:r w:rsidRPr="000C7F5A">
              <w:rPr>
                <w:rFonts w:eastAsia="MS Mincho"/>
                <w:sz w:val="20"/>
                <w:szCs w:val="20"/>
              </w:rPr>
              <w:t xml:space="preserve">s (2010) equations 2 to 5. Fisher's </w:t>
            </w:r>
            <w:r w:rsidRPr="000C7F5A">
              <w:rPr>
                <w:rFonts w:eastAsia="MS Mincho"/>
                <w:i/>
                <w:iCs/>
                <w:sz w:val="20"/>
                <w:szCs w:val="20"/>
              </w:rPr>
              <w:t>r</w:t>
            </w:r>
            <w:r w:rsidRPr="000C7F5A">
              <w:rPr>
                <w:rFonts w:eastAsia="MS Mincho"/>
                <w:sz w:val="20"/>
                <w:szCs w:val="20"/>
              </w:rPr>
              <w:t>-to-</w:t>
            </w:r>
            <w:r w:rsidRPr="000C7F5A">
              <w:rPr>
                <w:rFonts w:eastAsia="MS Mincho"/>
                <w:i/>
                <w:iCs/>
                <w:sz w:val="20"/>
                <w:szCs w:val="20"/>
              </w:rPr>
              <w:t>z</w:t>
            </w:r>
            <w:r w:rsidRPr="000C7F5A">
              <w:rPr>
                <w:rFonts w:eastAsia="MS Mincho"/>
                <w:sz w:val="20"/>
                <w:szCs w:val="20"/>
              </w:rPr>
              <w:t xml:space="preserve"> transformations and </w:t>
            </w:r>
            <w:r w:rsidRPr="000C7F5A">
              <w:rPr>
                <w:rFonts w:eastAsia="MS Mincho"/>
                <w:i/>
                <w:iCs/>
                <w:sz w:val="20"/>
                <w:szCs w:val="20"/>
              </w:rPr>
              <w:t>z</w:t>
            </w:r>
            <w:r w:rsidRPr="000C7F5A">
              <w:rPr>
                <w:rFonts w:eastAsia="MS Mincho"/>
                <w:sz w:val="20"/>
                <w:szCs w:val="20"/>
              </w:rPr>
              <w:t>-to-</w:t>
            </w:r>
            <w:r w:rsidRPr="000C7F5A">
              <w:rPr>
                <w:rFonts w:eastAsia="MS Mincho"/>
                <w:i/>
                <w:iCs/>
                <w:sz w:val="20"/>
                <w:szCs w:val="20"/>
              </w:rPr>
              <w:t>r</w:t>
            </w:r>
            <w:r w:rsidRPr="000C7F5A">
              <w:rPr>
                <w:rFonts w:eastAsia="MS Mincho"/>
                <w:sz w:val="20"/>
                <w:szCs w:val="20"/>
              </w:rPr>
              <w:t xml:space="preserve"> back transformations.</w:t>
            </w:r>
          </w:p>
        </w:tc>
        <w:tc>
          <w:tcPr>
            <w:tcW w:w="706" w:type="dxa"/>
            <w:tcBorders>
              <w:top w:val="nil"/>
              <w:left w:val="nil"/>
              <w:bottom w:val="nil"/>
              <w:right w:val="nil"/>
            </w:tcBorders>
            <w:noWrap/>
            <w:vAlign w:val="center"/>
            <w:hideMark/>
          </w:tcPr>
          <w:p w14:paraId="26245A27"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.47</w:t>
            </w:r>
          </w:p>
        </w:tc>
        <w:tc>
          <w:tcPr>
            <w:tcW w:w="706" w:type="dxa"/>
            <w:tcBorders>
              <w:top w:val="nil"/>
              <w:left w:val="nil"/>
              <w:bottom w:val="nil"/>
              <w:right w:val="nil"/>
            </w:tcBorders>
            <w:shd w:val="clear" w:color="auto" w:fill="D9D9D9"/>
            <w:noWrap/>
            <w:vAlign w:val="center"/>
            <w:hideMark/>
          </w:tcPr>
          <w:p w14:paraId="5BA362CF"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.40</w:t>
            </w:r>
          </w:p>
        </w:tc>
        <w:tc>
          <w:tcPr>
            <w:tcW w:w="706" w:type="dxa"/>
            <w:tcBorders>
              <w:top w:val="nil"/>
              <w:left w:val="nil"/>
              <w:bottom w:val="nil"/>
              <w:right w:val="nil"/>
            </w:tcBorders>
            <w:shd w:val="clear" w:color="auto" w:fill="D9D9D9"/>
            <w:noWrap/>
            <w:vAlign w:val="center"/>
            <w:hideMark/>
          </w:tcPr>
          <w:p w14:paraId="26127478"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.54</w:t>
            </w:r>
          </w:p>
        </w:tc>
        <w:tc>
          <w:tcPr>
            <w:tcW w:w="706" w:type="dxa"/>
            <w:tcBorders>
              <w:top w:val="nil"/>
              <w:left w:val="nil"/>
              <w:bottom w:val="nil"/>
              <w:right w:val="nil"/>
            </w:tcBorders>
            <w:noWrap/>
            <w:vAlign w:val="center"/>
            <w:hideMark/>
          </w:tcPr>
          <w:p w14:paraId="2D0AEE32"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.47</w:t>
            </w:r>
          </w:p>
        </w:tc>
        <w:tc>
          <w:tcPr>
            <w:tcW w:w="706" w:type="dxa"/>
            <w:tcBorders>
              <w:top w:val="nil"/>
              <w:left w:val="nil"/>
              <w:bottom w:val="nil"/>
              <w:right w:val="nil"/>
            </w:tcBorders>
            <w:noWrap/>
            <w:vAlign w:val="center"/>
            <w:hideMark/>
          </w:tcPr>
          <w:p w14:paraId="1760BC66"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.47</w:t>
            </w:r>
          </w:p>
        </w:tc>
        <w:tc>
          <w:tcPr>
            <w:tcW w:w="706" w:type="dxa"/>
            <w:tcBorders>
              <w:top w:val="nil"/>
              <w:left w:val="nil"/>
              <w:bottom w:val="nil"/>
              <w:right w:val="nil"/>
            </w:tcBorders>
            <w:vAlign w:val="center"/>
          </w:tcPr>
          <w:p w14:paraId="75284C6C"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.40</w:t>
            </w:r>
          </w:p>
        </w:tc>
        <w:tc>
          <w:tcPr>
            <w:tcW w:w="706" w:type="dxa"/>
            <w:tcBorders>
              <w:top w:val="nil"/>
              <w:left w:val="nil"/>
              <w:bottom w:val="nil"/>
              <w:right w:val="nil"/>
            </w:tcBorders>
            <w:vAlign w:val="center"/>
          </w:tcPr>
          <w:p w14:paraId="2608D45B"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.54</w:t>
            </w:r>
          </w:p>
        </w:tc>
      </w:tr>
      <w:tr w:rsidR="00AA6907" w:rsidRPr="000C7F5A" w14:paraId="5544594E" w14:textId="77777777" w:rsidTr="002D69CC">
        <w:trPr>
          <w:trHeight w:val="729"/>
          <w:jc w:val="center"/>
        </w:trPr>
        <w:tc>
          <w:tcPr>
            <w:tcW w:w="1080" w:type="dxa"/>
            <w:tcBorders>
              <w:top w:val="nil"/>
              <w:left w:val="nil"/>
              <w:bottom w:val="single" w:sz="4" w:space="0" w:color="auto"/>
              <w:right w:val="nil"/>
            </w:tcBorders>
            <w:vAlign w:val="center"/>
          </w:tcPr>
          <w:p w14:paraId="6C3930CC"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Verification attempt 7</w:t>
            </w:r>
          </w:p>
        </w:tc>
        <w:tc>
          <w:tcPr>
            <w:tcW w:w="3420" w:type="dxa"/>
            <w:tcBorders>
              <w:top w:val="nil"/>
              <w:left w:val="nil"/>
              <w:bottom w:val="single" w:sz="4" w:space="0" w:color="auto"/>
              <w:right w:val="nil"/>
            </w:tcBorders>
            <w:vAlign w:val="center"/>
          </w:tcPr>
          <w:p w14:paraId="6911FCEA"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Hunter &amp; Schmidt method using Field &amp; Gillett’s (2010) “h_s_syntax.sps”</w:t>
            </w:r>
          </w:p>
        </w:tc>
        <w:tc>
          <w:tcPr>
            <w:tcW w:w="4332" w:type="dxa"/>
            <w:tcBorders>
              <w:top w:val="nil"/>
              <w:left w:val="nil"/>
              <w:bottom w:val="single" w:sz="4" w:space="0" w:color="auto"/>
              <w:right w:val="nil"/>
            </w:tcBorders>
            <w:vAlign w:val="center"/>
          </w:tcPr>
          <w:p w14:paraId="7220921E"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All reliabilities were set to 0. Data were the 56 individual weighted effect sizes rather than 15 weighted average effect sizes.**</w:t>
            </w:r>
          </w:p>
        </w:tc>
        <w:tc>
          <w:tcPr>
            <w:tcW w:w="706" w:type="dxa"/>
            <w:tcBorders>
              <w:top w:val="nil"/>
              <w:left w:val="nil"/>
              <w:bottom w:val="single" w:sz="4" w:space="0" w:color="auto"/>
              <w:right w:val="nil"/>
            </w:tcBorders>
            <w:noWrap/>
            <w:vAlign w:val="center"/>
          </w:tcPr>
          <w:p w14:paraId="6692856D"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.48</w:t>
            </w:r>
          </w:p>
        </w:tc>
        <w:tc>
          <w:tcPr>
            <w:tcW w:w="706" w:type="dxa"/>
            <w:tcBorders>
              <w:top w:val="nil"/>
              <w:left w:val="nil"/>
              <w:bottom w:val="single" w:sz="4" w:space="0" w:color="auto"/>
              <w:right w:val="nil"/>
            </w:tcBorders>
            <w:shd w:val="clear" w:color="auto" w:fill="D9D9D9"/>
            <w:noWrap/>
            <w:vAlign w:val="center"/>
          </w:tcPr>
          <w:p w14:paraId="1E15A275"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.20</w:t>
            </w:r>
          </w:p>
        </w:tc>
        <w:tc>
          <w:tcPr>
            <w:tcW w:w="706" w:type="dxa"/>
            <w:tcBorders>
              <w:top w:val="nil"/>
              <w:left w:val="nil"/>
              <w:bottom w:val="single" w:sz="4" w:space="0" w:color="auto"/>
              <w:right w:val="nil"/>
            </w:tcBorders>
            <w:shd w:val="clear" w:color="auto" w:fill="D9D9D9"/>
            <w:noWrap/>
            <w:vAlign w:val="center"/>
          </w:tcPr>
          <w:p w14:paraId="3F061FA5"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.76</w:t>
            </w:r>
          </w:p>
        </w:tc>
        <w:tc>
          <w:tcPr>
            <w:tcW w:w="706" w:type="dxa"/>
            <w:tcBorders>
              <w:top w:val="nil"/>
              <w:left w:val="nil"/>
              <w:bottom w:val="single" w:sz="4" w:space="0" w:color="auto"/>
              <w:right w:val="nil"/>
            </w:tcBorders>
            <w:noWrap/>
            <w:vAlign w:val="center"/>
          </w:tcPr>
          <w:p w14:paraId="68F8DF2C"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.39</w:t>
            </w:r>
          </w:p>
        </w:tc>
        <w:tc>
          <w:tcPr>
            <w:tcW w:w="706" w:type="dxa"/>
            <w:tcBorders>
              <w:top w:val="nil"/>
              <w:left w:val="nil"/>
              <w:bottom w:val="single" w:sz="4" w:space="0" w:color="auto"/>
              <w:right w:val="nil"/>
            </w:tcBorders>
            <w:noWrap/>
            <w:vAlign w:val="center"/>
          </w:tcPr>
          <w:p w14:paraId="2E9679D8"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.57</w:t>
            </w:r>
          </w:p>
        </w:tc>
        <w:tc>
          <w:tcPr>
            <w:tcW w:w="706" w:type="dxa"/>
            <w:tcBorders>
              <w:top w:val="nil"/>
              <w:left w:val="nil"/>
              <w:bottom w:val="single" w:sz="4" w:space="0" w:color="auto"/>
              <w:right w:val="nil"/>
            </w:tcBorders>
            <w:vAlign w:val="center"/>
          </w:tcPr>
          <w:p w14:paraId="5DCD2BA8"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w:t>
            </w:r>
          </w:p>
        </w:tc>
        <w:tc>
          <w:tcPr>
            <w:tcW w:w="706" w:type="dxa"/>
            <w:tcBorders>
              <w:top w:val="nil"/>
              <w:left w:val="nil"/>
              <w:bottom w:val="single" w:sz="4" w:space="0" w:color="auto"/>
              <w:right w:val="nil"/>
            </w:tcBorders>
            <w:vAlign w:val="center"/>
          </w:tcPr>
          <w:p w14:paraId="2310C438"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w:t>
            </w:r>
          </w:p>
        </w:tc>
      </w:tr>
      <w:tr w:rsidR="00AA6907" w:rsidRPr="000C7F5A" w14:paraId="73EF218F" w14:textId="77777777" w:rsidTr="002D69CC">
        <w:trPr>
          <w:trHeight w:val="729"/>
          <w:jc w:val="center"/>
        </w:trPr>
        <w:tc>
          <w:tcPr>
            <w:tcW w:w="13774" w:type="dxa"/>
            <w:gridSpan w:val="10"/>
            <w:tcBorders>
              <w:top w:val="single" w:sz="4" w:space="0" w:color="auto"/>
              <w:left w:val="nil"/>
              <w:bottom w:val="nil"/>
              <w:right w:val="nil"/>
            </w:tcBorders>
            <w:vAlign w:val="center"/>
          </w:tcPr>
          <w:p w14:paraId="3A22F1AF" w14:textId="77777777" w:rsidR="009B4A0E" w:rsidRPr="000C7F5A" w:rsidRDefault="00000000" w:rsidP="000C7F5A">
            <w:pPr>
              <w:spacing w:line="240" w:lineRule="auto"/>
              <w:ind w:firstLine="0"/>
              <w:rPr>
                <w:rFonts w:eastAsia="MS Mincho"/>
                <w:sz w:val="20"/>
                <w:szCs w:val="20"/>
              </w:rPr>
            </w:pPr>
            <w:r w:rsidRPr="000C7F5A">
              <w:rPr>
                <w:rFonts w:eastAsia="MS Mincho"/>
                <w:i/>
                <w:iCs/>
                <w:sz w:val="20"/>
                <w:szCs w:val="20"/>
              </w:rPr>
              <w:t>Notes:</w:t>
            </w:r>
            <w:r w:rsidRPr="000C7F5A">
              <w:rPr>
                <w:rFonts w:eastAsia="MS Mincho"/>
                <w:sz w:val="20"/>
                <w:szCs w:val="20"/>
              </w:rPr>
              <w:t xml:space="preserve"> CI = Confidence Interval. CR = Credibility Interval. PI = Prediction Interval. Although PIs were not reported in Vahey et al. (2015), where possible they were calculated in the verification attempts to see if they corresponded with the original CRs on the basis that the CRs could have been mislabelled. Cells shaded in grey match those reported in Vahey et al. (2015) within </w:t>
            </w:r>
            <w:r w:rsidRPr="000C7F5A">
              <w:rPr>
                <w:sz w:val="20"/>
                <w:szCs w:val="20"/>
              </w:rPr>
              <w:t>what can be accounted for by rounding or truncation (</w:t>
            </w:r>
            <w:r w:rsidRPr="000C7F5A">
              <w:rPr>
                <w:rFonts w:eastAsia="MS Mincho"/>
                <w:sz w:val="20"/>
                <w:szCs w:val="20"/>
              </w:rPr>
              <w:t>±.01</w:t>
            </w:r>
            <w:r w:rsidRPr="000C7F5A">
              <w:rPr>
                <w:sz w:val="20"/>
                <w:szCs w:val="20"/>
              </w:rPr>
              <w:t>)</w:t>
            </w:r>
            <w:r w:rsidRPr="000C7F5A">
              <w:rPr>
                <w:rFonts w:eastAsia="MS Mincho"/>
                <w:sz w:val="20"/>
                <w:szCs w:val="20"/>
              </w:rPr>
              <w:t>.</w:t>
            </w:r>
          </w:p>
          <w:p w14:paraId="699E9313" w14:textId="77777777" w:rsidR="00845FB9" w:rsidRPr="000C7F5A" w:rsidRDefault="00000000" w:rsidP="000C7F5A">
            <w:pPr>
              <w:spacing w:line="240" w:lineRule="auto"/>
              <w:ind w:firstLine="0"/>
              <w:rPr>
                <w:rFonts w:eastAsia="MS Mincho"/>
                <w:sz w:val="20"/>
                <w:szCs w:val="20"/>
              </w:rPr>
            </w:pPr>
            <w:r w:rsidRPr="000C7F5A">
              <w:rPr>
                <w:rFonts w:eastAsia="MS Mincho"/>
                <w:sz w:val="20"/>
                <w:szCs w:val="20"/>
              </w:rPr>
              <w:t xml:space="preserve">* This SPSS script contains multiple </w:t>
            </w:r>
            <w:r w:rsidR="00D44D3B" w:rsidRPr="000C7F5A">
              <w:rPr>
                <w:rFonts w:eastAsia="MS Mincho"/>
                <w:sz w:val="20"/>
                <w:szCs w:val="20"/>
              </w:rPr>
              <w:t>issues that prevent it from running</w:t>
            </w:r>
            <w:r w:rsidRPr="000C7F5A">
              <w:rPr>
                <w:rFonts w:eastAsia="MS Mincho"/>
                <w:sz w:val="20"/>
                <w:szCs w:val="20"/>
              </w:rPr>
              <w:t xml:space="preserve">. See main text for discussion.  </w:t>
            </w:r>
          </w:p>
          <w:p w14:paraId="037D2B34" w14:textId="77777777" w:rsidR="00EF3810" w:rsidRPr="000C7F5A" w:rsidRDefault="00000000" w:rsidP="000C7F5A">
            <w:pPr>
              <w:spacing w:line="240" w:lineRule="auto"/>
              <w:ind w:firstLine="0"/>
              <w:rPr>
                <w:rFonts w:eastAsia="MS Mincho"/>
                <w:sz w:val="20"/>
                <w:szCs w:val="20"/>
              </w:rPr>
            </w:pPr>
            <w:r w:rsidRPr="000C7F5A">
              <w:rPr>
                <w:rFonts w:eastAsia="MS Mincho"/>
                <w:sz w:val="20"/>
                <w:szCs w:val="20"/>
              </w:rPr>
              <w:t xml:space="preserve">** This verification attempt was performed on the speculative basis that perhaps Vahey et al. (2015) ran their meta-analysis on the 56 individual weighted effect sizes rather than than the 15 weighted average effect sizes. There is some mild alignment between the results of this analysis, but only on the assumption that Vahey et al. (2015) </w:t>
            </w:r>
            <w:r w:rsidRPr="000C7F5A">
              <w:rPr>
                <w:rFonts w:eastAsia="MS Mincho"/>
                <w:sz w:val="20"/>
                <w:szCs w:val="20"/>
              </w:rPr>
              <w:lastRenderedPageBreak/>
              <w:t xml:space="preserve">also confused their CIs with their CRs. Alignment is closer but still imperfect, i.e., </w:t>
            </w:r>
            <w:r w:rsidR="00224644" w:rsidRPr="000C7F5A">
              <w:rPr>
                <w:rFonts w:eastAsia="MS Mincho"/>
                <w:sz w:val="20"/>
                <w:szCs w:val="20"/>
              </w:rPr>
              <w:t xml:space="preserve">reported </w:t>
            </w:r>
            <m:oMath>
              <m:acc>
                <m:accPr>
                  <m:chr m:val="̅"/>
                  <m:ctrlPr>
                    <w:rPr>
                      <w:rFonts w:ascii="Cambria Math" w:eastAsia="MS Mincho" w:hAnsi="Cambria Math"/>
                      <w:sz w:val="20"/>
                      <w:szCs w:val="20"/>
                    </w:rPr>
                  </m:ctrlPr>
                </m:accPr>
                <m:e>
                  <m:r>
                    <w:rPr>
                      <w:rFonts w:ascii="Cambria Math" w:eastAsia="MS Mincho" w:hAnsi="Cambria Math"/>
                      <w:sz w:val="20"/>
                      <w:szCs w:val="20"/>
                    </w:rPr>
                    <m:t>r</m:t>
                  </m:r>
                </m:e>
              </m:acc>
              <m:r>
                <w:rPr>
                  <w:rFonts w:ascii="Cambria Math" w:eastAsia="MS Mincho" w:hAnsi="Cambria Math"/>
                  <w:sz w:val="20"/>
                  <w:szCs w:val="20"/>
                </w:rPr>
                <m:t xml:space="preserve"> </m:t>
              </m:r>
            </m:oMath>
            <w:r w:rsidR="00224644" w:rsidRPr="000C7F5A">
              <w:rPr>
                <w:rFonts w:eastAsia="MS Mincho"/>
                <w:sz w:val="20"/>
                <w:szCs w:val="20"/>
              </w:rPr>
              <w:t xml:space="preserve">= .45, reclaculated </w:t>
            </w:r>
            <m:oMath>
              <m:acc>
                <m:accPr>
                  <m:chr m:val="̅"/>
                  <m:ctrlPr>
                    <w:rPr>
                      <w:rFonts w:ascii="Cambria Math" w:eastAsia="MS Mincho" w:hAnsi="Cambria Math"/>
                      <w:sz w:val="20"/>
                      <w:szCs w:val="20"/>
                    </w:rPr>
                  </m:ctrlPr>
                </m:accPr>
                <m:e>
                  <m:r>
                    <w:rPr>
                      <w:rFonts w:ascii="Cambria Math" w:eastAsia="MS Mincho" w:hAnsi="Cambria Math"/>
                      <w:sz w:val="20"/>
                      <w:szCs w:val="20"/>
                    </w:rPr>
                    <m:t>r</m:t>
                  </m:r>
                </m:e>
              </m:acc>
              <m:r>
                <w:rPr>
                  <w:rFonts w:ascii="Cambria Math" w:eastAsia="MS Mincho" w:hAnsi="Cambria Math"/>
                  <w:sz w:val="20"/>
                  <w:szCs w:val="20"/>
                </w:rPr>
                <m:t xml:space="preserve"> </m:t>
              </m:r>
            </m:oMath>
            <w:r w:rsidR="00224644" w:rsidRPr="000C7F5A">
              <w:rPr>
                <w:rFonts w:eastAsia="MS Mincho"/>
                <w:sz w:val="20"/>
                <w:szCs w:val="20"/>
              </w:rPr>
              <w:t xml:space="preserve">= .48; </w:t>
            </w:r>
            <w:r w:rsidRPr="000C7F5A">
              <w:rPr>
                <w:rFonts w:eastAsia="MS Mincho"/>
                <w:sz w:val="20"/>
                <w:szCs w:val="20"/>
              </w:rPr>
              <w:t xml:space="preserve">reported CI = [.40, .54], </w:t>
            </w:r>
            <w:r w:rsidR="00224644" w:rsidRPr="000C7F5A">
              <w:rPr>
                <w:rFonts w:eastAsia="MS Mincho"/>
                <w:sz w:val="20"/>
                <w:szCs w:val="20"/>
              </w:rPr>
              <w:t xml:space="preserve">reclaculated </w:t>
            </w:r>
            <w:r w:rsidRPr="000C7F5A">
              <w:rPr>
                <w:rFonts w:eastAsia="MS Mincho"/>
                <w:sz w:val="20"/>
                <w:szCs w:val="20"/>
              </w:rPr>
              <w:t>CR = [.39, .57]; reported CR = [.23, .67[,</w:t>
            </w:r>
            <w:r w:rsidR="00224644" w:rsidRPr="000C7F5A">
              <w:rPr>
                <w:rFonts w:eastAsia="MS Mincho"/>
                <w:sz w:val="20"/>
                <w:szCs w:val="20"/>
              </w:rPr>
              <w:t xml:space="preserve">reclaculated </w:t>
            </w:r>
            <w:r w:rsidRPr="000C7F5A">
              <w:rPr>
                <w:rFonts w:eastAsia="MS Mincho"/>
                <w:sz w:val="20"/>
                <w:szCs w:val="20"/>
              </w:rPr>
              <w:t xml:space="preserve">CI = [.20, 74]. </w:t>
            </w:r>
          </w:p>
        </w:tc>
      </w:tr>
    </w:tbl>
    <w:p w14:paraId="37E76994" w14:textId="77777777" w:rsidR="009B4A0E" w:rsidRDefault="009B4A0E" w:rsidP="00D77465"/>
    <w:p w14:paraId="43CA2B8E" w14:textId="77777777" w:rsidR="003C6701" w:rsidRDefault="003C6701" w:rsidP="00D77465">
      <w:pPr>
        <w:sectPr w:rsidR="003C6701" w:rsidSect="00D77465">
          <w:pgSz w:w="16840" w:h="11900" w:orient="landscape"/>
          <w:pgMar w:top="1440" w:right="1440" w:bottom="1440" w:left="1440" w:header="709" w:footer="709" w:gutter="0"/>
          <w:cols w:space="340"/>
          <w:titlePg/>
          <w:docGrid w:linePitch="360"/>
          <w15:footnoteColumns w:val="1"/>
        </w:sectPr>
      </w:pPr>
    </w:p>
    <w:p w14:paraId="4FB2E610" w14:textId="77777777" w:rsidR="00993E5C" w:rsidRPr="00CC1B6A" w:rsidRDefault="00993E5C" w:rsidP="00974D7B">
      <w:pPr>
        <w:pStyle w:val="Heading3"/>
      </w:pPr>
      <w:r w:rsidRPr="00CC1B6A">
        <w:lastRenderedPageBreak/>
        <w:t xml:space="preserve">Verification </w:t>
      </w:r>
      <w:proofErr w:type="gramStart"/>
      <w:r w:rsidRPr="00CC1B6A">
        <w:t>attempt</w:t>
      </w:r>
      <w:proofErr w:type="gramEnd"/>
      <w:r w:rsidRPr="00CC1B6A">
        <w:t xml:space="preserve"> 1</w:t>
      </w:r>
    </w:p>
    <w:p w14:paraId="1D30C496" w14:textId="77777777" w:rsidR="00993E5C" w:rsidRPr="00CC1B6A" w:rsidRDefault="00993E5C" w:rsidP="00D77465">
      <w:r w:rsidRPr="00CC1B6A">
        <w:t>The first verification attempt employed Field’s “</w:t>
      </w:r>
      <w:proofErr w:type="spellStart"/>
      <w:r w:rsidRPr="00CC1B6A">
        <w:t>h_s</w:t>
      </w:r>
      <w:proofErr w:type="spellEnd"/>
      <w:r w:rsidRPr="00CC1B6A">
        <w:t xml:space="preserve"> </w:t>
      </w:r>
      <w:proofErr w:type="spellStart"/>
      <w:r w:rsidRPr="00CC1B6A">
        <w:t>syntax.sps</w:t>
      </w:r>
      <w:proofErr w:type="spellEnd"/>
      <w:r w:rsidRPr="00CC1B6A">
        <w:t xml:space="preserve">” SPSS script. The default 80% Credibility Interval widths were changed to 95% to match what was reported by Vahey et al. (2015). </w:t>
      </w:r>
    </w:p>
    <w:p w14:paraId="2361FC08" w14:textId="6BA2FADD" w:rsidR="008806BD" w:rsidRPr="00993E5C" w:rsidRDefault="00993E5C" w:rsidP="00D77465">
      <w:pPr>
        <w:rPr>
          <w:iCs/>
        </w:rPr>
      </w:pPr>
      <w:r w:rsidRPr="00CC1B6A">
        <w:t xml:space="preserve">One other key assumption was made </w:t>
      </w:r>
      <w:proofErr w:type="gramStart"/>
      <w:r w:rsidRPr="00CC1B6A">
        <w:t>in order to</w:t>
      </w:r>
      <w:proofErr w:type="gramEnd"/>
      <w:r w:rsidRPr="00CC1B6A">
        <w:t xml:space="preserve"> allow the script to run. To take a step back, a Hunter &amp; Schmidt style meta-analysis is sometimes referred to as a form of psychometric meta-analysis because it typically involves de-attenuating the effect sizes based on the reliability of the measures that produced them </w:t>
      </w:r>
      <w:r w:rsidRPr="00CC1B6A">
        <w:fldChar w:fldCharType="begin"/>
      </w:r>
      <w:r w:rsidRPr="00CC1B6A">
        <w:instrText xml:space="preserve"> ADDIN ZOTERO_ITEM CSL_CITATION {"citationID":"DLZY0oSP","properties":{"formattedCitation":"(Field &amp; Gillett, 2010; Hunter &amp; Schmidt, 2004)","plainCitation":"(Field &amp; Gillett, 2010; Hunter &amp; Schmidt, 2004)","noteIndex":0},"citationItems":[{"id":400,"uris":["http://zotero.org/users/1687755/items/T4RKSQ58"],"itemData":{"id":400,"type":"article-journal","abstract":"Meta-analysis is a statistical tool for estimating the mean and variance of underlying population effects from a collection of empirical studies addressing ostensibly the same research question. Meta-analysis has become an increasing popular and valuable tool in psychological research, and major review articles typically employ these methods. This article describes the process of conducting meta-analysis: selecting articles, developing inclusion criteria, calculating effect sizes, conducting the actual analysis (including information on how to do the analysis on popular computer packages such as IBM SPSS and R) and estimating the effects of publication bias. Guidance is also given on how to write up a meta-analysis.","container-title":"British Journal of Mathematical and Statistical Psychology","DOI":"10.1348/000711010X502733","ISSN":"2044-8317","issue":"3","language":"en","note":"_eprint: https://onlinelibrary.wiley.com/doi/pdf/10.1348/000711010X502733","page":"665-694","source":"Wiley Online Library","title":"How to do a meta-analysis","volume":"63","author":[{"family":"Field","given":"Andy P."},{"family":"Gillett","given":"Raphael"}],"issued":{"date-parts":[["2010"]]}}},{"id":29142,"uris":["http://zotero.org/users/1687755/items/G2PQG5VA"],"itemData":{"id":29142,"type":"book","publisher":"Sage","title":"Methods of meta-analysis: Correcting error and bias in research findings","author":[{"family":"Hunter","given":"John E"},{"family":"Schmidt","given":"Frank L"}],"issued":{"date-parts":[["2004"]]}}}],"schema":"https://github.com/citation-style-language/schema/raw/master/csl-citation.json"} </w:instrText>
      </w:r>
      <w:r w:rsidRPr="00CC1B6A">
        <w:fldChar w:fldCharType="separate"/>
      </w:r>
      <w:r w:rsidRPr="00CC1B6A">
        <w:rPr>
          <w:noProof/>
        </w:rPr>
        <w:t>(Field &amp; Gillett, 2010; Hunter &amp; Schmidt, 2004)</w:t>
      </w:r>
      <w:r w:rsidRPr="00CC1B6A">
        <w:fldChar w:fldCharType="end"/>
      </w:r>
      <w:r w:rsidRPr="00CC1B6A">
        <w:t>. For Field’s “</w:t>
      </w:r>
      <w:proofErr w:type="spellStart"/>
      <w:r w:rsidRPr="00CC1B6A">
        <w:t>h_s</w:t>
      </w:r>
      <w:proofErr w:type="spellEnd"/>
      <w:r w:rsidRPr="00CC1B6A">
        <w:t xml:space="preserve"> </w:t>
      </w:r>
      <w:proofErr w:type="spellStart"/>
      <w:r w:rsidRPr="00CC1B6A">
        <w:t>syntax.sps</w:t>
      </w:r>
      <w:proofErr w:type="spellEnd"/>
      <w:r w:rsidRPr="00CC1B6A">
        <w:t xml:space="preserve">” script to run it requires the researcher to provide reliability values for </w:t>
      </w:r>
      <w:proofErr w:type="gramStart"/>
      <w:r w:rsidRPr="00CC1B6A">
        <w:t>both of the measures</w:t>
      </w:r>
      <w:proofErr w:type="gramEnd"/>
      <w:r w:rsidRPr="00CC1B6A">
        <w:t xml:space="preserve"> that produced each effect size. Partially missing values can be imputed via the mean, but at least some reliability values must be provided. However, Vahey et al. (2015) do not report any extracting or</w:t>
      </w:r>
      <w:r>
        <w:t xml:space="preserve"> </w:t>
      </w:r>
      <w:r w:rsidR="008806BD" w:rsidRPr="00CC1B6A">
        <w:t xml:space="preserve">estimating reliabilities or deattenuating the effect sizes based on them, and no reliability data is available in their manuscript or supplementary materials. In the absence of other information, I set the reliability for all variables to 1.0 </w:t>
      </w:r>
      <w:proofErr w:type="gramStart"/>
      <w:r w:rsidR="008806BD" w:rsidRPr="00CC1B6A">
        <w:t>in order to</w:t>
      </w:r>
      <w:proofErr w:type="gramEnd"/>
      <w:r w:rsidR="008806BD" w:rsidRPr="00CC1B6A">
        <w:t xml:space="preserve"> allow the script to run. </w:t>
      </w:r>
    </w:p>
    <w:p w14:paraId="010E85CB" w14:textId="77777777" w:rsidR="008806BD" w:rsidRPr="00845FB9" w:rsidRDefault="008806BD" w:rsidP="00D77465">
      <w:pPr>
        <w:rPr>
          <w:iCs/>
        </w:rPr>
      </w:pPr>
      <w:r w:rsidRPr="00CC1B6A">
        <w:t xml:space="preserve">This verification attempt did not reproduce the original results for the point estimate, Confidence Interval, or Credibility Interval (see </w:t>
      </w:r>
    </w:p>
    <w:p w14:paraId="252F69C8" w14:textId="77777777" w:rsidR="008806BD" w:rsidRPr="00034410" w:rsidRDefault="008806BD" w:rsidP="00974D7B">
      <w:pPr>
        <w:pStyle w:val="Heading3"/>
      </w:pPr>
      <w:r w:rsidRPr="00034410">
        <w:t xml:space="preserve">Verification </w:t>
      </w:r>
      <w:proofErr w:type="gramStart"/>
      <w:r w:rsidRPr="00034410">
        <w:t>attempt</w:t>
      </w:r>
      <w:proofErr w:type="gramEnd"/>
      <w:r w:rsidRPr="00034410">
        <w:t xml:space="preserve"> </w:t>
      </w:r>
      <w:r>
        <w:t>3</w:t>
      </w:r>
    </w:p>
    <w:p w14:paraId="26F9D781" w14:textId="77777777" w:rsidR="008806BD" w:rsidRDefault="008806BD" w:rsidP="00D77465">
      <w:pPr>
        <w:rPr>
          <w:iCs/>
        </w:rPr>
      </w:pPr>
      <w:r>
        <w:rPr>
          <w:iCs/>
        </w:rPr>
        <w:t>I then reimplemented the math specified in the “</w:t>
      </w:r>
      <w:proofErr w:type="spellStart"/>
      <w:r w:rsidRPr="00034410">
        <w:t>Meta_Basic_r.sps</w:t>
      </w:r>
      <w:proofErr w:type="spellEnd"/>
      <w:r>
        <w:t xml:space="preserve">” and </w:t>
      </w:r>
      <w:r w:rsidRPr="00034410">
        <w:t>“</w:t>
      </w:r>
      <w:proofErr w:type="spellStart"/>
      <w:r w:rsidRPr="00034410">
        <w:t>h_s</w:t>
      </w:r>
      <w:proofErr w:type="spellEnd"/>
      <w:r w:rsidRPr="00034410">
        <w:t xml:space="preserve"> </w:t>
      </w:r>
      <w:proofErr w:type="spellStart"/>
      <w:r w:rsidRPr="00034410">
        <w:t>syntax.sps</w:t>
      </w:r>
      <w:proofErr w:type="spellEnd"/>
      <w:r w:rsidRPr="00034410">
        <w:t>”</w:t>
      </w:r>
      <w:r>
        <w:t xml:space="preserve"> in R. I obtained identical results for the SPSS and R versions of the latter, providing some confidence that the reimplementation of the former was also accurate. </w:t>
      </w:r>
    </w:p>
    <w:p w14:paraId="59CD3788" w14:textId="77777777" w:rsidR="008806BD" w:rsidRDefault="008806BD" w:rsidP="00D77465">
      <w:r w:rsidRPr="00034410">
        <w:t xml:space="preserve">One </w:t>
      </w:r>
      <w:r>
        <w:t xml:space="preserve">necessary </w:t>
      </w:r>
      <w:r w:rsidRPr="00034410">
        <w:t xml:space="preserve">alteration was made to the </w:t>
      </w:r>
      <w:r>
        <w:t>code</w:t>
      </w:r>
      <w:r w:rsidRPr="00034410">
        <w:t xml:space="preserve">: if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034410">
        <w:t xml:space="preserve"> was negative it was set to zero</w:t>
      </w:r>
      <w:r>
        <w:t xml:space="preserve"> to produce a Credibility Interval width of 0. This correction was specified in </w:t>
      </w:r>
      <w:r w:rsidRPr="00034410">
        <w:t>“</w:t>
      </w:r>
      <w:proofErr w:type="spellStart"/>
      <w:r w:rsidRPr="00034410">
        <w:t>h_s</w:t>
      </w:r>
      <w:proofErr w:type="spellEnd"/>
      <w:r w:rsidRPr="00034410">
        <w:t xml:space="preserve"> </w:t>
      </w:r>
      <w:proofErr w:type="spellStart"/>
      <w:r w:rsidRPr="00034410">
        <w:t>syntax.sps</w:t>
      </w:r>
      <w:proofErr w:type="spellEnd"/>
      <w:r w:rsidRPr="00034410">
        <w:t xml:space="preserve">” </w:t>
      </w:r>
      <w:r>
        <w:t>but not “</w:t>
      </w:r>
      <w:proofErr w:type="spellStart"/>
      <w:r w:rsidRPr="00034410">
        <w:t>Meta_Basic_r.sps</w:t>
      </w:r>
      <w:proofErr w:type="spellEnd"/>
      <w:r>
        <w:t>” – I merely applied it in both</w:t>
      </w:r>
      <w:r w:rsidRPr="00034410">
        <w:t xml:space="preserve">. Without this alternation, if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034410">
        <w:t xml:space="preserve"> was negative the script would fail to run. </w:t>
      </w:r>
    </w:p>
    <w:p w14:paraId="30D83F6D" w14:textId="77777777" w:rsidR="008806BD" w:rsidRDefault="008806BD" w:rsidP="00D77465">
      <w:pPr>
        <w:rPr>
          <w:iCs/>
        </w:rPr>
      </w:pPr>
      <w:r>
        <w:lastRenderedPageBreak/>
        <w:t>T</w:t>
      </w:r>
      <w:r w:rsidRPr="00034410">
        <w:t xml:space="preserve">his verification attempt </w:t>
      </w:r>
      <w:r>
        <w:t xml:space="preserve">of the R implementation of the Hunter and </w:t>
      </w:r>
      <w:proofErr w:type="spellStart"/>
      <w:r>
        <w:t>Schimdt</w:t>
      </w:r>
      <w:proofErr w:type="spellEnd"/>
      <w:r>
        <w:t xml:space="preserve"> style meta-analysis implemented in </w:t>
      </w:r>
      <w:r>
        <w:rPr>
          <w:iCs/>
        </w:rPr>
        <w:t>“</w:t>
      </w:r>
      <w:proofErr w:type="spellStart"/>
      <w:r w:rsidRPr="00034410">
        <w:t>Meta_Basic_r.sps</w:t>
      </w:r>
      <w:proofErr w:type="spellEnd"/>
      <w:r>
        <w:t xml:space="preserve">” </w:t>
      </w:r>
      <w:r w:rsidRPr="00034410">
        <w:t xml:space="preserve">also did not reproduce the original results. The point estimate was off by </w:t>
      </w:r>
      <w:r>
        <w:t xml:space="preserve">only </w:t>
      </w:r>
      <w:r w:rsidRPr="00034410">
        <w:t>a small amount (</w:t>
      </w:r>
      <m:oMath>
        <m:acc>
          <m:accPr>
            <m:chr m:val="̅"/>
            <m:ctrlPr>
              <w:rPr>
                <w:rFonts w:ascii="Cambria Math" w:hAnsi="Cambria Math"/>
                <w:i/>
                <w:sz w:val="20"/>
                <w:szCs w:val="20"/>
              </w:rPr>
            </m:ctrlPr>
          </m:accPr>
          <m:e>
            <m:r>
              <w:rPr>
                <w:rFonts w:ascii="Cambria Math" w:hAnsi="Cambria Math"/>
              </w:rPr>
              <m:t>r</m:t>
            </m:r>
          </m:e>
        </m:acc>
      </m:oMath>
      <w:r w:rsidRPr="00034410">
        <w:t xml:space="preserve"> = 0.01)</w:t>
      </w:r>
      <w:r>
        <w:t xml:space="preserve">, although this is </w:t>
      </w:r>
      <w:r w:rsidRPr="00034410">
        <w:t xml:space="preserve">more than </w:t>
      </w:r>
      <w:r>
        <w:t xml:space="preserve">can </w:t>
      </w:r>
      <w:r w:rsidRPr="00034410">
        <w:t xml:space="preserve">be accounted for by </w:t>
      </w:r>
      <w:r>
        <w:t xml:space="preserve">common methods of </w:t>
      </w:r>
      <w:r w:rsidRPr="00034410">
        <w:t>rounding</w:t>
      </w:r>
      <w:r>
        <w:t>, although it could be obtained via (erroneous) truncation</w:t>
      </w:r>
      <w:r w:rsidRPr="00034410">
        <w:t xml:space="preserve">. </w:t>
      </w:r>
      <w:r>
        <w:t>However, the Confidence Intervals were nearly four times wider than the original results. In addition, the Credibility Interval</w:t>
      </w:r>
      <w:r w:rsidRPr="00034410">
        <w:t xml:space="preserve">s again </w:t>
      </w:r>
      <w:r>
        <w:t xml:space="preserve">had zero width </w:t>
      </w:r>
      <w:r w:rsidRPr="00034410">
        <w:t xml:space="preserve">(i.e., because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034410">
        <w:rPr>
          <w:iCs/>
        </w:rPr>
        <w:t xml:space="preserve"> was negative and interval width was therefore set to zero)</w:t>
      </w:r>
      <w:r>
        <w:rPr>
          <w:iCs/>
        </w:rPr>
        <w:t xml:space="preserve"> and therefore greatly differed from the original results.</w:t>
      </w:r>
    </w:p>
    <w:p w14:paraId="730600C0" w14:textId="77777777" w:rsidR="008806BD" w:rsidRDefault="008806BD" w:rsidP="00974D7B">
      <w:pPr>
        <w:pStyle w:val="Heading3"/>
      </w:pPr>
      <w:r w:rsidRPr="00034410">
        <w:t xml:space="preserve">Verification </w:t>
      </w:r>
      <w:proofErr w:type="gramStart"/>
      <w:r w:rsidRPr="00034410">
        <w:t>attempt</w:t>
      </w:r>
      <w:proofErr w:type="gramEnd"/>
      <w:r w:rsidRPr="00034410">
        <w:t xml:space="preserve"> </w:t>
      </w:r>
      <w:r>
        <w:t>4</w:t>
      </w:r>
    </w:p>
    <w:p w14:paraId="4857C2E1" w14:textId="77777777" w:rsidR="008806BD" w:rsidRDefault="008806BD" w:rsidP="00D77465">
      <w:r>
        <w:t xml:space="preserve">A close reading of Field &amp; Gillet (2010) and </w:t>
      </w:r>
      <w:r>
        <w:rPr>
          <w:iCs/>
        </w:rPr>
        <w:t>“</w:t>
      </w:r>
      <w:proofErr w:type="spellStart"/>
      <w:r w:rsidRPr="00034410">
        <w:t>Meta_Basic_r.sps</w:t>
      </w:r>
      <w:proofErr w:type="spellEnd"/>
      <w:r>
        <w:t xml:space="preserve">” revealed an inconsistency between them: Field &amp; Gillett state that Overton corrections should be applied to the individual correlations in the Hedges and </w:t>
      </w:r>
      <w:proofErr w:type="gramStart"/>
      <w:r>
        <w:t>colleagues</w:t>
      </w:r>
      <w:proofErr w:type="gramEnd"/>
      <w:r>
        <w:t xml:space="preserve"> approach but not the Hunter and Schmidt approach. However, the SPSS script applies Overton corrections in both. I therefore removed this correction from my R implementation for attempt 4. This changed the results very little from attempt 3, and did not reproduce Vahey et al.’s (2015) results. </w:t>
      </w:r>
    </w:p>
    <w:p w14:paraId="69DC189D" w14:textId="77777777" w:rsidR="008806BD" w:rsidRDefault="008806BD" w:rsidP="00974D7B">
      <w:pPr>
        <w:pStyle w:val="Heading3"/>
      </w:pPr>
      <w:r>
        <w:t xml:space="preserve">Verification </w:t>
      </w:r>
      <w:proofErr w:type="gramStart"/>
      <w:r>
        <w:t>attempt</w:t>
      </w:r>
      <w:proofErr w:type="gramEnd"/>
      <w:r>
        <w:t xml:space="preserve"> 5</w:t>
      </w:r>
    </w:p>
    <w:p w14:paraId="3BA927EF" w14:textId="77777777" w:rsidR="008806BD" w:rsidRPr="00034410" w:rsidRDefault="008806BD" w:rsidP="00D77465">
      <w:r>
        <w:t xml:space="preserve">In order to try to obtain the original results, </w:t>
      </w:r>
      <w:r w:rsidRPr="00034410">
        <w:t xml:space="preserve">I </w:t>
      </w:r>
      <w:r>
        <w:t xml:space="preserve">then </w:t>
      </w:r>
      <w:r w:rsidRPr="00034410">
        <w:t>switched from using</w:t>
      </w:r>
      <w:r>
        <w:t xml:space="preserve"> manual implementations of the equations reported in </w:t>
      </w:r>
      <w:r w:rsidRPr="00034410">
        <w:t>Field</w:t>
      </w:r>
      <w:r>
        <w:t xml:space="preserve"> &amp; Gillett (2010) (i.e., their </w:t>
      </w:r>
      <w:r w:rsidRPr="00034410">
        <w:t xml:space="preserve">SPSS </w:t>
      </w:r>
      <w:r>
        <w:t xml:space="preserve">code or my translations into R) </w:t>
      </w:r>
      <w:r w:rsidRPr="00034410">
        <w:t>to</w:t>
      </w:r>
      <w:r>
        <w:t xml:space="preserve"> instead using an established R package for meta-analyses:</w:t>
      </w:r>
      <w:r w:rsidRPr="00034410">
        <w:t xml:space="preserve"> </w:t>
      </w:r>
      <w:proofErr w:type="spellStart"/>
      <w:r w:rsidRPr="00034410">
        <w:t>Vi</w:t>
      </w:r>
      <w:r>
        <w:t>e</w:t>
      </w:r>
      <w:r w:rsidRPr="00034410">
        <w:t>chtbauer’s</w:t>
      </w:r>
      <w:proofErr w:type="spellEnd"/>
      <w:r w:rsidRPr="00034410">
        <w:t xml:space="preserve"> </w:t>
      </w:r>
      <w:r w:rsidRPr="00034410">
        <w:fldChar w:fldCharType="begin"/>
      </w:r>
      <w:r>
        <w:instrText xml:space="preserve"> ADDIN ZOTERO_ITEM CSL_CITATION {"citationID":"MKTdnzPc","properties":{"formattedCitation":"(2022)","plainCitation":"(2022)","noteIndex":0},"citationItems":[{"id":29101,"uris":["http://zotero.org/users/1687755/items/AXENKNNK"],"itemData":{"id":29101,"type":"webpage","title":"Hunter and Schmidt Method","URL":"https://www.metafor-project.org/doku.php/tips:hunter_schmidt_method","author":[{"family":"Viechtbauer","given":"Wolfgang"}],"accessed":{"date-parts":[["2024",7,30]]},"issued":{"date-parts":[["2022"]]}},"label":"page","suppress-author":true}],"schema":"https://github.com/citation-style-language/schema/raw/master/csl-citation.json"} </w:instrText>
      </w:r>
      <w:r w:rsidRPr="00034410">
        <w:fldChar w:fldCharType="separate"/>
      </w:r>
      <w:r>
        <w:t>(2022)</w:t>
      </w:r>
      <w:r w:rsidRPr="00034410">
        <w:fldChar w:fldCharType="end"/>
      </w:r>
      <w:r w:rsidRPr="00034410">
        <w:t xml:space="preserve"> implementation </w:t>
      </w:r>
      <w:r>
        <w:t xml:space="preserve">of a </w:t>
      </w:r>
      <w:r w:rsidRPr="00034410">
        <w:t xml:space="preserve">Hunter &amp; Schmidt </w:t>
      </w:r>
      <w:r>
        <w:t xml:space="preserve">style meta-analysis written using the </w:t>
      </w:r>
      <w:proofErr w:type="spellStart"/>
      <w:r w:rsidRPr="00034410">
        <w:t>metafor</w:t>
      </w:r>
      <w:proofErr w:type="spellEnd"/>
      <w:r w:rsidRPr="00034410">
        <w:t xml:space="preserve"> package </w:t>
      </w:r>
      <w:r w:rsidRPr="00034410">
        <w:fldChar w:fldCharType="begin"/>
      </w:r>
      <w:r w:rsidRPr="00034410">
        <w:instrText xml:space="preserve"> ADDIN ZOTERO_ITEM CSL_CITATION {"citationID":"XzGoTILX","properties":{"formattedCitation":"(Viechtbauer, 2010, 2024)","plainCitation":"(Viechtbauer, 2010, 2024)","noteIndex":0},"citationItems":[{"id":3775,"uris":["http://zotero.org/users/1687755/items/H4RMVYAU"],"itemData":{"id":3775,"type":"article-journal","abstract":"The metafor package provides functions for conducting meta-analyses in R. The package includes functions for ﬁtting the meta-analytic ﬁxed- and random-eﬀects models and allows for the inclusion of moderators variables (study-level covariates) in these models. Meta-regression analyses with continuous and categorical moderators can be conducted in this way. Functions for the Mantel-Haenszel and Peto’s one-step method for metaanalyses of 2 </w:instrText>
      </w:r>
      <w:r w:rsidRPr="00034410">
        <w:rPr>
          <w:rFonts w:ascii="Cambria" w:hAnsi="Cambria" w:cs="Cambria"/>
        </w:rPr>
        <w:instrText>×</w:instrText>
      </w:r>
      <w:r w:rsidRPr="00034410">
        <w:instrText xml:space="preserve"> 2 table data are also available. Finally, the package provides various plot functions (for example, for forest, funnel, and radial plots) and functions for assessing the model ﬁt,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id":29100,"uris":["http://zotero.org/users/1687755/items/TUUVMC32"],"itemData":{"id":29100,"type":"software","abstract":"A comprehensive collection of functions for conducting meta-analyses in R. The package includes functions to calculate various effect sizes or outcome measures, fit equal-, fixed-, random-, and mixed-effects models to such data, carry out moderator and meta-regression analyses, and create various types of meta-analytical plots (e.g., forest, funnel, radial, L'Abbe, Baujat, bubble, and GOSH plots). For meta-analyses of binomial and person-time data, the package also provides functions that implement specialized methods, including the Mantel-Haenszel method, Peto's method, and a variety of suitable generalized linear (mixed-effects) models (i.e., mixed-effects logistic and Poisson regression models). Finally, the package provides functionality for fitting meta-analytic multivariate/multilevel models that account for non-independent sampling errors and/or true effects (e.g., due to the inclusion of multiple treatment studies, multiple endpoints, or other forms of clustering). Network meta-analyses and meta-analyses accounting for known correlation structures (e.g., due to phylogenetic relatedness) can also be conducted. An introduction to the package can be found in Viechtbauer (2010) &lt;doi:10.18637/jss.v036.i03&gt;.","license":"GPL-2 | GPL-3 [expanded from: GPL (</w:instrText>
      </w:r>
      <w:r w:rsidRPr="00034410">
        <w:rPr>
          <w:rFonts w:ascii="Cambria Math" w:hAnsi="Cambria Math" w:cs="Cambria Math"/>
        </w:rPr>
        <w:instrText>≥</w:instrText>
      </w:r>
      <w:r w:rsidRPr="00034410">
        <w:instrText xml:space="preserve"> 2)]","source":"R-Packages","title":"metafor: Meta-Analysis Package for R","title-short":"metafor","URL":"https://CRAN.R-project.org/package=metafor","version":"4.6-0","author":[{"family":"Viechtbauer","given":"Wolfgang"}],"accessed":{"date-parts":[["2024",7,30]]},"issued":{"date-parts":[["2024",3,28]]}}}],"schema":"https://github.com/citation-style-language/schema/raw/master/csl-citation.json"} </w:instrText>
      </w:r>
      <w:r w:rsidRPr="00034410">
        <w:fldChar w:fldCharType="separate"/>
      </w:r>
      <w:r w:rsidRPr="00034410">
        <w:rPr>
          <w:noProof/>
        </w:rPr>
        <w:t>(Viechtbauer, 2010, 2024)</w:t>
      </w:r>
      <w:r w:rsidRPr="00034410">
        <w:fldChar w:fldCharType="end"/>
      </w:r>
      <w:r w:rsidRPr="00034410">
        <w:t>. This provided new avenue</w:t>
      </w:r>
      <w:r>
        <w:t>s</w:t>
      </w:r>
      <w:r w:rsidRPr="00034410">
        <w:t xml:space="preserve"> to attempt to reproduce the original results in a programming language </w:t>
      </w:r>
      <w:r>
        <w:t xml:space="preserve">and package </w:t>
      </w:r>
      <w:r w:rsidRPr="00034410">
        <w:t>I was more familiar with</w:t>
      </w:r>
      <w:r>
        <w:t xml:space="preserve">, allowing me to try a variety of variations on a given attempt more efficiently. </w:t>
      </w:r>
      <w:r w:rsidRPr="00034410">
        <w:t xml:space="preserve">Field &amp; Gillett’s (2010) equations </w:t>
      </w:r>
      <w:r>
        <w:t xml:space="preserve">2-5 </w:t>
      </w:r>
      <w:r w:rsidRPr="00034410">
        <w:t xml:space="preserve">were </w:t>
      </w:r>
      <w:r>
        <w:t xml:space="preserve">used to </w:t>
      </w:r>
      <w:r w:rsidRPr="00034410">
        <w:t>implement</w:t>
      </w:r>
      <w:r>
        <w:t xml:space="preserve"> Credibility Intervals</w:t>
      </w:r>
      <w:r w:rsidRPr="00034410">
        <w:t xml:space="preserve">. </w:t>
      </w:r>
      <w:r>
        <w:t>In this attempt,</w:t>
      </w:r>
      <w:r w:rsidRPr="00034410">
        <w:t xml:space="preserve"> the </w:t>
      </w:r>
      <w:r>
        <w:t>Confidence Interval</w:t>
      </w:r>
      <w:r w:rsidRPr="00034410">
        <w:t xml:space="preserve">s reported by Vahey et al. (2015) were reproduced. However, the </w:t>
      </w:r>
      <w:r w:rsidRPr="00034410">
        <w:lastRenderedPageBreak/>
        <w:t xml:space="preserve">point estimate and </w:t>
      </w:r>
      <w:r>
        <w:t>Credibility Interval</w:t>
      </w:r>
      <w:r w:rsidRPr="00034410">
        <w:t>s again did not reproduce the</w:t>
      </w:r>
      <w:r>
        <w:t xml:space="preserve"> </w:t>
      </w:r>
      <w:r w:rsidRPr="00034410">
        <w:t xml:space="preserve">original results and matched the results found in verification analyses 1 and </w:t>
      </w:r>
      <w:r>
        <w:t xml:space="preserve">4, as well as being very close to 3. </w:t>
      </w:r>
    </w:p>
    <w:p w14:paraId="636DE10D" w14:textId="77777777" w:rsidR="008806BD" w:rsidRPr="00034410" w:rsidRDefault="008806BD" w:rsidP="00D77465">
      <w:r w:rsidRPr="00034410">
        <w:t xml:space="preserve">This verification </w:t>
      </w:r>
      <w:proofErr w:type="gramStart"/>
      <w:r w:rsidRPr="00034410">
        <w:t>attempt</w:t>
      </w:r>
      <w:proofErr w:type="gramEnd"/>
      <w:r w:rsidRPr="00034410">
        <w:t xml:space="preserve"> also attempted to reproduce the original forest plot (Vahey et al., 2015, Figure 1), which was more feasible in R</w:t>
      </w:r>
      <w:r>
        <w:t xml:space="preserve"> and </w:t>
      </w:r>
      <w:proofErr w:type="spellStart"/>
      <w:r>
        <w:t>metafor</w:t>
      </w:r>
      <w:proofErr w:type="spellEnd"/>
      <w:r w:rsidRPr="00034410">
        <w:t>. It is useful to</w:t>
      </w:r>
      <w:r>
        <w:t xml:space="preserve"> </w:t>
      </w:r>
      <w:r w:rsidRPr="00034410">
        <w:t xml:space="preserve">note that the original forest plot reported asymmetric </w:t>
      </w:r>
      <w:r>
        <w:t>Confidence Interval</w:t>
      </w:r>
      <w:r w:rsidRPr="00034410">
        <w:t xml:space="preserve">s around individual effect sizes. That is, the lower bounds are typically further from the point estimate than the upper bounds. This implies that some form of non-linear transformation was employed, such as a Fisher’s </w:t>
      </w:r>
      <w:r w:rsidRPr="00034410">
        <w:rPr>
          <w:i/>
          <w:iCs/>
        </w:rPr>
        <w:t>r</w:t>
      </w:r>
      <w:r w:rsidRPr="00034410">
        <w:t>-to-</w:t>
      </w:r>
      <w:r w:rsidRPr="00034410">
        <w:rPr>
          <w:i/>
          <w:iCs/>
        </w:rPr>
        <w:t>z</w:t>
      </w:r>
      <w:r w:rsidRPr="00034410">
        <w:t xml:space="preserve"> transformation. However, Vahey et al. (2015) do not report employing any transformations in their meta-analysis or forest plot. The forest </w:t>
      </w:r>
      <w:r w:rsidRPr="00095EF1">
        <w:t xml:space="preserve">plot associated with this verification attempt can be seen in Figure </w:t>
      </w:r>
      <w:r>
        <w:t>3</w:t>
      </w:r>
      <w:r w:rsidRPr="00095EF1">
        <w:t>. Confidence</w:t>
      </w:r>
      <w:r>
        <w:t xml:space="preserve"> Interval</w:t>
      </w:r>
      <w:r w:rsidRPr="00034410">
        <w:t>s around individual effect sizes were symmetric and therefore did not reproduce the original plot.</w:t>
      </w:r>
    </w:p>
    <w:p w14:paraId="2CCB1D53" w14:textId="77777777" w:rsidR="008806BD" w:rsidRPr="00034410" w:rsidRDefault="008806BD" w:rsidP="00974D7B">
      <w:pPr>
        <w:pStyle w:val="Heading3"/>
      </w:pPr>
      <w:r w:rsidRPr="00034410">
        <w:t xml:space="preserve">Verification </w:t>
      </w:r>
      <w:proofErr w:type="gramStart"/>
      <w:r w:rsidRPr="00034410">
        <w:t>attempt</w:t>
      </w:r>
      <w:proofErr w:type="gramEnd"/>
      <w:r w:rsidRPr="00034410">
        <w:t xml:space="preserve"> </w:t>
      </w:r>
      <w:r>
        <w:t>6</w:t>
      </w:r>
    </w:p>
    <w:p w14:paraId="0730D6BE" w14:textId="77777777" w:rsidR="008806BD" w:rsidRDefault="008806BD" w:rsidP="00D77465">
      <w:r>
        <w:t xml:space="preserve">Next, </w:t>
      </w:r>
      <w:r w:rsidRPr="00034410">
        <w:t>I appl</w:t>
      </w:r>
      <w:r>
        <w:t>ied</w:t>
      </w:r>
      <w:r w:rsidRPr="00034410">
        <w:t xml:space="preserve"> Fisher’s </w:t>
      </w:r>
      <w:r w:rsidRPr="00034410">
        <w:rPr>
          <w:i/>
          <w:iCs/>
        </w:rPr>
        <w:t>r</w:t>
      </w:r>
      <w:r w:rsidRPr="00034410">
        <w:t>-to-</w:t>
      </w:r>
      <w:r w:rsidRPr="00034410">
        <w:rPr>
          <w:i/>
          <w:iCs/>
        </w:rPr>
        <w:t>z</w:t>
      </w:r>
      <w:r w:rsidRPr="00034410">
        <w:t xml:space="preserve"> transformations to the individual effect sizes prior to meta-analysis and back transformations prior to reporting and plotting. The analysis was otherwise identical to the previous attempt. All estimated values were identical to attempt</w:t>
      </w:r>
      <w:r>
        <w:t xml:space="preserve"> 5</w:t>
      </w:r>
      <w:r w:rsidRPr="00034410">
        <w:t xml:space="preserve">, therefore the original </w:t>
      </w:r>
      <w:r>
        <w:t xml:space="preserve">meta-analysis </w:t>
      </w:r>
      <w:r w:rsidRPr="00034410">
        <w:t xml:space="preserve">results were not reproduced. </w:t>
      </w:r>
    </w:p>
    <w:p w14:paraId="212FE982" w14:textId="1A5BC067" w:rsidR="000C7F5A" w:rsidRDefault="008806BD" w:rsidP="000C7F5A">
      <w:r>
        <w:t>However, t</w:t>
      </w:r>
      <w:r w:rsidRPr="00034410">
        <w:t xml:space="preserve">he forest plot associated with this attempt </w:t>
      </w:r>
      <w:r>
        <w:t xml:space="preserve">did </w:t>
      </w:r>
      <w:r w:rsidRPr="00034410">
        <w:t xml:space="preserve">reproduce the </w:t>
      </w:r>
      <w:r>
        <w:t>Confidence Interval</w:t>
      </w:r>
      <w:r w:rsidRPr="00034410">
        <w:t xml:space="preserve">s around the individual effect sizes </w:t>
      </w:r>
      <w:r>
        <w:t xml:space="preserve">from Vahey et al.’s (2015) </w:t>
      </w:r>
      <w:r w:rsidRPr="00034410">
        <w:t xml:space="preserve">original </w:t>
      </w:r>
      <w:r>
        <w:t xml:space="preserve">forest </w:t>
      </w:r>
      <w:r w:rsidRPr="00095EF1">
        <w:t>plot (see their Figure 1 and this manuscript’s Figure</w:t>
      </w:r>
      <w:r>
        <w:t>s</w:t>
      </w:r>
      <w:r w:rsidRPr="00095EF1">
        <w:t xml:space="preserve"> </w:t>
      </w:r>
      <w:r>
        <w:t>1 and 3</w:t>
      </w:r>
      <w:r w:rsidRPr="00095EF1">
        <w:t>),</w:t>
      </w:r>
      <w:r w:rsidRPr="00034410">
        <w:t xml:space="preserve"> suggesting that Vahey et al. (2015) employed these transformations but did not report them. </w:t>
      </w:r>
      <w:r>
        <w:t>This under-reported data transformation also implies a second form of underreporting: Vahey et al. (2015) reported employing a Hunter &amp; Schmidt style meta-analysis, but this</w:t>
      </w:r>
      <w:r w:rsidR="000C7F5A">
        <w:t xml:space="preserve"> implies that they diverged from this strategy by also applying Hedges style data transformations (in addition to not applying Hunter &amp; Schmidt style corrections for reliability). While this reproduction of the original </w:t>
      </w:r>
      <w:r w:rsidR="000C7F5A">
        <w:lastRenderedPageBreak/>
        <w:t xml:space="preserve">individual effect sizes and their Confidence Intervals gets us one step closer to understanding the original analytic strategy, it nonetheless does not reproduce the meta-analysis results. </w:t>
      </w:r>
    </w:p>
    <w:p w14:paraId="3DF5C9CB" w14:textId="461DEA2E" w:rsidR="00601B7B" w:rsidRDefault="00601B7B" w:rsidP="000C7F5A">
      <w:pPr>
        <w:sectPr w:rsidR="00601B7B" w:rsidSect="00D77465">
          <w:pgSz w:w="11900" w:h="16840"/>
          <w:pgMar w:top="1440" w:right="1440" w:bottom="1440" w:left="1440" w:header="709" w:footer="709" w:gutter="0"/>
          <w:cols w:space="340"/>
          <w:titlePg/>
          <w:docGrid w:linePitch="360"/>
          <w15:footnoteColumns w:val="1"/>
        </w:sectPr>
      </w:pPr>
    </w:p>
    <w:p w14:paraId="194B371B" w14:textId="77777777" w:rsidR="00057A7F" w:rsidRDefault="00057A7F" w:rsidP="00D77465">
      <w:pPr>
        <w:sectPr w:rsidR="00057A7F" w:rsidSect="00D77465">
          <w:type w:val="continuous"/>
          <w:pgSz w:w="11900" w:h="16840"/>
          <w:pgMar w:top="1440" w:right="1440" w:bottom="1440" w:left="1440" w:header="709" w:footer="709" w:gutter="0"/>
          <w:cols w:space="340"/>
          <w:titlePg/>
          <w:docGrid w:linePitch="360"/>
          <w15:footnoteColumns w:val="1"/>
        </w:sectPr>
      </w:pPr>
    </w:p>
    <w:p w14:paraId="27CBBC31" w14:textId="77777777" w:rsidR="000C7F5A" w:rsidRDefault="000C7F5A">
      <w:pPr>
        <w:spacing w:line="240" w:lineRule="auto"/>
        <w:ind w:firstLine="0"/>
        <w:rPr>
          <w:b/>
          <w:bCs/>
        </w:rPr>
      </w:pPr>
      <w:r>
        <w:rPr>
          <w:b/>
          <w:bCs/>
        </w:rPr>
        <w:br w:type="page"/>
      </w:r>
    </w:p>
    <w:p w14:paraId="758DCFC9" w14:textId="18F91C9F" w:rsidR="00D0718D" w:rsidRPr="00DC0FA7" w:rsidRDefault="00000000" w:rsidP="00D77465">
      <w:r w:rsidRPr="00D0718D">
        <w:rPr>
          <w:b/>
          <w:bCs/>
        </w:rPr>
        <w:lastRenderedPageBreak/>
        <w:t xml:space="preserve">Figure </w:t>
      </w:r>
      <w:r w:rsidR="00B21A2E">
        <w:rPr>
          <w:b/>
          <w:bCs/>
        </w:rPr>
        <w:t>3</w:t>
      </w:r>
      <w:r w:rsidRPr="00D0718D">
        <w:rPr>
          <w:b/>
          <w:bCs/>
        </w:rPr>
        <w:t xml:space="preserve">. </w:t>
      </w:r>
      <w:r w:rsidRPr="00DC0FA7">
        <w:t xml:space="preserve">Forest plot for </w:t>
      </w:r>
      <w:r w:rsidR="001A4627" w:rsidRPr="00DC0FA7">
        <w:t xml:space="preserve">meta-analysis </w:t>
      </w:r>
      <w:r w:rsidRPr="00DC0FA7">
        <w:t xml:space="preserve">verification attempt </w:t>
      </w:r>
      <w:r w:rsidR="00C86BC8" w:rsidRPr="00DC0FA7">
        <w:t>5</w:t>
      </w:r>
      <w:r w:rsidRPr="00DC0FA7">
        <w:t>.</w:t>
      </w:r>
    </w:p>
    <w:p w14:paraId="5C694F13" w14:textId="77777777" w:rsidR="00D0718D" w:rsidRDefault="00000000" w:rsidP="00D77465">
      <w:r>
        <w:rPr>
          <w:noProof/>
        </w:rPr>
        <w:drawing>
          <wp:inline distT="0" distB="0" distL="0" distR="0" wp14:anchorId="6CAF23F5" wp14:editId="16034D9E">
            <wp:extent cx="4572000" cy="2743200"/>
            <wp:effectExtent l="0" t="0" r="0" b="0"/>
            <wp:docPr id="17155193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519359" name="Picture 1715519359"/>
                    <pic:cNvPicPr/>
                  </pic:nvPicPr>
                  <pic:blipFill>
                    <a:blip r:embed="rId15"/>
                    <a:stretch>
                      <a:fillRect/>
                    </a:stretch>
                  </pic:blipFill>
                  <pic:spPr>
                    <a:xfrm>
                      <a:off x="0" y="0"/>
                      <a:ext cx="4621825" cy="2773095"/>
                    </a:xfrm>
                    <a:prstGeom prst="rect">
                      <a:avLst/>
                    </a:prstGeom>
                  </pic:spPr>
                </pic:pic>
              </a:graphicData>
            </a:graphic>
          </wp:inline>
        </w:drawing>
      </w:r>
    </w:p>
    <w:p w14:paraId="4F0B6BE3" w14:textId="77777777" w:rsidR="00D736B9" w:rsidRDefault="00D736B9" w:rsidP="00D77465"/>
    <w:p w14:paraId="0436B118" w14:textId="77777777" w:rsidR="00D736B9" w:rsidRPr="00DC0FA7" w:rsidRDefault="00000000" w:rsidP="00D77465">
      <w:r w:rsidRPr="00D0718D">
        <w:rPr>
          <w:b/>
          <w:bCs/>
        </w:rPr>
        <w:t xml:space="preserve">Figure </w:t>
      </w:r>
      <w:r w:rsidR="00B21A2E">
        <w:rPr>
          <w:b/>
          <w:bCs/>
        </w:rPr>
        <w:t>4</w:t>
      </w:r>
      <w:r w:rsidRPr="00D0718D">
        <w:rPr>
          <w:b/>
          <w:bCs/>
        </w:rPr>
        <w:t xml:space="preserve">. </w:t>
      </w:r>
      <w:r w:rsidRPr="00DC0FA7">
        <w:t xml:space="preserve">Forest plot for meta-analysis verification attempt </w:t>
      </w:r>
      <w:r w:rsidR="00C86BC8" w:rsidRPr="00DC0FA7">
        <w:t>6</w:t>
      </w:r>
      <w:r w:rsidRPr="00DC0FA7">
        <w:t>.</w:t>
      </w:r>
    </w:p>
    <w:p w14:paraId="4134A017" w14:textId="77777777" w:rsidR="00D736B9" w:rsidRPr="00EA0AA1" w:rsidRDefault="00000000" w:rsidP="00D77465">
      <w:r>
        <w:rPr>
          <w:noProof/>
        </w:rPr>
        <w:drawing>
          <wp:inline distT="0" distB="0" distL="0" distR="0" wp14:anchorId="17C5512F" wp14:editId="07C8470D">
            <wp:extent cx="4572000" cy="2743200"/>
            <wp:effectExtent l="0" t="0" r="0" b="0"/>
            <wp:docPr id="10541767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176775" name="Picture 1054176775"/>
                    <pic:cNvPicPr/>
                  </pic:nvPicPr>
                  <pic:blipFill>
                    <a:blip r:embed="rId16"/>
                    <a:stretch>
                      <a:fillRect/>
                    </a:stretch>
                  </pic:blipFill>
                  <pic:spPr>
                    <a:xfrm>
                      <a:off x="0" y="0"/>
                      <a:ext cx="4623325" cy="2773995"/>
                    </a:xfrm>
                    <a:prstGeom prst="rect">
                      <a:avLst/>
                    </a:prstGeom>
                  </pic:spPr>
                </pic:pic>
              </a:graphicData>
            </a:graphic>
          </wp:inline>
        </w:drawing>
      </w:r>
    </w:p>
    <w:p w14:paraId="1AEE58F1" w14:textId="77777777" w:rsidR="00D0718D" w:rsidRDefault="00D0718D" w:rsidP="00D77465">
      <w:pPr>
        <w:sectPr w:rsidR="00D0718D" w:rsidSect="00D77465">
          <w:type w:val="continuous"/>
          <w:pgSz w:w="11900" w:h="16840"/>
          <w:pgMar w:top="1440" w:right="1440" w:bottom="1440" w:left="1440" w:header="709" w:footer="709" w:gutter="0"/>
          <w:cols w:space="340"/>
          <w:titlePg/>
          <w:docGrid w:linePitch="360"/>
          <w15:footnoteColumns w:val="1"/>
        </w:sectPr>
      </w:pPr>
    </w:p>
    <w:p w14:paraId="44D6CD13" w14:textId="77777777" w:rsidR="00093F1F" w:rsidRDefault="00093F1F" w:rsidP="00D77465">
      <w:pPr>
        <w:sectPr w:rsidR="00093F1F" w:rsidSect="00D77465">
          <w:type w:val="continuous"/>
          <w:pgSz w:w="11900" w:h="16840"/>
          <w:pgMar w:top="1440" w:right="1440" w:bottom="1440" w:left="1440" w:header="709" w:footer="709" w:gutter="0"/>
          <w:cols w:space="340"/>
          <w:titlePg/>
          <w:docGrid w:linePitch="360"/>
          <w15:footnoteColumns w:val="1"/>
        </w:sectPr>
      </w:pPr>
    </w:p>
    <w:p w14:paraId="7F861C3A" w14:textId="77777777" w:rsidR="00093F1F" w:rsidRDefault="00093F1F" w:rsidP="00D77465"/>
    <w:p w14:paraId="56F5E477" w14:textId="77777777" w:rsidR="00093F1F" w:rsidRDefault="00093F1F" w:rsidP="00D77465">
      <w:pPr>
        <w:sectPr w:rsidR="00093F1F" w:rsidSect="00D77465">
          <w:type w:val="continuous"/>
          <w:pgSz w:w="11900" w:h="16840"/>
          <w:pgMar w:top="1440" w:right="1440" w:bottom="1440" w:left="1440" w:header="709" w:footer="709" w:gutter="0"/>
          <w:cols w:space="340"/>
          <w:titlePg/>
          <w:docGrid w:linePitch="360"/>
          <w15:footnoteColumns w:val="1"/>
        </w:sectPr>
      </w:pPr>
    </w:p>
    <w:p w14:paraId="1A47E9DD" w14:textId="77777777" w:rsidR="000C7F5A" w:rsidRDefault="000C7F5A">
      <w:pPr>
        <w:spacing w:line="240" w:lineRule="auto"/>
        <w:ind w:firstLine="0"/>
      </w:pPr>
      <w:r>
        <w:br w:type="page"/>
      </w:r>
    </w:p>
    <w:p w14:paraId="171AE7A8" w14:textId="77777777" w:rsidR="00E91332" w:rsidRDefault="00E91332" w:rsidP="00974D7B">
      <w:pPr>
        <w:pStyle w:val="Heading3"/>
      </w:pPr>
      <w:r>
        <w:lastRenderedPageBreak/>
        <w:t xml:space="preserve">Verification </w:t>
      </w:r>
      <w:proofErr w:type="gramStart"/>
      <w:r>
        <w:t>attempt</w:t>
      </w:r>
      <w:proofErr w:type="gramEnd"/>
      <w:r>
        <w:t xml:space="preserve"> 7</w:t>
      </w:r>
    </w:p>
    <w:p w14:paraId="6E391573" w14:textId="15EB7361" w:rsidR="00917C66" w:rsidRDefault="00E91332" w:rsidP="00D77465">
      <w:r>
        <w:t xml:space="preserve">Lastly, I </w:t>
      </w:r>
      <w:proofErr w:type="gramStart"/>
      <w:r>
        <w:t>made an attempt</w:t>
      </w:r>
      <w:proofErr w:type="gramEnd"/>
      <w:r>
        <w:t xml:space="preserve"> that purposefully made statistical errors and went against Vahey et al.’s (2015) descriptions of their analytic strategy to see if it could allow me to reproduce the original results. Although Vahey et al. (2015) are explicit that they meta-</w:t>
      </w:r>
      <w:proofErr w:type="spellStart"/>
      <w:r>
        <w:t>analyzed</w:t>
      </w:r>
      <w:proofErr w:type="spellEnd"/>
      <w:r>
        <w:t xml:space="preserve"> the 15 weighted average effect sizes, in this attempt I instead used the 56 individual weighted effect sizes, weighted by the sample sizes reported in the original forest plot (their Figure 1). </w:t>
      </w:r>
      <w:r w:rsidR="006B7744">
        <w:t xml:space="preserve">This analysis therefore </w:t>
      </w:r>
      <w:r w:rsidR="00917C66">
        <w:t xml:space="preserve">purposefully ignored the dependencies among the effect sizes, which Vahey et al. (2015) acknowledged is problematic (see their Footnote 2). For this, I returned to using the original </w:t>
      </w:r>
      <w:r w:rsidR="00917C66" w:rsidRPr="00034410">
        <w:t>“</w:t>
      </w:r>
      <w:proofErr w:type="spellStart"/>
      <w:r w:rsidR="00917C66" w:rsidRPr="00034410">
        <w:t>h_s</w:t>
      </w:r>
      <w:proofErr w:type="spellEnd"/>
      <w:r w:rsidR="00917C66" w:rsidRPr="00034410">
        <w:t xml:space="preserve"> </w:t>
      </w:r>
      <w:proofErr w:type="spellStart"/>
      <w:r w:rsidR="00917C66" w:rsidRPr="00034410">
        <w:t>syntax.sps</w:t>
      </w:r>
      <w:proofErr w:type="spellEnd"/>
      <w:r w:rsidR="00917C66" w:rsidRPr="00034410">
        <w:t>”</w:t>
      </w:r>
      <w:r w:rsidR="00917C66">
        <w:t xml:space="preserve"> SPSS script, with all reliabilities still set to 0.0. </w:t>
      </w:r>
    </w:p>
    <w:p w14:paraId="1EF8CFA5" w14:textId="77777777" w:rsidR="00917C66" w:rsidRPr="00663882" w:rsidRDefault="00917C66" w:rsidP="00D77465">
      <w:r>
        <w:t xml:space="preserve">The results of this verification attempt again did not reproduce the original results (nor did multiple small variations on it, e.g., weighting by degrees of freedom rather than </w:t>
      </w:r>
      <w:r w:rsidRPr="005E3ABB">
        <w:rPr>
          <w:i/>
          <w:iCs/>
        </w:rPr>
        <w:t>N</w:t>
      </w:r>
      <w:r>
        <w:t xml:space="preserve">, or using no weights). However, one thing was perhaps notable: making one additional purposeful mistake provides the closest reproduction of the original results that I managed to obtain. Specifically, if one mislabels the Credibility Intervals as Confidence Intervals and vice versa, results show some alignment with the originally reported results: </w:t>
      </w:r>
      <w:r w:rsidRPr="005E3ABB">
        <w:t xml:space="preserve">reported </w:t>
      </w:r>
      <m:oMath>
        <m:acc>
          <m:accPr>
            <m:chr m:val="̅"/>
            <m:ctrlPr>
              <w:rPr>
                <w:rFonts w:ascii="Cambria Math" w:hAnsi="Cambria Math"/>
              </w:rPr>
            </m:ctrlPr>
          </m:accPr>
          <m:e>
            <m:r>
              <w:rPr>
                <w:rFonts w:ascii="Cambria Math" w:hAnsi="Cambria Math"/>
              </w:rPr>
              <m:t>r</m:t>
            </m:r>
          </m:e>
        </m:acc>
        <m:r>
          <w:rPr>
            <w:rFonts w:ascii="Cambria Math" w:hAnsi="Cambria Math"/>
          </w:rPr>
          <m:t xml:space="preserve"> </m:t>
        </m:r>
      </m:oMath>
      <w:r w:rsidRPr="005E3ABB">
        <w:t xml:space="preserve">= .45, recalculated </w:t>
      </w:r>
      <m:oMath>
        <m:acc>
          <m:accPr>
            <m:chr m:val="̅"/>
            <m:ctrlPr>
              <w:rPr>
                <w:rFonts w:ascii="Cambria Math" w:hAnsi="Cambria Math"/>
              </w:rPr>
            </m:ctrlPr>
          </m:accPr>
          <m:e>
            <m:r>
              <w:rPr>
                <w:rFonts w:ascii="Cambria Math" w:hAnsi="Cambria Math"/>
              </w:rPr>
              <m:t>r</m:t>
            </m:r>
          </m:e>
        </m:acc>
        <m:r>
          <w:rPr>
            <w:rFonts w:ascii="Cambria Math" w:hAnsi="Cambria Math"/>
          </w:rPr>
          <m:t xml:space="preserve"> </m:t>
        </m:r>
      </m:oMath>
      <w:r w:rsidRPr="005E3ABB">
        <w:t>= .48; reported CI = [.40, .54], recalculated CR = [.39, .57]; reported CR = [.23, .67[,</w:t>
      </w:r>
      <w:r>
        <w:t xml:space="preserve"> </w:t>
      </w:r>
      <w:r w:rsidRPr="005E3ABB">
        <w:t xml:space="preserve">recalculated CI = [.20, 74]. </w:t>
      </w:r>
    </w:p>
    <w:p w14:paraId="1841ECDA" w14:textId="77777777" w:rsidR="000C5BDB" w:rsidRDefault="00000000" w:rsidP="00974D7B">
      <w:pPr>
        <w:pStyle w:val="Heading3"/>
      </w:pPr>
      <w:r w:rsidRPr="00034410">
        <w:t>Summar</w:t>
      </w:r>
      <w:r w:rsidR="00987DC7" w:rsidRPr="00034410">
        <w:t xml:space="preserve">y </w:t>
      </w:r>
      <w:r w:rsidR="009B1C88">
        <w:t>of attempts</w:t>
      </w:r>
    </w:p>
    <w:p w14:paraId="342813A1" w14:textId="77777777" w:rsidR="009B1C88" w:rsidRPr="009B1C88" w:rsidRDefault="00000000" w:rsidP="00D77465">
      <w:r>
        <w:t>A large</w:t>
      </w:r>
      <w:r w:rsidR="007F7517">
        <w:t>r</w:t>
      </w:r>
      <w:r>
        <w:t xml:space="preserve"> number of small variations on the attempts that are reported here were also tried. For example, alternative values for reliability estimates, and not </w:t>
      </w:r>
      <w:proofErr w:type="gramStart"/>
      <w:r>
        <w:t>back-transforming</w:t>
      </w:r>
      <w:proofErr w:type="gramEnd"/>
      <w:r>
        <w:t xml:space="preserve"> the </w:t>
      </w:r>
      <w:r w:rsidRPr="002D10F0">
        <w:rPr>
          <w:i/>
          <w:iCs/>
        </w:rPr>
        <w:t>z</w:t>
      </w:r>
      <w:r>
        <w:t xml:space="preserve"> values </w:t>
      </w:r>
      <w:r w:rsidR="000D4325">
        <w:t xml:space="preserve">back to </w:t>
      </w:r>
      <w:r w:rsidR="000D4325" w:rsidRPr="000D4325">
        <w:rPr>
          <w:i/>
          <w:iCs/>
        </w:rPr>
        <w:t>r</w:t>
      </w:r>
      <w:r w:rsidR="000D4325">
        <w:t xml:space="preserve"> values</w:t>
      </w:r>
      <w:r>
        <w:t xml:space="preserve">. I also tried </w:t>
      </w:r>
      <w:r w:rsidR="00903996">
        <w:t>several</w:t>
      </w:r>
      <w:r>
        <w:t xml:space="preserve"> </w:t>
      </w:r>
      <w:r w:rsidR="00E63B38">
        <w:t xml:space="preserve">other </w:t>
      </w:r>
      <w:r>
        <w:t>purposeful mistakes, such as miscalculating Credibility Intervals based on plausible mathematical and coding errors. No attempt successfully reproduced the originally reported results.</w:t>
      </w:r>
    </w:p>
    <w:p w14:paraId="0085D651" w14:textId="77777777" w:rsidR="004735A6" w:rsidRDefault="00000000" w:rsidP="00D77465">
      <w:r>
        <w:lastRenderedPageBreak/>
        <w:t>Confidence Interval</w:t>
      </w:r>
      <w:r w:rsidR="002353CA" w:rsidRPr="00034410">
        <w:t xml:space="preserve">s around individual effect sizes in the </w:t>
      </w:r>
      <w:r w:rsidR="00E0308B">
        <w:t xml:space="preserve">original </w:t>
      </w:r>
      <w:r w:rsidR="002353CA" w:rsidRPr="00034410">
        <w:t xml:space="preserve">forest plot were only reproduced when Fisher’s </w:t>
      </w:r>
      <w:r w:rsidR="002353CA" w:rsidRPr="00034410">
        <w:rPr>
          <w:i/>
          <w:iCs/>
        </w:rPr>
        <w:t>r</w:t>
      </w:r>
      <w:r w:rsidR="002353CA" w:rsidRPr="00034410">
        <w:t>-to-</w:t>
      </w:r>
      <w:r w:rsidR="002353CA" w:rsidRPr="00034410">
        <w:rPr>
          <w:i/>
          <w:iCs/>
        </w:rPr>
        <w:t>z</w:t>
      </w:r>
      <w:r w:rsidR="002353CA" w:rsidRPr="00034410">
        <w:t xml:space="preserve"> transformations were applied (verification attempt </w:t>
      </w:r>
      <w:r w:rsidR="00C86BC8">
        <w:t>6</w:t>
      </w:r>
      <w:r w:rsidR="002353CA" w:rsidRPr="00034410">
        <w:t xml:space="preserve">) and not when they weren't (verification attempts </w:t>
      </w:r>
      <w:r w:rsidR="00C82E8B">
        <w:t>1-3</w:t>
      </w:r>
      <w:r w:rsidR="002353CA" w:rsidRPr="00034410">
        <w:t xml:space="preserve">). </w:t>
      </w:r>
    </w:p>
    <w:p w14:paraId="297B9833" w14:textId="77777777" w:rsidR="00EA7CE9" w:rsidRDefault="00000000" w:rsidP="00D77465">
      <w:r>
        <w:t xml:space="preserve">Meta-analysis </w:t>
      </w:r>
      <w:r w:rsidR="00710E09">
        <w:t>C</w:t>
      </w:r>
      <w:r>
        <w:t xml:space="preserve">onfidence </w:t>
      </w:r>
      <w:r w:rsidR="00710E09">
        <w:t>I</w:t>
      </w:r>
      <w:r>
        <w:t xml:space="preserve">ntervals were only reproduced when putting Field’s SPSS scripts aside and reconstructing the analyses in R using the metafor package. This is difficult to account for. </w:t>
      </w:r>
    </w:p>
    <w:p w14:paraId="058AADE8" w14:textId="77777777" w:rsidR="00710E09" w:rsidRDefault="00000000" w:rsidP="00D77465">
      <w:r>
        <w:t>Credibility Intervals could not be reproduced in any attempt. Indeed, all verification attempts in both SPSS and R, whether using Field’s mathematical solutions or metafor’s, returned CRs with widths of 0. The only exceptions to this were situations where I made purposeful errors.</w:t>
      </w:r>
      <w:r w:rsidR="00C77A87">
        <w:t xml:space="preserve"> It remains totally unclear how Vahey et al. (2015) produced their reported values. The closest I came to reproducing them was attempt 7, which had to make two serious mistakes on purpose: using the 56 individual effect sizes rather than the 15 weighted averages, and mislabelling Confidence Intervals as Credibility Intervals and vice versa. </w:t>
      </w:r>
    </w:p>
    <w:p w14:paraId="4405BBCD" w14:textId="77777777" w:rsidR="00625E20" w:rsidRDefault="00000000" w:rsidP="00625E20">
      <w:r>
        <w:t xml:space="preserve">Lastly, </w:t>
      </w:r>
      <w:proofErr w:type="gramStart"/>
      <w:r>
        <w:t>with regard to</w:t>
      </w:r>
      <w:proofErr w:type="gramEnd"/>
      <w:r>
        <w:t xml:space="preserve"> the point estimate of the meta-analytic effect size, I noted previously in </w:t>
      </w:r>
      <w:r w:rsidRPr="000521C2">
        <w:t xml:space="preserve">the “Issues with the meta-analysis </w:t>
      </w:r>
      <w:r>
        <w:t>results”</w:t>
      </w:r>
      <w:r w:rsidRPr="000521C2">
        <w:t xml:space="preserve"> section </w:t>
      </w:r>
      <w:r>
        <w:t xml:space="preserve">that the original </w:t>
      </w:r>
      <w:r w:rsidR="002C28D0">
        <w:t xml:space="preserve">meta-analysis point estimate is incompatible with the reported Confidence Intervals. Interestingly, if we assume that (a) the originally reported point estimate is incorrectly reported but the Confidence Intervals are correctly reported, and (b) that the Confidence Intervals are symmetrical, this </w:t>
      </w:r>
      <w:proofErr w:type="gramStart"/>
      <w:r w:rsidR="002C28D0">
        <w:t>would</w:t>
      </w:r>
      <w:proofErr w:type="gramEnd"/>
      <w:r w:rsidR="002C28D0">
        <w:t xml:space="preserve"> imply that a correct point estimate of .47 (i.e., at the halfway point between the intervals). A point estimate of .47 combined with Confidence Intervals of [.40, .54] was reproduced in verification attempts</w:t>
      </w:r>
      <w:r w:rsidR="00F45E46">
        <w:t xml:space="preserve"> 5 and 6 using metafor</w:t>
      </w:r>
      <w:r w:rsidR="002C28D0">
        <w:t xml:space="preserve">. </w:t>
      </w:r>
      <w:r w:rsidR="00EC09FF">
        <w:t xml:space="preserve">However, this does not imply that the original results are merely the result of a typo in the point estimate, as (a) the Credibility Intervals in verification attempts 3 and 4 are very different from the original results, and (b) more confusingly, these results were produced only by </w:t>
      </w:r>
      <w:r w:rsidR="00EC09FF" w:rsidRPr="00EC09FF">
        <w:t xml:space="preserve">Viechtbauer’s </w:t>
      </w:r>
      <w:r w:rsidR="00EC09FF">
        <w:t xml:space="preserve">(2022) implementation of the analysis in R and metafor, but not using the scripts that Vahey et al. </w:t>
      </w:r>
      <w:r w:rsidR="00EC09FF">
        <w:lastRenderedPageBreak/>
        <w:t>(2015) report having used.</w:t>
      </w:r>
      <w:r w:rsidR="0086020D">
        <w:t xml:space="preserve"> Therefore, it remains unclear how Vahey et al. (2015) analyzed their data or obtained all their results</w:t>
      </w:r>
      <w:r w:rsidR="00877E70">
        <w:t>, or even which mistakes if any during the meta-analysis may have given rise to their reported results.</w:t>
      </w:r>
    </w:p>
    <w:p w14:paraId="5327A12E" w14:textId="2212BDBD" w:rsidR="00697E83" w:rsidRPr="00034410" w:rsidRDefault="00136B0D" w:rsidP="00625E20">
      <w:pPr>
        <w:pStyle w:val="Heading2"/>
      </w:pPr>
      <w:r>
        <w:t>Weighted a</w:t>
      </w:r>
      <w:r w:rsidR="00B95E95" w:rsidRPr="00034410">
        <w:t>verage effect sizes</w:t>
      </w:r>
      <w:r w:rsidR="007E5FD2" w:rsidRPr="00034410">
        <w:t xml:space="preserve"> </w:t>
      </w:r>
    </w:p>
    <w:p w14:paraId="325F52BE" w14:textId="77777777" w:rsidR="00F73DA2" w:rsidRDefault="00000000" w:rsidP="00D77465">
      <w:proofErr w:type="gramStart"/>
      <w:r>
        <w:t>In order to</w:t>
      </w:r>
      <w:proofErr w:type="gramEnd"/>
      <w:r>
        <w:t xml:space="preserve"> </w:t>
      </w:r>
      <w:r w:rsidR="008C347B">
        <w:t xml:space="preserve">attempt to retrace the steps involved in the original </w:t>
      </w:r>
      <w:r>
        <w:t xml:space="preserve">analysis, I then noted that </w:t>
      </w:r>
      <w:r w:rsidR="00697E83" w:rsidRPr="00034410">
        <w:t xml:space="preserve">Vahey </w:t>
      </w:r>
      <w:r>
        <w:t xml:space="preserve">et al. (2015) </w:t>
      </w:r>
      <w:r w:rsidR="00697E83" w:rsidRPr="00034410">
        <w:t xml:space="preserve">reported that the </w:t>
      </w:r>
      <w:r w:rsidR="007A6740" w:rsidRPr="00034410">
        <w:t xml:space="preserve">15 </w:t>
      </w:r>
      <w:r w:rsidR="00697E83" w:rsidRPr="00034410">
        <w:t xml:space="preserve">weighted average effect sizes they used in their meta-analysis were calculated from </w:t>
      </w:r>
      <w:r w:rsidR="007A6740" w:rsidRPr="00034410">
        <w:t xml:space="preserve">46 </w:t>
      </w:r>
      <w:r w:rsidR="00697E83" w:rsidRPr="00034410">
        <w:t xml:space="preserve">individual effect sizes and </w:t>
      </w:r>
      <w:r w:rsidR="00FA3C97" w:rsidRPr="00034410">
        <w:t>degrees of freedom</w:t>
      </w:r>
      <w:r w:rsidR="00697E83" w:rsidRPr="00034410">
        <w:t xml:space="preserve"> </w:t>
      </w:r>
      <w:r>
        <w:t>taken from 15 studies. Vahey et al. (2015) report</w:t>
      </w:r>
      <w:r w:rsidR="00C315F6">
        <w:t>ed</w:t>
      </w:r>
      <w:r>
        <w:t xml:space="preserve"> the individual effect sizes and degrees of freedom in</w:t>
      </w:r>
      <w:r w:rsidR="00697E83" w:rsidRPr="00034410">
        <w:t xml:space="preserve"> their supplementary materials. I </w:t>
      </w:r>
      <w:r w:rsidR="00C315F6">
        <w:t xml:space="preserve">therefore </w:t>
      </w:r>
      <w:r w:rsidR="00697E83" w:rsidRPr="00034410">
        <w:t xml:space="preserve">attempted to verify </w:t>
      </w:r>
      <w:r w:rsidR="00C315F6">
        <w:t xml:space="preserve">the weighted averages </w:t>
      </w:r>
      <w:r w:rsidR="00697E83" w:rsidRPr="00034410">
        <w:t xml:space="preserve">by recalculating </w:t>
      </w:r>
      <w:r w:rsidR="00C315F6">
        <w:t xml:space="preserve">them using </w:t>
      </w:r>
      <w:r w:rsidR="005354BD">
        <w:t>Vahey et al</w:t>
      </w:r>
      <w:r w:rsidR="00FA3C97" w:rsidRPr="00034410">
        <w:t>'s (2015) strategy of weighting by degrees of freedom</w:t>
      </w:r>
      <w:r w:rsidR="00697E83" w:rsidRPr="00034410">
        <w:t xml:space="preserve">. </w:t>
      </w:r>
      <w:r w:rsidR="00B95E95" w:rsidRPr="00034410">
        <w:t xml:space="preserve">Results were not </w:t>
      </w:r>
      <w:r w:rsidR="00002C55">
        <w:t xml:space="preserve">fully </w:t>
      </w:r>
      <w:r w:rsidR="00B95E95" w:rsidRPr="00034410">
        <w:t>computationally reproducible</w:t>
      </w:r>
      <w:r w:rsidR="0033061C" w:rsidRPr="00034410">
        <w:t xml:space="preserve">: </w:t>
      </w:r>
      <w:r w:rsidR="00B95E95" w:rsidRPr="00034410">
        <w:t xml:space="preserve">2 of 15 (13%) </w:t>
      </w:r>
      <w:r w:rsidR="0033061C" w:rsidRPr="00034410">
        <w:t xml:space="preserve">recomputed weighted averages differed from those reported in </w:t>
      </w:r>
      <w:r w:rsidR="005354BD">
        <w:t>Vahey et al.’s</w:t>
      </w:r>
      <w:r w:rsidR="0033061C" w:rsidRPr="00034410">
        <w:t xml:space="preserve"> forest plot</w:t>
      </w:r>
      <w:r w:rsidR="00B95E95" w:rsidRPr="00034410">
        <w:t xml:space="preserve">. </w:t>
      </w:r>
      <w:r w:rsidR="008B53FE" w:rsidRPr="00034410">
        <w:t>On the one hand, t</w:t>
      </w:r>
      <w:r w:rsidR="00B95E95" w:rsidRPr="00034410">
        <w:t>he magnitudes of the differences were small (</w:t>
      </w:r>
      <m:oMath>
        <m:r>
          <m:rPr>
            <m:sty m:val="p"/>
          </m:rPr>
          <w:rPr>
            <w:rFonts w:ascii="Cambria Math" w:hAnsi="Cambria Math"/>
          </w:rPr>
          <m:t>Δ</m:t>
        </m:r>
        <m:acc>
          <m:accPr>
            <m:chr m:val="̅"/>
            <m:ctrlPr>
              <w:rPr>
                <w:rFonts w:ascii="Cambria Math" w:hAnsi="Cambria Math"/>
                <w:i/>
                <w:sz w:val="20"/>
                <w:szCs w:val="20"/>
              </w:rPr>
            </m:ctrlPr>
          </m:accPr>
          <m:e>
            <m:r>
              <w:rPr>
                <w:rFonts w:ascii="Cambria Math" w:hAnsi="Cambria Math"/>
              </w:rPr>
              <m:t>r</m:t>
            </m:r>
          </m:e>
        </m:acc>
      </m:oMath>
      <w:r w:rsidR="00C73A84" w:rsidRPr="00034410">
        <w:t xml:space="preserve"> </w:t>
      </w:r>
      <w:r w:rsidR="00B95E95" w:rsidRPr="00034410">
        <w:t xml:space="preserve"> = -.02 and .05).</w:t>
      </w:r>
      <w:r w:rsidR="007C71A5" w:rsidRPr="00034410">
        <w:t xml:space="preserve"> </w:t>
      </w:r>
      <w:r w:rsidR="008B53FE" w:rsidRPr="00034410">
        <w:t xml:space="preserve">On the other hand, given the simplicity of these calculations, </w:t>
      </w:r>
      <w:r w:rsidR="001B7C79">
        <w:t>the discrepancy is difficult to understand</w:t>
      </w:r>
      <w:r w:rsidR="008B53FE" w:rsidRPr="00034410">
        <w:t>.</w:t>
      </w:r>
      <w:r w:rsidR="00103A1D">
        <w:t xml:space="preserve"> Both instances with discrepancies came from articles whose first authors were co-authors of Vahey et al. (2015)</w:t>
      </w:r>
      <w:r w:rsidR="00466231">
        <w:t>, suggesting that they were not unfamiliar with the original studies.</w:t>
      </w:r>
    </w:p>
    <w:p w14:paraId="0DF609E9" w14:textId="77777777" w:rsidR="00B879CC" w:rsidRDefault="00000000" w:rsidP="00D77465">
      <w:pPr>
        <w:pStyle w:val="Heading2"/>
      </w:pPr>
      <w:r w:rsidRPr="00034410">
        <w:t>I</w:t>
      </w:r>
      <w:r w:rsidR="00B95E95" w:rsidRPr="00034410">
        <w:t xml:space="preserve">ndividual effect sizes </w:t>
      </w:r>
    </w:p>
    <w:p w14:paraId="32E6DCAD" w14:textId="77777777" w:rsidR="002B663E" w:rsidRPr="002B663E" w:rsidRDefault="00000000" w:rsidP="00D77465">
      <w:r>
        <w:t xml:space="preserve">Next, I attempted to retrace the next step involved in the original analysis: the extraction of effect sizes from original articles. This involves (a) the </w:t>
      </w:r>
      <w:r w:rsidR="00835CAA">
        <w:t xml:space="preserve">correct </w:t>
      </w:r>
      <w:r>
        <w:t>application of inclusion criteria</w:t>
      </w:r>
      <w:r w:rsidR="0002030D">
        <w:t xml:space="preserve"> in terms of correct inclusions and the absence of incorrect omissions</w:t>
      </w:r>
      <w:r>
        <w:t>, and (</w:t>
      </w:r>
      <w:r w:rsidR="00835CAA">
        <w:t>b</w:t>
      </w:r>
      <w:r>
        <w:t>) the extraction and conversion of effect sizes.</w:t>
      </w:r>
    </w:p>
    <w:p w14:paraId="5DACB90E" w14:textId="77777777" w:rsidR="00A64263" w:rsidRPr="00034410" w:rsidRDefault="00000000" w:rsidP="00974D7B">
      <w:pPr>
        <w:pStyle w:val="Heading3"/>
      </w:pPr>
      <w:r w:rsidRPr="00034410">
        <w:t>Assessment of incorrect inclusion</w:t>
      </w:r>
      <w:r w:rsidR="007E6922" w:rsidRPr="00034410">
        <w:t>s</w:t>
      </w:r>
    </w:p>
    <w:p w14:paraId="4644309E" w14:textId="77777777" w:rsidR="00A42C2C" w:rsidRDefault="00000000" w:rsidP="00D77465">
      <w:r w:rsidRPr="00034410">
        <w:t xml:space="preserve">Lakens et al. (2016) </w:t>
      </w:r>
      <w:r w:rsidR="00526746">
        <w:t>argued that</w:t>
      </w:r>
      <w:r w:rsidRPr="00034410">
        <w:t xml:space="preserve"> </w:t>
      </w:r>
      <w:r w:rsidR="00526746">
        <w:t>“</w:t>
      </w:r>
      <w:r w:rsidRPr="00034410">
        <w:t>incorrect inclusion</w:t>
      </w:r>
      <w:r w:rsidR="00526746">
        <w:t>”</w:t>
      </w:r>
      <w:r w:rsidRPr="00034410">
        <w:t xml:space="preserve"> </w:t>
      </w:r>
      <w:r w:rsidR="00526746">
        <w:t xml:space="preserve">is </w:t>
      </w:r>
      <w:r w:rsidRPr="00034410">
        <w:t>a common type</w:t>
      </w:r>
      <w:r w:rsidR="005C7269" w:rsidRPr="00034410">
        <w:t xml:space="preserve"> </w:t>
      </w:r>
      <w:r w:rsidRPr="00034410">
        <w:t>of error in meta-analy</w:t>
      </w:r>
      <w:r w:rsidR="004B19F2">
        <w:t>sis</w:t>
      </w:r>
      <w:r w:rsidR="002E34D5">
        <w:t xml:space="preserve">. That is, the </w:t>
      </w:r>
      <w:r w:rsidR="00605CE0" w:rsidRPr="00034410">
        <w:t xml:space="preserve">inclusion of effect sizes </w:t>
      </w:r>
      <w:r w:rsidR="005E6648" w:rsidRPr="00034410">
        <w:t xml:space="preserve">that do not meet the inclusion criteria. Vahey et al. (2015) stated that the purpose of their meta-analysis was to </w:t>
      </w:r>
      <w:r w:rsidR="005E6648" w:rsidRPr="008372BF">
        <w:rPr>
          <w:i/>
          <w:iCs/>
        </w:rPr>
        <w:t xml:space="preserve">“quantify how much </w:t>
      </w:r>
      <w:r w:rsidR="005E6648" w:rsidRPr="008372BF">
        <w:rPr>
          <w:i/>
          <w:iCs/>
        </w:rPr>
        <w:lastRenderedPageBreak/>
        <w:t>IRAP effects from clinically relevant responding co-vary with corresponding clinically relevant criterion variables"</w:t>
      </w:r>
      <w:r w:rsidR="005E6648" w:rsidRPr="00034410">
        <w:t xml:space="preserve"> (p.60). Their inclusion criterion was that </w:t>
      </w:r>
      <w:r w:rsidR="005E6648" w:rsidRPr="008372BF">
        <w:rPr>
          <w:i/>
          <w:iCs/>
        </w:rPr>
        <w:t xml:space="preserve">“the IRAP and criterion variables must have been deemed to target some aspect of a condition included in a major psychiatric diagnostic scheme such as the Diagnostic and Statistical Manual of Mental Disorders (DSM-5, 2013) … The authors decided whether the responses measured by a given IRAP trial-type should co-vary with a specific criterion variable by consulting the relevant empirical literature.” </w:t>
      </w:r>
      <w:r w:rsidR="005E6648" w:rsidRPr="00034410">
        <w:t>(p.60).</w:t>
      </w:r>
      <w:r w:rsidR="0035720E" w:rsidRPr="00034410">
        <w:t xml:space="preserve"> </w:t>
      </w:r>
      <w:r w:rsidR="00971ED4">
        <w:t xml:space="preserve">Unfortunately, neither </w:t>
      </w:r>
      <w:r w:rsidR="00971ED4" w:rsidRPr="00034410">
        <w:t xml:space="preserve">the original article </w:t>
      </w:r>
      <w:r w:rsidR="00971ED4">
        <w:t xml:space="preserve">nor its </w:t>
      </w:r>
      <w:r w:rsidR="00971ED4" w:rsidRPr="00034410">
        <w:t xml:space="preserve">supplementary materials </w:t>
      </w:r>
      <w:r w:rsidR="00971ED4">
        <w:t xml:space="preserve">provided data for each extracted effect size regarding which specific </w:t>
      </w:r>
      <w:r w:rsidR="00A22D26" w:rsidRPr="00034410">
        <w:t>clinical condition was targeted by the IRAP and the criterion variable</w:t>
      </w:r>
      <w:r w:rsidR="00971ED4">
        <w:t xml:space="preserve">, or </w:t>
      </w:r>
      <w:r w:rsidR="00A22D26" w:rsidRPr="00034410">
        <w:t xml:space="preserve">the </w:t>
      </w:r>
      <w:r w:rsidR="00271DC8">
        <w:t>“</w:t>
      </w:r>
      <w:r w:rsidR="00A22D26" w:rsidRPr="00034410">
        <w:t>specific empirical literature</w:t>
      </w:r>
      <w:r w:rsidR="00271DC8">
        <w:t>”</w:t>
      </w:r>
      <w:r w:rsidR="00A22D26" w:rsidRPr="00034410">
        <w:t xml:space="preserve"> that Vahey et al. (2015) used to justify the inclusion of each criterion. </w:t>
      </w:r>
    </w:p>
    <w:p w14:paraId="629BC290" w14:textId="4205F55B" w:rsidR="00454184" w:rsidRDefault="00000000" w:rsidP="00D77465">
      <w:r w:rsidRPr="00034410">
        <w:t xml:space="preserve">Nonetheless, </w:t>
      </w:r>
      <w:r w:rsidR="0035720E" w:rsidRPr="00034410">
        <w:t>Vahey</w:t>
      </w:r>
      <w:r w:rsidR="00F07A47">
        <w:t xml:space="preserve"> et al.</w:t>
      </w:r>
      <w:r w:rsidR="0035720E" w:rsidRPr="00034410">
        <w:t xml:space="preserve">’s </w:t>
      </w:r>
      <w:r w:rsidR="00F07A47">
        <w:t xml:space="preserve">(2015) </w:t>
      </w:r>
      <w:r w:rsidR="0035720E" w:rsidRPr="00034410">
        <w:t>own inclusion criterion required that effects referred to covariation between an IRAP and an external clinically relevant criterion variable</w:t>
      </w:r>
      <w:r w:rsidR="003A7B3D" w:rsidRPr="00034410">
        <w:t xml:space="preserve">, consistent with the </w:t>
      </w:r>
      <w:r w:rsidR="0035720E" w:rsidRPr="00034410">
        <w:t xml:space="preserve">APA Dictionary of Psychology </w:t>
      </w:r>
      <w:r w:rsidR="003A7B3D" w:rsidRPr="00034410">
        <w:t xml:space="preserve">definition of </w:t>
      </w:r>
      <w:r w:rsidR="0035720E" w:rsidRPr="00034410">
        <w:t xml:space="preserve">criterion validity </w:t>
      </w:r>
      <w:r w:rsidR="00B45502" w:rsidRPr="00034410">
        <w:fldChar w:fldCharType="begin"/>
      </w:r>
      <w:r w:rsidR="00B45502" w:rsidRPr="00034410">
        <w:instrText xml:space="preserve"> ADDIN ZOTERO_ITEM CSL_CITATION {"citationID":"E7WmNBFx","properties":{"formattedCitation":"(American Psychological Association, 2024)","plainCitation":"(American Psychological Association, 2024)","noteIndex":0},"citationItems":[{"id":29103,"uris":["http://zotero.org/users/1687755/items/ZUCAU6T6"],"itemData":{"id":29103,"type":"webpage","abstract":"A trusted reference in the field of psychology, offering more than 25,000 clear and authoritative entries.","language":"en","title":"APA Dictionary of Psychology","URL":"https://dictionary.apa.org/criterion-validity","author":[{"literal":"American Psychological Association"}],"accessed":{"date-parts":[["2024",7,30]]},"issued":{"date-parts":[["2024"]]}}}],"schema":"https://github.com/citation-style-language/schema/raw/master/csl-citation.json"} </w:instrText>
      </w:r>
      <w:r w:rsidR="00B45502" w:rsidRPr="00034410">
        <w:fldChar w:fldCharType="separate"/>
      </w:r>
      <w:r w:rsidR="00B45502" w:rsidRPr="00034410">
        <w:rPr>
          <w:noProof/>
        </w:rPr>
        <w:t>(American Psychological Association, 2024)</w:t>
      </w:r>
      <w:r w:rsidR="00B45502" w:rsidRPr="00034410">
        <w:fldChar w:fldCharType="end"/>
      </w:r>
      <w:r w:rsidR="0035720E" w:rsidRPr="00034410">
        <w:t>.</w:t>
      </w:r>
      <w:r w:rsidR="00A42C2C">
        <w:t xml:space="preserve"> </w:t>
      </w:r>
      <w:r w:rsidRPr="00034410">
        <w:t xml:space="preserve">Using the descriptions in </w:t>
      </w:r>
      <w:r w:rsidR="00A42C2C">
        <w:t>Vahey et al.’s (2015)</w:t>
      </w:r>
      <w:r w:rsidRPr="00034410">
        <w:t xml:space="preserve"> supplementary materials</w:t>
      </w:r>
      <w:r w:rsidR="002506A8" w:rsidRPr="00034410">
        <w:t>,</w:t>
      </w:r>
      <w:r w:rsidRPr="00034410">
        <w:t xml:space="preserve"> and with reference to the original papers, the individual effect sizes were </w:t>
      </w:r>
      <w:r w:rsidR="0073469D" w:rsidRPr="00034410">
        <w:t>re-evaluated</w:t>
      </w:r>
      <w:r w:rsidRPr="00034410">
        <w:t xml:space="preserve"> against </w:t>
      </w:r>
      <w:r w:rsidR="005354BD">
        <w:t>Vahey et al.’s</w:t>
      </w:r>
      <w:r w:rsidRPr="00034410">
        <w:t xml:space="preserve"> inclusion criterion of </w:t>
      </w:r>
      <w:r w:rsidR="00C41C74" w:rsidRPr="00034410">
        <w:t xml:space="preserve">covariance between an </w:t>
      </w:r>
      <w:r w:rsidRPr="00034410">
        <w:t xml:space="preserve">IRAP and a second external variable. </w:t>
      </w:r>
      <w:r w:rsidR="005E599F">
        <w:t xml:space="preserve">While the clinical relevance of specific effects might be more subjective, the involvement of a criterion variable other than the IRAP can be assessed objectively. Worryingly, </w:t>
      </w:r>
      <w:r w:rsidR="004666D2" w:rsidRPr="00034410">
        <w:t>23 of the 56 effect sizes (41%)</w:t>
      </w:r>
      <w:r w:rsidR="005E599F">
        <w:t xml:space="preserve"> employed by Vahey et al. (2015)</w:t>
      </w:r>
      <w:r w:rsidR="004666D2" w:rsidRPr="00034410">
        <w:t xml:space="preserve"> were found to involve no external variable (i.e., they </w:t>
      </w:r>
      <w:r w:rsidR="005E599F">
        <w:t xml:space="preserve">refer only to </w:t>
      </w:r>
      <w:r w:rsidR="004666D2" w:rsidRPr="00034410">
        <w:t>a reaction time differential between the IRAP block types</w:t>
      </w:r>
      <w:r w:rsidR="005E599F">
        <w:t xml:space="preserve">, i.e. from a one-sample </w:t>
      </w:r>
      <w:r w:rsidR="005E599F" w:rsidRPr="005E599F">
        <w:rPr>
          <w:i/>
          <w:iCs/>
        </w:rPr>
        <w:t>t</w:t>
      </w:r>
      <w:r w:rsidR="005E599F">
        <w:t>-test</w:t>
      </w:r>
      <w:r w:rsidR="004666D2" w:rsidRPr="00034410">
        <w:t>)</w:t>
      </w:r>
      <w:r w:rsidR="00C41C74" w:rsidRPr="00034410">
        <w:t xml:space="preserve">, and were therefore not suitable to be included in a meta-analysis of the IRAP’s criterion validity. </w:t>
      </w:r>
      <w:r w:rsidR="003E7022">
        <w:t>A large degree of incorrect inclusion error was therefore detected in Vahey et al.’s (2015) effect sizes.</w:t>
      </w:r>
    </w:p>
    <w:p w14:paraId="35693575" w14:textId="2935D38C" w:rsidR="00D154BD" w:rsidRDefault="00D154BD" w:rsidP="00D77465">
      <w:r>
        <w:t xml:space="preserve">An exploratory, non-preregistered Welches independent </w:t>
      </w:r>
      <w:r w:rsidRPr="00A30024">
        <w:rPr>
          <w:i/>
          <w:iCs/>
        </w:rPr>
        <w:t>t</w:t>
      </w:r>
      <w:r>
        <w:t xml:space="preserve">-test was used to test for differences in means between the individual effect sizes (on the </w:t>
      </w:r>
      <w:r w:rsidRPr="00A25F55">
        <w:rPr>
          <w:i/>
          <w:iCs/>
        </w:rPr>
        <w:t>r</w:t>
      </w:r>
      <w:r>
        <w:t xml:space="preserve"> scale) reported in the Vahey </w:t>
      </w:r>
      <w:r>
        <w:lastRenderedPageBreak/>
        <w:t xml:space="preserve">et al.’s (2015) supplementary materials. Erroneously included effect sizes that did not actually involve a criterion variable were found to be larger (mean </w:t>
      </w:r>
      <w:r w:rsidRPr="006B085F">
        <w:rPr>
          <w:i/>
          <w:iCs/>
        </w:rPr>
        <w:t>r</w:t>
      </w:r>
      <w:r>
        <w:t xml:space="preserve"> = .59) than those that did (mean </w:t>
      </w:r>
      <w:r w:rsidRPr="006B085F">
        <w:rPr>
          <w:i/>
          <w:iCs/>
        </w:rPr>
        <w:t>r</w:t>
      </w:r>
      <w:r>
        <w:t xml:space="preserve"> = .41), </w:t>
      </w:r>
      <w:proofErr w:type="gramStart"/>
      <w:r w:rsidRPr="00C30F51">
        <w:rPr>
          <w:i/>
          <w:iCs/>
        </w:rPr>
        <w:t>t</w:t>
      </w:r>
      <w:r>
        <w:t>(</w:t>
      </w:r>
      <w:proofErr w:type="gramEnd"/>
      <w:r w:rsidRPr="00A30024">
        <w:t>41.14</w:t>
      </w:r>
      <w:r>
        <w:t xml:space="preserve">) = 4.70, </w:t>
      </w:r>
      <w:r w:rsidRPr="00A30024">
        <w:rPr>
          <w:i/>
          <w:iCs/>
        </w:rPr>
        <w:t>p</w:t>
      </w:r>
      <w:r>
        <w:t xml:space="preserve"> = </w:t>
      </w:r>
      <w:r w:rsidRPr="00A30024">
        <w:t>.00003</w:t>
      </w:r>
      <w:r>
        <w:t>.</w:t>
      </w:r>
      <w:r w:rsidR="003B4E92">
        <w:t xml:space="preserve"> As such, the inappropriate inclusion of these non-criterion effect sizes served to include larger effect sizes.</w:t>
      </w:r>
    </w:p>
    <w:p w14:paraId="7948BFF3" w14:textId="77777777" w:rsidR="00E95A1C" w:rsidRDefault="00404F5B" w:rsidP="00D77465">
      <w:pPr>
        <w:rPr>
          <w:lang w:val="en-IE"/>
        </w:rPr>
      </w:pPr>
      <w:r>
        <w:t xml:space="preserve">It is worth noting that this is not the only form of inclusion criterion violation that was possible. While I did not attempt to examine it systematically given the potential for subjectivity, it is also worth noting that the “clinical focus” of criterion variables was unclear for several included effects. Vahey et al. (2015) state on page 60: </w:t>
      </w:r>
      <w:r w:rsidRPr="00404F5B">
        <w:rPr>
          <w:i/>
          <w:iCs/>
        </w:rPr>
        <w:t xml:space="preserve">“To be included within the current meta-analysis a given statistical effect must have described the co-variation of an IRAP effect with a corresponding </w:t>
      </w:r>
      <w:proofErr w:type="gramStart"/>
      <w:r w:rsidRPr="00404F5B">
        <w:rPr>
          <w:i/>
          <w:iCs/>
        </w:rPr>
        <w:t>clinically-focused</w:t>
      </w:r>
      <w:proofErr w:type="gramEnd"/>
      <w:r w:rsidRPr="00404F5B">
        <w:rPr>
          <w:i/>
          <w:iCs/>
        </w:rPr>
        <w:t xml:space="preserve"> criterion variable. To qualify as </w:t>
      </w:r>
      <w:proofErr w:type="gramStart"/>
      <w:r w:rsidRPr="00404F5B">
        <w:rPr>
          <w:i/>
          <w:iCs/>
        </w:rPr>
        <w:t>clinically-focused</w:t>
      </w:r>
      <w:proofErr w:type="gramEnd"/>
      <w:r w:rsidRPr="00404F5B">
        <w:rPr>
          <w:i/>
          <w:iCs/>
        </w:rPr>
        <w:t xml:space="preserve">, the IRAP and criterion variables must have been deemed to target some aspect of a condition included in a major psychiatric diagnostic scheme such as the Diagnostic and Statistical Manual of Mental Disorders (DSM-5, 2013).” </w:t>
      </w:r>
      <w:r>
        <w:t>Following, this definition, it is unclear how effect</w:t>
      </w:r>
      <w:r w:rsidR="008853DB">
        <w:t>s</w:t>
      </w:r>
      <w:r>
        <w:t xml:space="preserve"> such as </w:t>
      </w:r>
      <w:r w:rsidR="008853DB">
        <w:t xml:space="preserve">Vahey et al.’s </w:t>
      </w:r>
      <w:r w:rsidR="008853DB">
        <w:fldChar w:fldCharType="begin"/>
      </w:r>
      <w:r w:rsidR="008853DB">
        <w:instrText xml:space="preserve"> ADDIN ZOTERO_ITEM CSL_CITATION {"citationID":"KoS9YVJq","properties":{"formattedCitation":"(2009)","plainCitation":"(2009)","noteIndex":0},"citationItems":[{"id":219,"uris":["http://zotero.org/users/1687755/items/FKKC7AG6"],"itemData":{"id":219,"type":"article-journal","container-title":"The Psychological Record","issue":"3","page":"371–388","source":"Google Scholar","title":"A first test of the Implicit Relational Assessment Procedure (IRAP) as a measure of self-esteem: Irish prisoner groups and university students.","title-short":"A first test of the Implicit Relational Assessment Procedure (IRAP) as a measure of self-esteem","volume":"59","author":[{"family":"Vahey","given":"Nigel A."},{"family":"Barnes-Holmes","given":"Dermot"},{"family":"Barnes-Holmes","given":"Yvonne"},{"family":"Stewart","given":"Ian"}],"issued":{"date-parts":[["2009"]]}},"label":"page","suppress-author":true}],"schema":"https://github.com/citation-style-language/schema/raw/master/csl-citation.json"} </w:instrText>
      </w:r>
      <w:r w:rsidR="008853DB">
        <w:fldChar w:fldCharType="separate"/>
      </w:r>
      <w:r w:rsidR="008853DB">
        <w:rPr>
          <w:noProof/>
        </w:rPr>
        <w:t>(2009)</w:t>
      </w:r>
      <w:r w:rsidR="008853DB">
        <w:fldChar w:fldCharType="end"/>
      </w:r>
      <w:r w:rsidR="008853DB">
        <w:t xml:space="preserve"> </w:t>
      </w:r>
      <w:r>
        <w:t>differences on a self-esteem IRAP between “</w:t>
      </w:r>
      <w:r w:rsidRPr="00404F5B">
        <w:rPr>
          <w:lang w:val="en-IE"/>
        </w:rPr>
        <w:t>mainstream prisoners versus undergraduates and open area prisoners</w:t>
      </w:r>
      <w:r>
        <w:rPr>
          <w:lang w:val="en-IE"/>
        </w:rPr>
        <w:t xml:space="preserve">” (from their Supplementary Materials) were clearly linked to a psychiatric condition. First, being a prisoner is not a psychiatric condition. Second, </w:t>
      </w:r>
      <w:r w:rsidR="00096798">
        <w:rPr>
          <w:lang w:val="en-IE"/>
        </w:rPr>
        <w:t xml:space="preserve">to clarify Vahey et al.’s (2015) own description: </w:t>
      </w:r>
      <w:r>
        <w:rPr>
          <w:lang w:val="en-IE"/>
        </w:rPr>
        <w:t xml:space="preserve">the extracted effect does not refer to differences between students and prisoners, but a three way ANOVA main effect driven by (a) </w:t>
      </w:r>
      <w:r w:rsidRPr="00404F5B">
        <w:rPr>
          <w:lang w:val="en-IE"/>
        </w:rPr>
        <w:t>mainstream prisoners</w:t>
      </w:r>
      <w:r>
        <w:rPr>
          <w:lang w:val="en-IE"/>
        </w:rPr>
        <w:t xml:space="preserve"> vs. (b) </w:t>
      </w:r>
      <w:r w:rsidRPr="00404F5B">
        <w:rPr>
          <w:lang w:val="en-IE"/>
        </w:rPr>
        <w:t>undergraduates and open area prisoners</w:t>
      </w:r>
      <w:r w:rsidR="00096798">
        <w:rPr>
          <w:lang w:val="en-IE"/>
        </w:rPr>
        <w:t xml:space="preserve">. Vahey et al. (2009) provided an explanation for these effects in terms of the differential amenities provided to the different prisoner groups, i.e., their explanation for this effect is not rooted in any psychiatric condition. </w:t>
      </w:r>
    </w:p>
    <w:p w14:paraId="358CDA46" w14:textId="77777777" w:rsidR="00B923AB" w:rsidRPr="00034410" w:rsidRDefault="00000000" w:rsidP="00974D7B">
      <w:pPr>
        <w:pStyle w:val="Heading3"/>
      </w:pPr>
      <w:r w:rsidRPr="00034410">
        <w:t>Assessment of incorrect exclusions</w:t>
      </w:r>
    </w:p>
    <w:p w14:paraId="779E82BF" w14:textId="77777777" w:rsidR="00FC6F4E" w:rsidRPr="00034410" w:rsidRDefault="00000000" w:rsidP="00D77465">
      <w:r w:rsidRPr="00034410">
        <w:t xml:space="preserve">In addition to incorrect inclusions, it is equally plausible that effect sizes that </w:t>
      </w:r>
      <w:r w:rsidR="00D52134">
        <w:t xml:space="preserve">would have </w:t>
      </w:r>
      <w:r w:rsidRPr="00034410">
        <w:t xml:space="preserve">met inclusion criteria were erroneously not included. </w:t>
      </w:r>
      <w:r w:rsidR="001B6334">
        <w:t>I therefore re-</w:t>
      </w:r>
      <w:r w:rsidR="00F17E87">
        <w:t>e</w:t>
      </w:r>
      <w:r w:rsidR="001B6334">
        <w:t xml:space="preserve">xamined </w:t>
      </w:r>
      <w:r w:rsidRPr="00034410">
        <w:t xml:space="preserve">the same </w:t>
      </w:r>
      <w:r w:rsidRPr="00034410">
        <w:lastRenderedPageBreak/>
        <w:t>15 articles as Vahey et al. (2015)</w:t>
      </w:r>
      <w:r w:rsidR="001B6334">
        <w:t xml:space="preserve"> drew their effect sizes and searched for other effect sizes that met their inclusion criteria</w:t>
      </w:r>
      <w:r w:rsidRPr="00034410">
        <w:t>. Following Vahey et al.’s (2015) method, extractions were not limited to effect sizes reported in the articles, but also considered ones implied by the reported analyses</w:t>
      </w:r>
      <w:r w:rsidR="009D1C09">
        <w:t xml:space="preserve"> (e.g., correlations where only the statistically significant estimates were reported)</w:t>
      </w:r>
      <w:r w:rsidRPr="00034410">
        <w:t xml:space="preserve">. Where necessary, </w:t>
      </w:r>
      <w:r w:rsidR="00DC50FB">
        <w:t xml:space="preserve">I contacted the authors of the individual articles </w:t>
      </w:r>
      <w:r w:rsidRPr="00034410">
        <w:t xml:space="preserve">to obtain additional </w:t>
      </w:r>
      <w:r w:rsidR="00DC50FB">
        <w:t>estimates or data</w:t>
      </w:r>
      <w:r w:rsidRPr="00034410">
        <w:t xml:space="preserve">. For example, if non-significant correlations were reported as merely “other </w:t>
      </w:r>
      <w:r w:rsidRPr="00D37FA9">
        <w:t xml:space="preserve">correlations were non-significant”, these effect sizes were obtained where possible. </w:t>
      </w:r>
      <w:r w:rsidRPr="00034410">
        <w:t xml:space="preserve">Two independent raters rated each effect for clinical relevance </w:t>
      </w:r>
      <w:r w:rsidRPr="003457D0">
        <w:t>using Vahey</w:t>
      </w:r>
      <w:r w:rsidR="00D0309F">
        <w:t xml:space="preserve"> et al.</w:t>
      </w:r>
      <w:r w:rsidR="00312C6B">
        <w:t>’</w:t>
      </w:r>
      <w:r w:rsidR="00D0309F">
        <w:t>s (2015)</w:t>
      </w:r>
      <w:r w:rsidRPr="003457D0">
        <w:t xml:space="preserve"> </w:t>
      </w:r>
      <w:r w:rsidR="00C82775">
        <w:t>criteria</w:t>
      </w:r>
      <w:r w:rsidRPr="003457D0">
        <w:t>. Agreement was found in 90% of cases (Cohen’s Kappa = 0.8</w:t>
      </w:r>
      <w:r w:rsidR="002D29C7" w:rsidRPr="003457D0">
        <w:t>7</w:t>
      </w:r>
      <w:r w:rsidRPr="003457D0">
        <w:t xml:space="preserve">, </w:t>
      </w:r>
      <w:r w:rsidRPr="003457D0">
        <w:rPr>
          <w:i/>
        </w:rPr>
        <w:t>p</w:t>
      </w:r>
      <w:r w:rsidRPr="003457D0">
        <w:t xml:space="preserve"> &lt; .001). As in Vahey</w:t>
      </w:r>
      <w:r w:rsidRPr="00034410">
        <w:t xml:space="preserve"> et al. (2015), if either rater originally rated the effect as clinically relevant then it was included. </w:t>
      </w:r>
    </w:p>
    <w:p w14:paraId="170AD8FE" w14:textId="77777777" w:rsidR="00C96BF9" w:rsidRDefault="00000000" w:rsidP="00D77465">
      <w:r w:rsidRPr="00034410">
        <w:t xml:space="preserve">308 effect sizes were originally extracted. 53 were excluded as non-criterion effect sizes. 99 more were excluded as non-clinically relevant. This left 156 effect sizes for meta-analysis, compared to </w:t>
      </w:r>
      <w:r w:rsidR="00786A29">
        <w:t xml:space="preserve">the 33 included by </w:t>
      </w:r>
      <w:r w:rsidRPr="00034410">
        <w:t>Vahey et al. (2015)</w:t>
      </w:r>
      <w:r w:rsidR="00786A29">
        <w:t xml:space="preserve">, </w:t>
      </w:r>
      <w:r w:rsidR="007A42D1">
        <w:t xml:space="preserve">after </w:t>
      </w:r>
      <w:r w:rsidR="00786A29">
        <w:t xml:space="preserve">I </w:t>
      </w:r>
      <w:r w:rsidR="007A42D1">
        <w:t>exclud</w:t>
      </w:r>
      <w:r w:rsidR="00786A29">
        <w:t xml:space="preserve">ed the </w:t>
      </w:r>
      <w:r w:rsidR="007A42D1">
        <w:t>23 non-criterion effects</w:t>
      </w:r>
      <w:r w:rsidR="00786A29">
        <w:t xml:space="preserve"> (</w:t>
      </w:r>
      <w:r w:rsidR="007A42D1">
        <w:t>as discussed previously)</w:t>
      </w:r>
      <w:r w:rsidRPr="00034410">
        <w:t xml:space="preserve">. </w:t>
      </w:r>
      <w:r w:rsidR="00786A29">
        <w:t xml:space="preserve">This suggests that Vahey may have failed to include 85.3% of the effect sizes that met their inclusion criteria, representing a </w:t>
      </w:r>
      <w:r w:rsidR="00646821">
        <w:t xml:space="preserve">potentially </w:t>
      </w:r>
      <w:r w:rsidR="00786A29">
        <w:t xml:space="preserve">serious source of incorrect non-inclusion error. </w:t>
      </w:r>
    </w:p>
    <w:p w14:paraId="163348A4" w14:textId="77777777" w:rsidR="00D324FD" w:rsidRDefault="00000000" w:rsidP="00D77465">
      <w:r w:rsidRPr="00034410">
        <w:t xml:space="preserve">Note that these </w:t>
      </w:r>
      <w:r w:rsidR="00AA2718" w:rsidRPr="00034410">
        <w:t>extractions</w:t>
      </w:r>
      <w:r w:rsidRPr="00034410">
        <w:t xml:space="preserve"> are not exhaustive: some authors of original studies who </w:t>
      </w:r>
      <w:r w:rsidR="00A84EE3">
        <w:t xml:space="preserve">were reported as having </w:t>
      </w:r>
      <w:r w:rsidRPr="00034410">
        <w:t xml:space="preserve">replied to Vahey </w:t>
      </w:r>
      <w:r w:rsidR="00A84EE3">
        <w:t>et al.’s (2015)</w:t>
      </w:r>
      <w:r w:rsidRPr="00034410">
        <w:t xml:space="preserve"> requests for additional information did not reply to </w:t>
      </w:r>
      <w:r w:rsidR="007D03FD">
        <w:t>my requests, perhaps due to the passage of time the ‘half-life’ of data</w:t>
      </w:r>
      <w:r w:rsidRPr="00034410">
        <w:t xml:space="preserve">. </w:t>
      </w:r>
    </w:p>
    <w:p w14:paraId="345F74DC" w14:textId="2E3D8F75" w:rsidR="008F1F8F" w:rsidRDefault="00000000" w:rsidP="00D77465">
      <w:r w:rsidRPr="00034410">
        <w:t xml:space="preserve">These effect sizes were converted to Pearson’s </w:t>
      </w:r>
      <w:r w:rsidRPr="00034410">
        <w:rPr>
          <w:i/>
          <w:iCs/>
        </w:rPr>
        <w:t>r</w:t>
      </w:r>
      <w:r w:rsidRPr="00034410">
        <w:t xml:space="preserve"> for </w:t>
      </w:r>
      <w:r w:rsidR="00793532">
        <w:t xml:space="preserve">use in a new </w:t>
      </w:r>
      <w:r w:rsidRPr="00034410">
        <w:t>meta-</w:t>
      </w:r>
      <w:r w:rsidRPr="003B6603">
        <w:t>analysis</w:t>
      </w:r>
      <w:r w:rsidR="00C944BA" w:rsidRPr="003B6603">
        <w:t xml:space="preserve"> that I discuss later</w:t>
      </w:r>
      <w:r w:rsidRPr="003B6603">
        <w:t xml:space="preserve">. The specific methods of conversion are </w:t>
      </w:r>
      <w:r w:rsidR="005D27AC">
        <w:t>documented</w:t>
      </w:r>
      <w:r w:rsidRPr="003B6603">
        <w:t xml:space="preserve"> in the supplementary materials.</w:t>
      </w:r>
      <w:r w:rsidRPr="00034410">
        <w:t xml:space="preserve"> </w:t>
      </w:r>
    </w:p>
    <w:p w14:paraId="288F9D94" w14:textId="77777777" w:rsidR="00625E20" w:rsidRDefault="00625E20">
      <w:pPr>
        <w:spacing w:line="240" w:lineRule="auto"/>
        <w:ind w:firstLine="0"/>
        <w:rPr>
          <w:b/>
          <w:bCs/>
        </w:rPr>
      </w:pPr>
      <w:r>
        <w:br w:type="page"/>
      </w:r>
    </w:p>
    <w:p w14:paraId="194A14D2" w14:textId="609AAA99" w:rsidR="00D85790" w:rsidRDefault="00D85790" w:rsidP="00974D7B">
      <w:pPr>
        <w:pStyle w:val="Heading3"/>
      </w:pPr>
      <w:r>
        <w:lastRenderedPageBreak/>
        <w:t>Cherry picking</w:t>
      </w:r>
    </w:p>
    <w:p w14:paraId="0F55FA89" w14:textId="72375479" w:rsidR="009C30F9" w:rsidRDefault="00D85790" w:rsidP="00D77465">
      <w:r>
        <w:t xml:space="preserve">The high rate of inappropriate inclusions and inappropriate non-inclusions raises questions about whether these choices were random or suffered from cherry picking, i.e., differential inclusion of larger effect sizes. </w:t>
      </w:r>
      <w:r w:rsidR="00D154BD">
        <w:t>While not examined systematically</w:t>
      </w:r>
      <w:r w:rsidR="003B4E92">
        <w:t xml:space="preserve"> due to time constraints, </w:t>
      </w:r>
      <w:r w:rsidR="00D154BD">
        <w:t xml:space="preserve">examples of apparent </w:t>
      </w:r>
      <w:r w:rsidR="00DE1933">
        <w:t>cherry</w:t>
      </w:r>
      <w:r w:rsidR="003B4E92">
        <w:t xml:space="preserve"> picking </w:t>
      </w:r>
      <w:r w:rsidR="00EB59A6">
        <w:t>can be found</w:t>
      </w:r>
      <w:r w:rsidR="003B4E92">
        <w:t xml:space="preserve">. </w:t>
      </w:r>
      <w:r w:rsidR="000463AA">
        <w:t xml:space="preserve">For example, </w:t>
      </w:r>
      <w:r w:rsidR="003B4E92">
        <w:t xml:space="preserve">Vahey et al. (2015) included six correlations extracted from Carpenter et al.’s </w:t>
      </w:r>
      <w:r w:rsidR="003B4E92">
        <w:fldChar w:fldCharType="begin"/>
      </w:r>
      <w:r w:rsidR="003B4E92">
        <w:instrText xml:space="preserve"> ADDIN ZOTERO_ITEM CSL_CITATION {"citationID":"2jBjmChj","properties":{"formattedCitation":"(2012)","plainCitation":"(2012)","noteIndex":0},"citationItems":[{"id":1709,"uris":["http://zotero.org/users/1687755/items/UIAR4PQN"],"itemData":{"id":1709,"type":"article-journal","container-title":"The American Journal of Drug and Alcohol Abuse","DOI":"10.3109/00952990.2011.643986","ISSN":"0095-2990, 1097-9891","issue":"2","language":"en","page":"146-154","source":"CrossRef","title":"Measures of Attentional Bias and Relational Responding Are Associated with Behavioral Treatment Outcome for Cocaine Dependence","volume":"38","author":[{"family":"Carpenter","given":"Kenneth M."},{"family":"Martinez","given":"Diana"},{"family":"Vadhan","given":"Nehal P."},{"family":"Barnes-Holmes","given":"Dermot"},{"family":"Nunes","given":"Edward V."}],"issued":{"date-parts":[["2012",3]]}},"label":"page","suppress-author":true}],"schema":"https://github.com/citation-style-language/schema/raw/master/csl-citation.json"} </w:instrText>
      </w:r>
      <w:r w:rsidR="003B4E92">
        <w:fldChar w:fldCharType="separate"/>
      </w:r>
      <w:r w:rsidR="003B4E92">
        <w:rPr>
          <w:noProof/>
        </w:rPr>
        <w:t>(2012)</w:t>
      </w:r>
      <w:r w:rsidR="003B4E92">
        <w:fldChar w:fldCharType="end"/>
      </w:r>
      <w:r w:rsidR="003B4E92">
        <w:t xml:space="preserve"> Table 2 that refer to correlations between three treatment variables (v</w:t>
      </w:r>
      <w:r w:rsidR="003B4E92" w:rsidRPr="003B4E92">
        <w:t>oucher earnings</w:t>
      </w:r>
      <w:r w:rsidR="003B4E92">
        <w:t xml:space="preserve"> in therapy,</w:t>
      </w:r>
      <w:r w:rsidR="003B4E92" w:rsidRPr="003B4E92">
        <w:t xml:space="preserve"> </w:t>
      </w:r>
      <w:r w:rsidR="003B4E92">
        <w:t>percent of v</w:t>
      </w:r>
      <w:r w:rsidR="003B4E92" w:rsidRPr="003B4E92">
        <w:t>isits attended</w:t>
      </w:r>
      <w:r w:rsidR="003B4E92">
        <w:t xml:space="preserve">, and percent of </w:t>
      </w:r>
      <w:r w:rsidR="003B4E92" w:rsidRPr="003B4E92">
        <w:t>cocaine</w:t>
      </w:r>
      <w:r w:rsidR="003B4E92">
        <w:t>-</w:t>
      </w:r>
      <w:r w:rsidR="003B4E92" w:rsidRPr="003B4E92">
        <w:t>negative</w:t>
      </w:r>
      <w:r w:rsidR="003B4E92">
        <w:t xml:space="preserve"> urine tests) and three of the IRAP’s trial types (i.e., with cocaine-positive, with cocaine-negative, and no-cocaine negative). These correlations have an average of </w:t>
      </w:r>
      <w:r w:rsidR="003B4E92" w:rsidRPr="003B4E92">
        <w:rPr>
          <w:i/>
          <w:iCs/>
        </w:rPr>
        <w:t>r</w:t>
      </w:r>
      <w:r w:rsidR="003B4E92">
        <w:t xml:space="preserve"> = .45.</w:t>
      </w:r>
      <w:r w:rsidR="00F65C49">
        <w:t xml:space="preserve"> However, they elected not to include correlations between the criterion variables and the IRAP’s fourth trial type (no cocaine-positive), despite these also being presented in the table. These three non-included correlations were much smaller (</w:t>
      </w:r>
      <w:proofErr w:type="spellStart"/>
      <w:r w:rsidR="00F65C49" w:rsidRPr="00F65C49">
        <w:rPr>
          <w:i/>
          <w:iCs/>
        </w:rPr>
        <w:t>r</w:t>
      </w:r>
      <w:r w:rsidR="002B034D" w:rsidRPr="002B034D">
        <w:t>s</w:t>
      </w:r>
      <w:proofErr w:type="spellEnd"/>
      <w:r w:rsidR="00F65C49">
        <w:t xml:space="preserve"> = .03, .19, and .19</w:t>
      </w:r>
      <w:r w:rsidR="008D15F2">
        <w:t>;</w:t>
      </w:r>
      <w:r w:rsidR="00F65C49">
        <w:t xml:space="preserve"> mean </w:t>
      </w:r>
      <w:r w:rsidR="000463AA" w:rsidRPr="000463AA">
        <w:rPr>
          <w:i/>
          <w:iCs/>
        </w:rPr>
        <w:t>r</w:t>
      </w:r>
      <w:r w:rsidR="000463AA">
        <w:t xml:space="preserve"> </w:t>
      </w:r>
      <w:r w:rsidR="00F65C49">
        <w:t>= .13), but appear to also meet Vahey et al.’s (2015) inclusion criteria (i.e., both the IRAP and the criterion task were clinically relevant).</w:t>
      </w:r>
      <w:r w:rsidR="009C30F9">
        <w:t xml:space="preserve"> </w:t>
      </w:r>
    </w:p>
    <w:p w14:paraId="23D666D5" w14:textId="7FDF9246" w:rsidR="00D154BD" w:rsidRDefault="009C30F9" w:rsidP="00D77465">
      <w:r>
        <w:t xml:space="preserve">Similarly, putting aside the issue of a lack of a criterion variable for a moment, Vahey et al. (2015) elected to include four effect sizes from Dawson et al. </w:t>
      </w:r>
      <w:r>
        <w:fldChar w:fldCharType="begin"/>
      </w:r>
      <w:r w:rsidR="00E77251">
        <w:instrText xml:space="preserve"> ADDIN ZOTERO_ITEM CSL_CITATION {"citationID":"4bbSql1W","properties":{"formattedCitation":"(2009)","plainCitation":"(2009)","noteIndex":0},"citationItems":[{"id":2001,"uris":["http://zotero.org/users/1687755/items/BU8NABVS"],"itemData":{"id":2001,"type":"article-journal","container-title":"Sexual Abuse: A Journal of Research and Treatment","DOI":"10.1177/1079063208326928","ISSN":"1079-0632","issue":"1","language":"en","page":"57-75","source":"CrossRef","title":"Assessing the implicit beliefs of sexual offenders using the Implicit Relational Assessment Procedure: A first study","title-short":"Assessing the Implicit Beliefs of Sexual Offenders Using the Implicit Relational Assessment Procedure","volume":"21","author":[{"family":"Dawson","given":"D. L."},{"family":"Barnes-Holmes","given":"D."},{"family":"Gresswell","given":"D. M."},{"family":"Hart","given":"A. J."},{"family":"Gore","given":"N. J."}],"issued":{"date-parts":[["2009",3,1]]}},"label":"page","suppress-author":true}],"schema":"https://github.com/citation-style-language/schema/raw/master/csl-citation.json"} </w:instrText>
      </w:r>
      <w:r>
        <w:fldChar w:fldCharType="separate"/>
      </w:r>
      <w:r>
        <w:rPr>
          <w:noProof/>
        </w:rPr>
        <w:t>(2009)</w:t>
      </w:r>
      <w:r>
        <w:fldChar w:fldCharType="end"/>
      </w:r>
      <w:r>
        <w:t xml:space="preserve"> that were derived from the magnitude of the effect on each of the four IRAP trial-types in the non-sex offenders group. However, they did not also include the </w:t>
      </w:r>
      <w:r w:rsidR="00123ACA">
        <w:t xml:space="preserve">four </w:t>
      </w:r>
      <w:r>
        <w:t xml:space="preserve">effects associated with the sex </w:t>
      </w:r>
      <w:proofErr w:type="gramStart"/>
      <w:r>
        <w:t>offenders</w:t>
      </w:r>
      <w:proofErr w:type="gramEnd"/>
      <w:r>
        <w:t xml:space="preserve"> group, despite </w:t>
      </w:r>
      <w:r w:rsidR="00D13673">
        <w:t>that group</w:t>
      </w:r>
      <w:r>
        <w:t xml:space="preserve"> arguably being of greater clinical relevance. Inspection of Dawson et al.’s (2009) Figure 2 demonstrates that the four non-included effect sizes are all much smaller than the included ones.</w:t>
      </w:r>
      <w:r w:rsidR="007B041D">
        <w:t xml:space="preserve"> Extraction of the means from the plot using </w:t>
      </w:r>
      <w:proofErr w:type="spellStart"/>
      <w:r w:rsidR="007B041D">
        <w:t>WebPlotDigitizer</w:t>
      </w:r>
      <w:proofErr w:type="spellEnd"/>
      <w:r w:rsidR="007B041D">
        <w:t xml:space="preserve"> </w:t>
      </w:r>
      <w:r w:rsidR="007B041D">
        <w:fldChar w:fldCharType="begin"/>
      </w:r>
      <w:r w:rsidR="007B041D">
        <w:instrText xml:space="preserve"> ADDIN ZOTERO_ITEM CSL_CITATION {"citationID":"M3TlZYcX","properties":{"formattedCitation":"(Marin et al., 2017)","plainCitation":"(Marin et al., 2017)","noteIndex":0},"citationItems":[{"id":29148,"uris":["http://zotero.org/users/1687755/items/FHKWFL29"],"itemData":{"id":29148,"type":"article","abstract":"In this contribution, we present WebPlotDigitizer, a polyvalent and free software developed to facilitate easy and accurate data extraction from a variety of plot types. We describe the numerous features of this numerical tool and present its relevance when applied to astrophysical archival research. We exploit WebPlotDigitizer to extract ultraviolet spectropolarimetric spectra from old publications that used the Hubble Space Telescope, Lick Observatory 3m Shane telescope and Astro-2 mission to observe the Seyfert-2 AGN NGC 1068. By doing so, we compile all the existing ultraviolet polarimetric data on NGC 1068 to prepare the ground for further investigations with the future high-resolution spectropolarimeter POLLUX on-board of the proposed Large UV/Optical/Infrared Surveyor (LUVOIR) NASA mission.","note":"arXiv:1708.02025 [astro-ph]","number":"arXiv:1708.02025","publisher":"arXiv","source":"arXiv.org","title":"WebPlotDigitizer, a polyvalent and free software to extract spectra from old astronomical publications: application to ultraviolet spectropolarimetry","title-short":"WebPlotDigitizer, a polyvalent and free software to extract spectra from old astronomical publications","URL":"http://arxiv.org/abs/1708.02025","author":[{"family":"Marin","given":"F."},{"family":"Rohatgi","given":"A."},{"family":"Charlot","given":"S."}],"accessed":{"date-parts":[["2024",8,1]]},"issued":{"date-parts":[["2017",8,7]]}}}],"schema":"https://github.com/citation-style-language/schema/raw/master/csl-citation.json"} </w:instrText>
      </w:r>
      <w:r w:rsidR="007B041D">
        <w:fldChar w:fldCharType="separate"/>
      </w:r>
      <w:r w:rsidR="007B041D">
        <w:rPr>
          <w:noProof/>
        </w:rPr>
        <w:t>(Marin et al., 2017)</w:t>
      </w:r>
      <w:r w:rsidR="007B041D">
        <w:fldChar w:fldCharType="end"/>
      </w:r>
      <w:r w:rsidR="007B041D">
        <w:t xml:space="preserve"> demonstrated that the means for the effects included in the meta-analysis (.62, .63, .56, .58; average = .59) were descriptively twice as large as the ones that were not (.54, .00, .31, .29; average = .28).</w:t>
      </w:r>
    </w:p>
    <w:p w14:paraId="7064A7BF" w14:textId="61AB8DC2" w:rsidR="0024266C" w:rsidRDefault="0024266C" w:rsidP="00D77465">
      <w:r>
        <w:lastRenderedPageBreak/>
        <w:t xml:space="preserve">Another example can be found in Vahey et al.’s (2015) inclusion of two effect sizes from Vahey et al. </w:t>
      </w:r>
      <w:r>
        <w:fldChar w:fldCharType="begin"/>
      </w:r>
      <w:r>
        <w:instrText xml:space="preserve"> ADDIN ZOTERO_ITEM CSL_CITATION {"citationID":"RyTkiZU0","properties":{"formattedCitation":"(2010)","plainCitation":"(2010)","noteIndex":0},"citationItems":[{"id":2054,"uris":["http://zotero.org/users/1687755/items/2WJNEUQX"],"itemData":{"id":2054,"type":"article-journal","container-title":"International Journal of Psychology and Psychological Therapy","issue":"3","page":"453–474","source":"Google Scholar","title":"Measuring adolescents’ smoking-related social identity preferences with the Implicit Relational Assessment Procedure (IRAP) for the first time: A starting point that explains later IRAP evolutions","title-short":"Measuring adolescents’ smoking-related social identity preferences with the Implicit Relational Assessment Procedure (IRAP) for the first time","volume":"10","author":[{"family":"Vahey","given":"Nigel A."},{"family":"Boles","given":"Shawn"},{"family":"Barnes-Holmes","given":"Dermot"}],"issued":{"date-parts":[["2010"]]}},"label":"page","suppress-author":true}],"schema":"https://github.com/citation-style-language/schema/raw/master/csl-citation.json"} </w:instrText>
      </w:r>
      <w:r>
        <w:fldChar w:fldCharType="separate"/>
      </w:r>
      <w:r>
        <w:rPr>
          <w:noProof/>
        </w:rPr>
        <w:t>(2010)</w:t>
      </w:r>
      <w:r>
        <w:fldChar w:fldCharType="end"/>
      </w:r>
      <w:r>
        <w:t xml:space="preserve"> that were derived from the magnitude of the IRAP effect in the smokers group (</w:t>
      </w:r>
      <w:r w:rsidRPr="000209D5">
        <w:rPr>
          <w:i/>
          <w:iCs/>
        </w:rPr>
        <w:t>r</w:t>
      </w:r>
      <w:r>
        <w:t xml:space="preserve"> = .89 and .55, noting </w:t>
      </w:r>
      <w:r w:rsidR="007144E9">
        <w:t xml:space="preserve">also </w:t>
      </w:r>
      <w:r>
        <w:t xml:space="preserve">that the correlation of .89 is implausibly large). However, inspection of Vahey et al.’s (2010) Table 3 demonstrates that six other effects were not extracted, all of which are much smaller than the included ones. </w:t>
      </w:r>
      <w:r w:rsidR="0069675F">
        <w:t xml:space="preserve">Vahey et al.’s (2010) </w:t>
      </w:r>
      <w:r>
        <w:t xml:space="preserve">Table 3 reports only means and not </w:t>
      </w:r>
      <w:proofErr w:type="gramStart"/>
      <w:r>
        <w:t>SDs</w:t>
      </w:r>
      <w:proofErr w:type="gramEnd"/>
      <w:r>
        <w:t xml:space="preserve"> so it is not possible to recalculate correlations without additional information, but the means used in the included effects were 0.21 and 0.34, whereas the six non-included means ranged from 0.00 to 0.07.</w:t>
      </w:r>
    </w:p>
    <w:p w14:paraId="533911BF" w14:textId="59C1C922" w:rsidR="001B7D5B" w:rsidRDefault="000067D6" w:rsidP="00D77465">
      <w:r>
        <w:t>These examples, which are intended to be illustrative rather than comprehensive, suggest that Vahey et al.’s (2015) included effect sizes suffer from apparent cherry picking.</w:t>
      </w:r>
    </w:p>
    <w:p w14:paraId="02BA5BD2" w14:textId="1EFFB7C0" w:rsidR="004112F6" w:rsidRPr="00034410" w:rsidRDefault="00000000" w:rsidP="00974D7B">
      <w:pPr>
        <w:pStyle w:val="Heading3"/>
      </w:pPr>
      <w:r w:rsidRPr="00034410">
        <w:t>Assessment of erroneous calculation</w:t>
      </w:r>
    </w:p>
    <w:p w14:paraId="4261493A" w14:textId="77777777" w:rsidR="004112F6" w:rsidRPr="00034410" w:rsidRDefault="00000000" w:rsidP="00D77465">
      <w:r w:rsidRPr="00034410">
        <w:t xml:space="preserve">Erroneous calculation refers to errors made in the transposition, conversion, or reporting of effect sizes. This can involve using the incorrect formula to convert effect sizes, treating Standard Errors if they are Standard Deviations, and other errors. Previous work has shown that such errors are unfortunately common in published meta-analyses </w:t>
      </w:r>
      <w:r w:rsidRPr="00034410">
        <w:fldChar w:fldCharType="begin"/>
      </w:r>
      <w:r w:rsidRPr="00034410">
        <w:instrText xml:space="preserve"> ADDIN ZOTERO_ITEM CSL_CITATION {"citationID":"cI4PTkpK","properties":{"formattedCitation":"(e.g., G\\uc0\\u248{}tzsche et al., 2007; Maassen et al., 2020)","plainCitation":"(e.g., Gøtzsche et al., 2007; Maassen et al., 2020)","noteIndex":0},"citationItems":[{"id":4753,"uris":["http://zotero.org/users/1687755/items/QR5MWFKZ"],"itemData":{"id":4753,"type":"article-journal","abstract":"ContextMeta-analysis of trials that have used different continuous or rating scales to record outcomes of a similar nature requires sophisticated data handling and data transformation to a uniform scale, the standardized mean difference (SMD). It is not known how reliable such meta-analyses are.ObjectiveTo study whether SMDs in meta-analyses are accurate.Data SourcesSystematic review of meta-analyses published in 2004 that reported a result as an SMD, with no language restrictions. Two trials were randomly selected from each meta-analysis. We attempted to replicate the results in each meta-analysis by independently calculating SMD using Hedges adjusted g.Data ExtractionOur primary outcome was the proportion of meta-analyses for which our result differed from that of the authors by 0.1 or more, either for the point estimate or for its confidence interval, for at least 1 of the 2 selected trials. We chose 0.1 as cut point because many commonly used treatments have an effect of 0.1 to 0.5, compared with placebo.ResultsOf the 27 meta-analyses included in this study, we could not replicate the result for at least 1 of the 2 trials within 0.1 in 10 of the meta-analyses (37%), and in 4 cases, the discrepancy was 0.6 or more for the point estimate. Common problems were erroneous number of patients, means, standard deviations, and sign for the effect estimate. In total, 17 meta-analyses (63%) had errors for at least 1 of the 2 trials examined. For the 10 meta-analyses with errors of at least 0.1, we checked the data from all the trials and conducted our own meta-analysis, using the authors' methods. Seven of these 10 meta-analyses were erroneous (70%); 1 was subsequently retracted, and in 2 a significant difference disappeared or appeared.ConclusionsThe high proportion of meta-analyses based on SMDs that show errors indicates that although the statistical process is ostensibly simple, data extraction is particularly liable to errors that can negate or even reverse the findings of the study. This has implications for researchers and implies that all readers, including journal reviewers and policy makers, should approach such meta-analyses with caution.","container-title":"JAMA","DOI":"10.1001/jama.298.4.430","ISSN":"0098-7484","issue":"4","journalAbbreviation":"JAMA","page":"430-437","source":"Silverchair","title":"Data Extraction Errors in Meta-analyses That Use Standardized Mean Differences","volume":"298","author":[{"family":"Gøtzsche","given":"Peter C."},{"family":"Hróbjartsson","given":"Asbjørn"},{"family":"Marić","given":"Katja"},{"family":"Tendal","given":"Britta"}],"issued":{"date-parts":[["2007",7,25]]}},"label":"page","prefix":"e.g., "},{"id":4654,"uris":["http://zotero.org/users/1687755/items/WUWAGAGT"],"itemData":{"id":4654,"type":"article-journal","abstract":"To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M."}],"issued":{"date-parts":[["2020",5,27]]}}}],"schema":"https://github.com/citation-style-language/schema/raw/master/csl-citation.json"} </w:instrText>
      </w:r>
      <w:r w:rsidRPr="00034410">
        <w:fldChar w:fldCharType="separate"/>
      </w:r>
      <w:r w:rsidRPr="00034410">
        <w:rPr>
          <w:sz w:val="20"/>
        </w:rPr>
        <w:t>(e.g., Gøtzsche et al., 2007; Maassen et al., 2020)</w:t>
      </w:r>
      <w:r w:rsidRPr="00034410">
        <w:fldChar w:fldCharType="end"/>
      </w:r>
      <w:r w:rsidRPr="00034410">
        <w:t xml:space="preserve">. In their supplementary materials, Vahey et al. (2015) provided explanations and references for how individual effect sizes were converted to Pearson's </w:t>
      </w:r>
      <w:r w:rsidRPr="00034410">
        <w:rPr>
          <w:i/>
          <w:iCs/>
        </w:rPr>
        <w:t>r</w:t>
      </w:r>
      <w:r w:rsidRPr="00034410">
        <w:t xml:space="preserve">. </w:t>
      </w:r>
      <w:r>
        <w:t>However, i</w:t>
      </w:r>
      <w:r w:rsidRPr="00034410">
        <w:t xml:space="preserve">nspection of </w:t>
      </w:r>
      <w:r>
        <w:t>those</w:t>
      </w:r>
      <w:r w:rsidRPr="00034410">
        <w:t xml:space="preserve"> explanations revealed at least one error: 2 of the effect sizes were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034410">
        <w:t xml:space="preserve"> effect sizes taken from ANOVAs, which Vahey et al. (2015) stated that they “equated the relevant statistic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034410">
        <w:t xml:space="preserve">] with </w:t>
      </w:r>
      <w:r w:rsidRPr="00034410">
        <w:rPr>
          <w:i/>
          <w:iCs/>
        </w:rPr>
        <w:t>r</w:t>
      </w:r>
      <w:r w:rsidRPr="00034410">
        <w:rPr>
          <w:vertAlign w:val="superscript"/>
        </w:rPr>
        <w:t>2</w:t>
      </w:r>
      <w:r w:rsidRPr="00034410">
        <w:t xml:space="preserve"> therefore obtaining </w:t>
      </w:r>
      <w:r w:rsidRPr="00034410">
        <w:rPr>
          <w:i/>
          <w:iCs/>
        </w:rPr>
        <w:t>r</w:t>
      </w:r>
      <w:r w:rsidRPr="00034410">
        <w:t xml:space="preserve"> using the square root function</w:t>
      </w:r>
      <w:r>
        <w:t>”</w:t>
      </w:r>
      <w:r w:rsidRPr="00034410">
        <w:t xml:space="preserve">. However, this conflates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034410">
        <w:t xml:space="preserve"> with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t xml:space="preserve">: as </w:t>
      </w:r>
      <w:r w:rsidRPr="00034410">
        <w:t xml:space="preserve">a partialized effect size,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034410">
        <w:t xml:space="preserve"> cannot be converted to </w:t>
      </w:r>
      <w:r w:rsidRPr="00034410">
        <w:rPr>
          <w:i/>
          <w:iCs/>
        </w:rPr>
        <w:t>r</w:t>
      </w:r>
      <w:r w:rsidRPr="00034410">
        <w:t>, and therefore these conversions are erroneous.</w:t>
      </w:r>
    </w:p>
    <w:p w14:paraId="294309EB" w14:textId="5CD41E02" w:rsidR="004112F6" w:rsidRDefault="00000000" w:rsidP="00D77465">
      <w:r w:rsidRPr="00034410">
        <w:t>A comprehensive assessment of the reproducibility of the conversions of the individual effect sizes to Pearson</w:t>
      </w:r>
      <w:r w:rsidR="00E03E24">
        <w:t>’</w:t>
      </w:r>
      <w:r w:rsidRPr="00034410">
        <w:t xml:space="preserve">s </w:t>
      </w:r>
      <w:r w:rsidRPr="00034410">
        <w:rPr>
          <w:i/>
          <w:iCs/>
        </w:rPr>
        <w:t>r</w:t>
      </w:r>
      <w:r w:rsidRPr="00034410">
        <w:t xml:space="preserve"> was not performed on the basis that the above </w:t>
      </w:r>
      <w:r w:rsidRPr="00034410">
        <w:lastRenderedPageBreak/>
        <w:t xml:space="preserve">assessments had already determined these effect sizes to contain </w:t>
      </w:r>
      <w:r>
        <w:t>several</w:t>
      </w:r>
      <w:r w:rsidRPr="00034410">
        <w:t xml:space="preserve"> errors</w:t>
      </w:r>
      <w:r>
        <w:t xml:space="preserve"> (e.g. related to incorrect inclusion).</w:t>
      </w:r>
    </w:p>
    <w:p w14:paraId="0BE050AB" w14:textId="77777777" w:rsidR="009F3291" w:rsidRPr="00CC11E4" w:rsidRDefault="00000000" w:rsidP="00D77465">
      <w:pPr>
        <w:pStyle w:val="Heading2"/>
      </w:pPr>
      <w:r w:rsidRPr="00CC11E4">
        <w:t>Issues in the publication bias analyses</w:t>
      </w:r>
    </w:p>
    <w:p w14:paraId="378370DC" w14:textId="77777777" w:rsidR="00453EBE" w:rsidRDefault="00000000" w:rsidP="00D77465">
      <w:r w:rsidRPr="00CC11E4">
        <w:t>Vahey et al. (2015) reported employing tests of funnel plot asymmetry</w:t>
      </w:r>
      <w:r w:rsidR="006E596E" w:rsidRPr="00CC11E4">
        <w:t>,</w:t>
      </w:r>
      <w:r w:rsidRPr="00CC11E4">
        <w:t xml:space="preserve"> a sensitivity analysis based on selection models</w:t>
      </w:r>
      <w:r w:rsidR="00A20645" w:rsidRPr="00CC11E4">
        <w:t xml:space="preserve"> </w:t>
      </w:r>
      <w:r w:rsidR="00750F28" w:rsidRPr="00CC11E4">
        <w:fldChar w:fldCharType="begin"/>
      </w:r>
      <w:r w:rsidR="00750F28" w:rsidRPr="00CC11E4">
        <w:instrText xml:space="preserve"> ADDIN ZOTERO_ITEM CSL_CITATION {"citationID":"VIVEQ6nW","properties":{"formattedCitation":"(Vevea &amp; Woods, 2005)","plainCitation":"(Vevea &amp; Woods, 2005)","noteIndex":0},"citationItems":[{"id":143,"uris":["http://zotero.org/users/1687755/items/DDQNW8RT"],"itemData":{"id":143,"type":"article-journal","abstract":"Publication bias, sometimes known as the \"file-drawer problem\" or \"funnel-plot asymmetry,\" is common in empirical research. The authors review the implications of publication bias for quantitative research synthesis (meta-analysis) and describe existing techniques for detecting and correcting it. A new approach is proposed that is suitable for application to meta-analytic data sets that are too small for the application of existing methods. The model estimates parameters relevant to fixed-effects, mixed-effects or random-effects meta-analysis contingent on a hypothetical pattern of bias that is fixed independently of the data. The authors illustrate this approach for sensitivity analysis using 3 data sets adapted from a commonly cited reference work on research synthesis (H. M. Cooper &amp; L. V. Hedges, 1994).","container-title":"Psychological Methods","DOI":"10.1037/1082-989X.10.4.428","ISSN":"1082-989X","issue":"4","journalAbbreviation":"Psychol Methods","language":"eng","note":"PMID: 16392998","page":"428-443","source":"PubMed","title":"Publication bias in research synthesis: sensitivity analysis using a priori weight functions","title-short":"Publication bias in research synthesis","volume":"10","author":[{"family":"Vevea","given":"Jack L."},{"family":"Woods","given":"Carol M."}],"issued":{"date-parts":[["2005",12]]}}}],"schema":"https://github.com/citation-style-language/schema/raw/master/csl-citation.json"} </w:instrText>
      </w:r>
      <w:r w:rsidR="00750F28" w:rsidRPr="00CC11E4">
        <w:fldChar w:fldCharType="separate"/>
      </w:r>
      <w:r w:rsidR="00750F28" w:rsidRPr="00CC11E4">
        <w:rPr>
          <w:noProof/>
        </w:rPr>
        <w:t>(Vevea &amp; Woods, 2005)</w:t>
      </w:r>
      <w:r w:rsidR="00750F28" w:rsidRPr="00CC11E4">
        <w:fldChar w:fldCharType="end"/>
      </w:r>
      <w:r w:rsidR="009F4032" w:rsidRPr="00CC11E4">
        <w:t xml:space="preserve">, and Kendall’s </w:t>
      </w:r>
      <m:oMath>
        <m:r>
          <w:rPr>
            <w:rFonts w:ascii="Cambria Math" w:hAnsi="Cambria Math"/>
          </w:rPr>
          <m:t>τ</m:t>
        </m:r>
      </m:oMath>
      <w:r w:rsidR="009F4032" w:rsidRPr="00CC11E4">
        <w:t xml:space="preserve"> Rank Correlation Test </w:t>
      </w:r>
      <w:r w:rsidR="009F4032" w:rsidRPr="00CC11E4">
        <w:fldChar w:fldCharType="begin"/>
      </w:r>
      <w:r w:rsidR="009F4032" w:rsidRPr="00CC11E4">
        <w:instrText xml:space="preserve"> ADDIN ZOTERO_ITEM CSL_CITATION {"citationID":"Eq4WG4pp","properties":{"formattedCitation":"(e.g., Egger et al., 1997)","plainCitation":"(e.g., Egger et al., 1997)","noteIndex":0},"citationItems":[{"id":29152,"uris":["http://zotero.org/users/1687755/items/IGYQNWEV"],"itemData":{"id":29152,"type":"article-journal","abstract":"Objective: Funnel plots (plots of effect estimates against sample size) may be useful to detect bias in meta-analyses that were later contradicted by large trials. We examined whether a simple test of asymmetry of funnel plots predicts discordance of results when meta-analyses are compared to large trials, and we assessed the prevalence of bias in published meta-analyses.\n\nDesign: Medline search to identify pairs consisting of a meta-analysis and a single large trial (concordance of results was assumed if effects were in the same direction and the meta-analytic estimate was within 30% of the trial); analysis of funnel plots from 37 meta-analyses identified from a hand search of four leading general medicine journals 1993-6 and 38 meta-analyses from the second 1996 issue of the Cochrane Database of Systematic Reviews .\n\nMain outcome measure: Degree of funnel plot asymmetry as measured by the intercept from regression of standard normal deviates against precision.\n\nResults: In the eight pairs of meta-analysis and large trial that were identified (five from cardiovascular medicine, one from diabetic medicine, one from geriatric medicine, one from perinatal medicine) there were four concordant and four discordant pairs. In all cases discordance was due to meta-analyses showing larger effects. Funnel plot asymmetry was present in three out of four discordant pairs but in none of concordant pairs. In 14 (38%) journal meta-analyses and 5 (13%) Cochrane reviews, funnel plot asymmetry indicated that there was bias.\n\nConclusions: A simple analysis of funnel plots provides a useful test for the likely presence of bias in meta-analyses, but as the capacity to detect bias will be limited when meta-analyses are based on a limited number of small trials the results from such analyses should be treated with considerable caution.\n\n#### Key messages","DOI":"10.1136/bmj.315.7109.629","language":"en","license":"© 1997 BMJ Publishing Group Ltd.","note":"publisher: British Medical Journal Publishing Group\nsection: Paper","source":"www.bmj.com","title":"Bias in meta-analysis detected by a simple, graphical test","URL":"https://www.bmj.com/content/315/7109/629","author":[{"family":"Egger","given":"Matthias"},{"family":"Smith","given":"George Davey"},{"family":"Schneider","given":"Martin"},{"family":"Minder","given":"Christoph"}],"accessed":{"date-parts":[["2024",8,1]]},"issued":{"date-parts":[["1997",9,13]]}},"label":"page","prefix":"e.g., "}],"schema":"https://github.com/citation-style-language/schema/raw/master/csl-citation.json"} </w:instrText>
      </w:r>
      <w:r w:rsidR="009F4032" w:rsidRPr="00CC11E4">
        <w:fldChar w:fldCharType="separate"/>
      </w:r>
      <w:r w:rsidR="009F4032" w:rsidRPr="00CC11E4">
        <w:rPr>
          <w:noProof/>
        </w:rPr>
        <w:t>(e.g., Egger et al., 1997)</w:t>
      </w:r>
      <w:r w:rsidR="009F4032" w:rsidRPr="00CC11E4">
        <w:fldChar w:fldCharType="end"/>
      </w:r>
      <w:r w:rsidR="009F4032" w:rsidRPr="00CC11E4">
        <w:t>.</w:t>
      </w:r>
      <w:r w:rsidR="00461B7E" w:rsidRPr="00CC11E4">
        <w:t xml:space="preserve"> </w:t>
      </w:r>
      <w:r w:rsidR="008147ED" w:rsidRPr="00CC11E4">
        <w:t xml:space="preserve">While I did not attempt to systematically verify the results of all of these, two points are worth highlighting here. </w:t>
      </w:r>
    </w:p>
    <w:p w14:paraId="488D7F5D" w14:textId="0AD01788" w:rsidR="009F3291" w:rsidRPr="00CC11E4" w:rsidRDefault="00000000" w:rsidP="00D77465">
      <w:r w:rsidRPr="00CC11E4">
        <w:t xml:space="preserve">First, Vahey et al. (2015) conclude that the results of these tests suggest “that the current meta-analysis was not subject to publication bias” (p. 62). </w:t>
      </w:r>
      <w:r w:rsidR="00035BB1" w:rsidRPr="00CC11E4">
        <w:t xml:space="preserve">However, this falls into a statistical fallacy that is common in original research: non-significant </w:t>
      </w:r>
      <w:r w:rsidR="00035BB1" w:rsidRPr="00CC11E4">
        <w:rPr>
          <w:i/>
          <w:iCs/>
        </w:rPr>
        <w:t>p</w:t>
      </w:r>
      <w:r w:rsidR="00035BB1" w:rsidRPr="00CC11E4">
        <w:t xml:space="preserve"> values should not be interpreted as evidence for the null hypothesis, only failure to reject the alternative hypothesis</w:t>
      </w:r>
      <w:r w:rsidR="00455DB6" w:rsidRPr="00CC11E4">
        <w:t xml:space="preserve"> </w:t>
      </w:r>
      <w:r w:rsidR="00455DB6" w:rsidRPr="00CC11E4">
        <w:fldChar w:fldCharType="begin"/>
      </w:r>
      <w:r w:rsidR="00807283" w:rsidRPr="00CC11E4">
        <w:instrText xml:space="preserve"> ADDIN ZOTERO_ITEM CSL_CITATION {"citationID":"dTZiIWGX","properties":{"formattedCitation":"(Aczel et al., 2018; Greenland et al., 2016)","plainCitation":"(Aczel et al., 2018; Greenland et al., 2016)","noteIndex":0},"citationItems":[{"id":4247,"uris":["http://zotero.org/users/1687755/items/U47BB932"],"itemData":{"id":4247,"type":"article-journal","abstract":"In the traditional statistical framework, nonsignificant results leave researchers in a state of suspended disbelief. In this study, we examined, empirically, the treatment and evidential impact of nonsignificant results. Our specific goals were twofold: to explore how psychologists interpret and communicate nonsignificant results and to assess how much these results constitute evidence in favor of the null hypothesis. First, we examined all nonsignificant findings mentioned in the abstracts of the 2015 volumes of Psychonomic Bulletin &amp; Review, Journal of Experimental Psychology: General, and Psychological Science (N = 137). In 72% of these cases, nonsignificant results were misinterpreted, in that the authors inferred that the effect was absent. Second, a Bayes factor reanalysis revealed that fewer than 5% of the nonsignificant findings provided strong evidence (i.e., BF01 &gt; 10) in favor of the null hypothesis over the alternative hypothesis. We recommend that researchers expand their statistical tool kit in order to correctly interpret nonsignificant results and to be able to evaluate the evidence for and against the null hypothesis.","container-title":"Advances in Methods and Practices in Psychological Science","DOI":"10.1177/2515245918773742","ISSN":"2515-2459","issue":"3","journalAbbreviation":"Advances in Methods and Practices in Psychological Science","language":"en","page":"357-366","source":"SAGE Journals","title":"Quantifying Support for the Null Hypothesis in Psychology: An Empirical Investigation","title-short":"Quantifying Support for the Null Hypothesis in Psychology","volume":"1","author":[{"family":"Aczel","given":"Balazs"},{"family":"Palfi","given":"Bence"},{"family":"Szollosi","given":"Aba"},{"family":"Kovacs","given":"Marton"},{"family":"Szaszi","given":"Barnabas"},{"family":"Szecsi","given":"Peter"},{"family":"Zrubka","given":"Mark"},{"family":"Gronau","given":"Quentin F."},{"family":"Bergh","given":"Don","non-dropping-particle":"van den"},{"family":"Wagenmakers","given":"Eric-Jan"}],"issued":{"date-parts":[["2018",9,1]]}}},{"id":2851,"uris":["http://zotero.org/users/1687755/items/TT6Z26C4"],"itemData":{"id":2851,"type":"article-journal","container-title":"European Journal of Epidemiology","DOI":"10.1007/s10654-016-0149-3","ISSN":"0393-2990, 1573-7284","issue":"4","language":"en","page":"337-350","source":"CrossRef","title":"Statistical tests, P values, confidence intervals, and power: a guide to misinterpretations","title-short":"Statistical tests, P values, confidence intervals, and power","volume":"31","author":[{"family":"Greenland","given":"Sander"},{"family":"Senn","given":"Stephen J."},{"family":"Rothman","given":"Kenneth J."},{"family":"Carlin","given":"John B."},{"family":"Poole","given":"Charles"},{"family":"Goodman","given":"Steven N."},{"family":"Altman","given":"Douglas G."}],"issued":{"date-parts":[["2016",4]]}}}],"schema":"https://github.com/citation-style-language/schema/raw/master/csl-citation.json"} </w:instrText>
      </w:r>
      <w:r w:rsidR="00455DB6" w:rsidRPr="00CC11E4">
        <w:fldChar w:fldCharType="separate"/>
      </w:r>
      <w:r w:rsidR="00807283" w:rsidRPr="00CC11E4">
        <w:rPr>
          <w:noProof/>
        </w:rPr>
        <w:t>(Aczel et al., 2018; Greenland et al., 2016)</w:t>
      </w:r>
      <w:r w:rsidR="00455DB6" w:rsidRPr="00CC11E4">
        <w:fldChar w:fldCharType="end"/>
      </w:r>
      <w:r w:rsidR="00035BB1" w:rsidRPr="00CC11E4">
        <w:t>.</w:t>
      </w:r>
      <w:r w:rsidR="00455DB6" w:rsidRPr="00CC11E4">
        <w:t xml:space="preserve"> </w:t>
      </w:r>
      <w:r w:rsidR="00035BB1" w:rsidRPr="00CC11E4">
        <w:t xml:space="preserve">Put differently, the absence of evidence is not the same as evidence of absence. </w:t>
      </w:r>
      <w:r w:rsidR="00122EDC" w:rsidRPr="00CC11E4">
        <w:t>This is especially important in the context of meta-analysis bias tests which frequently have very low power</w:t>
      </w:r>
      <w:r w:rsidR="008E7711" w:rsidRPr="00CC11E4">
        <w:t xml:space="preserve"> </w:t>
      </w:r>
      <w:r w:rsidR="008E7711" w:rsidRPr="00CC11E4">
        <w:fldChar w:fldCharType="begin"/>
      </w:r>
      <w:r w:rsidR="008E7711" w:rsidRPr="00CC11E4">
        <w:instrText xml:space="preserve"> ADDIN ZOTERO_ITEM CSL_CITATION {"citationID":"A89fpj4s","properties":{"formattedCitation":"(R\\uc0\\u252{}cker et al., 2011; Sterne et al., 2000)","plainCitation":"(Rücker et al., 2011; Sterne et al., 2000)","noteIndex":0},"citationItems":[{"id":29159,"uris":["http://zotero.org/users/1687755/items/8S6398CX"],"itemData":{"id":29159,"type":"article-journal","abstract":"Publication bias and related types of small-study effects threaten the validity of systematic reviews. The existence of small-study effects has been demonstrated in empirical studies. Small-study effects are graphically diagnosed by inspection of the funnel plot. Though observed funnel plot asymmetry cannot be easily linked to a specific reason, tests based on funnel plot asymmetry have been proposed. Beyond a vast range of funnel plot tests, there exist several methods for adjusting treatment effect estimates for these biases. In this article, we consider the trim-and-fill method, the Copas selection model, and more recent regression-based approaches. The methods are exemplified using a meta-analysis from the literature and compared in a simulation study, based on binary response data. They are also applied to a large set of meta-analyses. Some fundamental differences between the approaches are discussed. An assumption common to the trim-and-fill method and the Copas selection model is that the small-study effect is caused by selection. The trim-and-fill method corresponds to an unknown implicit model generated by the symmetry assumption, whereas the Copas selection model is a parametric statistical model. However, it requires a sensitivity analysis. Regression-based approaches are easier to implement and not based on a specific selection model. Both simulations and applications suggest that in the presence of strong selection both the trim-and-fill method and the Copas selection model may not fully eliminate bias, while regression-based approaches seem to be a promising alternative.","container-title":"Biometrical Journal","DOI":"10.1002/bimj.201000151","ISSN":"1521-4036","issue":"2","language":"en","license":"Copyright © 2011 WILEY-VCH Verlag GmbH &amp; Co. KGaA, Weinheim","note":"_eprint: https://onlinelibrary.wiley.com/doi/pdf/10.1002/bimj.201000151","page":"351-368","source":"Wiley Online Library","title":"Detecting and adjusting for small-study effects in meta-analysis","volume":"53","author":[{"family":"Rücker","given":"Gerta"},{"family":"Carpenter","given":"James R."},{"family":"Schwarzer","given":"Guido"}],"issued":{"date-parts":[["2011"]]}}},{"id":29161,"uris":["http://zotero.org/users/1687755/items/CCG4VQKT"],"itemData":{"id":29161,"type":"article-journal","abstract":"Publication and selection biases in meta-analysis are more likely to affect small studies, which also tend to be of lower methodological quality. This may lead to “small-study effects,” where the smaller studies in a meta-analysis show larger treatment effects. Small-study effects may also arise because of between-trial heterogeneity. Statistical tests for small-study effects have been proposed, but their validity has been questioned. A set of typical meta-analyses containing 5, 10, 20, and 30 trials was defined based on the characteristics of 78 published meta-analyses identified in a hand search of eight journals from 1993 to 1997. Simulations were performed to assess the power of a weighted regression method and a rank correlation test in the presence of no bias, moderate bias or severe bias. We based evidence of small-study effects on P &lt; 0.1. The power to detect bias increased with increasing numbers of trials. The rank correlation test was less powerful than the regression method. For example, assuming a control group event rate of 20% and no treatment effect, moderate bias was detected with the regression test in 13.7%, 23.5%, 40.1% and 51.6% of meta-analyses with 5, 10, 20 and 30 trials. The corresponding figures for the correlation test were 8.5%, 14.7%, 20.4% and 26.0%, respectively. Severe bias was detected with the regression method in 23.5%, 56.1%, 88.3% and 95.9% of meta-anlyses with 5, 10, 20 and 30 trials, as compared to 11.9%, 31.1%, 45.3% and 65.4% with the correlation test. Similar results were obtained in simulations incorporating moderate treatment effects. However the regression method gave false-positive rates which were too high in some situations (large treatment effects, or few events per trial, or all trials of similar sizes). Using the regression method, evidence of small-study effects was present in 21 (26.9%) of the 78 published meta-analyses. Tests for small-study effects should routinely be performed in meta-analysis. Their power is however limited, particularly for moderate amounts of bias or meta-analyses based on a small number of small studies. When evidence of small-study effects is found, careful consideration should be given to possible explanations for these in the reporting of the meta-analysis.","container-title":"Journal of Clinical Epidemiology","DOI":"10.1016/S0895-4356(00)00242-0","ISSN":"0895-4356","issue":"11","journalAbbreviation":"Journal of Clinical Epidemiology","page":"1119-1129","source":"ScienceDirect","title":"Publication and related bias in meta-analysis: Power of statistical tests and prevalence in the literature","title-short":"Publication and related bias in meta-analysis","volume":"53","author":[{"family":"Sterne","given":"Jonathan A. C"},{"family":"Gavaghan","given":"David"},{"family":"Egger","given":"Matthias"}],"issued":{"date-parts":[["2000",11,1]]}}}],"schema":"https://github.com/citation-style-language/schema/raw/master/csl-citation.json"} </w:instrText>
      </w:r>
      <w:r w:rsidR="008E7711" w:rsidRPr="00CC11E4">
        <w:fldChar w:fldCharType="separate"/>
      </w:r>
      <w:r w:rsidR="008E7711" w:rsidRPr="00CC11E4">
        <w:t>(Rücker et al., 2011; Sterne et al., 2000)</w:t>
      </w:r>
      <w:r w:rsidR="008E7711" w:rsidRPr="00CC11E4">
        <w:fldChar w:fldCharType="end"/>
      </w:r>
      <w:r w:rsidR="00122EDC" w:rsidRPr="00CC11E4">
        <w:t>, as is the case her</w:t>
      </w:r>
      <w:r w:rsidR="00725437" w:rsidRPr="00CC11E4">
        <w:t>e</w:t>
      </w:r>
      <w:r w:rsidR="00122EDC" w:rsidRPr="00CC11E4">
        <w:t xml:space="preserve">. </w:t>
      </w:r>
      <w:r w:rsidR="00035BB1" w:rsidRPr="00CC11E4">
        <w:t xml:space="preserve">The correct interpretation of </w:t>
      </w:r>
      <w:r w:rsidR="00122EDC" w:rsidRPr="00CC11E4">
        <w:t xml:space="preserve">such non-significant results is no evidence of bias was obtained rather than evidence of no bias. This </w:t>
      </w:r>
      <w:r w:rsidR="00455DB6" w:rsidRPr="00CC11E4">
        <w:t xml:space="preserve">difference in wording may seem subtle at </w:t>
      </w:r>
      <w:r w:rsidR="00FA3255" w:rsidRPr="00CC11E4">
        <w:t>first but</w:t>
      </w:r>
      <w:r w:rsidR="00455DB6" w:rsidRPr="00CC11E4">
        <w:t xml:space="preserve"> represents a fundamentally different </w:t>
      </w:r>
      <w:r w:rsidR="00794292">
        <w:t xml:space="preserve">and stronger </w:t>
      </w:r>
      <w:r w:rsidR="00455DB6" w:rsidRPr="00CC11E4">
        <w:t>claim.</w:t>
      </w:r>
      <w:r w:rsidR="00794292">
        <w:t xml:space="preserve"> There are few areas of research where publication bias and </w:t>
      </w:r>
      <w:r w:rsidR="00794292" w:rsidRPr="00794292">
        <w:rPr>
          <w:i/>
          <w:iCs/>
        </w:rPr>
        <w:t>p</w:t>
      </w:r>
      <w:r w:rsidR="00794292">
        <w:t>-hacking</w:t>
      </w:r>
      <w:r w:rsidR="00ED2533">
        <w:t xml:space="preserve"> </w:t>
      </w:r>
      <w:r w:rsidR="00794292">
        <w:t xml:space="preserve">could reasonably be assumed to be completely absent. As such, direct evidence for this null effect would need to be strong to dismiss the presence of bias as a plausible default assumption. </w:t>
      </w:r>
    </w:p>
    <w:p w14:paraId="775BEBA6" w14:textId="77777777" w:rsidR="00455DB6" w:rsidRPr="009F3291" w:rsidRDefault="00000000" w:rsidP="00D77465">
      <w:r w:rsidRPr="00453EBE">
        <w:t xml:space="preserve">Second, </w:t>
      </w:r>
      <w:r w:rsidR="00B50FEB">
        <w:t xml:space="preserve">bias tests can allude to rigor or objectivity that might obscure other sources of information about whether bias is truly present. It is worth noting that 8 of the 11 (73%) articles used in the meta-analysis were co-authored by at least one author of Vahey et al. (2015). </w:t>
      </w:r>
      <w:r w:rsidR="00220BB9">
        <w:t>The authors of Vahey et al. (2015) therefore had direct knowledge of whether there was a file drawer of unpublished studies</w:t>
      </w:r>
      <w:r w:rsidR="00273E29">
        <w:t xml:space="preserve"> (or indeed any other source of bias)</w:t>
      </w:r>
      <w:r w:rsidR="00220BB9">
        <w:t xml:space="preserve">, but they do not </w:t>
      </w:r>
      <w:r w:rsidR="005D591A">
        <w:lastRenderedPageBreak/>
        <w:t xml:space="preserve">consider </w:t>
      </w:r>
      <w:r w:rsidR="00220BB9">
        <w:t>this</w:t>
      </w:r>
      <w:r w:rsidR="005D591A">
        <w:t xml:space="preserve"> in their estimation of bias</w:t>
      </w:r>
      <w:r w:rsidR="00220BB9">
        <w:t xml:space="preserve">. </w:t>
      </w:r>
      <w:r w:rsidR="002B7E60">
        <w:t>My own compilation of unpublished IRAP studies suggests that there are at least 6 unpublished PhD theses with clinically relevant IRAP studies, most of which came from Barnes-Holmes's research group</w:t>
      </w:r>
      <w:r w:rsidR="007831AF">
        <w:t xml:space="preserve"> </w:t>
      </w:r>
      <w:r w:rsidR="007831AF">
        <w:fldChar w:fldCharType="begin"/>
      </w:r>
      <w:r w:rsidR="007831AF">
        <w:instrText xml:space="preserve"> ADDIN ZOTERO_ITEM CSL_CITATION {"citationID":"2Aqioz4X","properties":{"formattedCitation":"(Hussey &amp; Drake, 2022)","plainCitation":"(Hussey &amp; Drake, 2022)","noteIndex":0},"citationItems":[{"id":29166,"uris":["http://zotero.org/users/1687755/items/RN233WHD"],"itemData":{"id":29166,"type":"article-journal","abstract":"Hosted on the Open Science Framework","language":"en","note":"publisher: OSF","source":"osf.io","title":"The IRAP File-Drawer: A repository of unpublished studies using the Implicit Relational Assessment Procedure","title-short":"The IRAP File-Drawer","URL":"https://osf.io/g4qsu/","author":[{"family":"Hussey","given":"Ian"},{"family":"Drake","given":"Chad E."}],"accessed":{"date-parts":[["2024",8,1]]},"issued":{"date-parts":[["2022"]]}}}],"schema":"https://github.com/citation-style-language/schema/raw/master/csl-citation.json"} </w:instrText>
      </w:r>
      <w:r w:rsidR="007831AF">
        <w:fldChar w:fldCharType="separate"/>
      </w:r>
      <w:r w:rsidR="007831AF">
        <w:rPr>
          <w:noProof/>
        </w:rPr>
        <w:t>(Hussey &amp; Drake, 2022)</w:t>
      </w:r>
      <w:r w:rsidR="007831AF">
        <w:fldChar w:fldCharType="end"/>
      </w:r>
      <w:r w:rsidR="002B7E60">
        <w:t xml:space="preserve">. </w:t>
      </w:r>
      <w:r w:rsidR="003D01B6">
        <w:t xml:space="preserve">Reporting quantitative tests of publication bias without also reporting </w:t>
      </w:r>
      <w:r w:rsidR="003D01B6" w:rsidRPr="0082796D">
        <w:rPr>
          <w:i/>
          <w:iCs/>
        </w:rPr>
        <w:t>prima facie</w:t>
      </w:r>
      <w:r w:rsidR="003D01B6">
        <w:t xml:space="preserve"> evidence of publication bias from one's own research group ignores important </w:t>
      </w:r>
      <w:proofErr w:type="gramStart"/>
      <w:r w:rsidR="003D01B6">
        <w:t>evidence</w:t>
      </w:r>
      <w:r w:rsidR="005B2B9F">
        <w:t>, and</w:t>
      </w:r>
      <w:proofErr w:type="gramEnd"/>
      <w:r w:rsidR="005B2B9F">
        <w:t xml:space="preserve"> does so in a way that is biased towards enhancing the </w:t>
      </w:r>
      <w:r w:rsidR="00856724">
        <w:t xml:space="preserve">apparent </w:t>
      </w:r>
      <w:r w:rsidR="005B2B9F">
        <w:t>criterion validity of the measure</w:t>
      </w:r>
      <w:r w:rsidR="00986FBB">
        <w:t xml:space="preserve"> – a measure which was also created by the last author of Vahey et al. (2015). </w:t>
      </w:r>
    </w:p>
    <w:p w14:paraId="1C6C297B" w14:textId="4B28B06E" w:rsidR="004112F6" w:rsidRPr="00034410" w:rsidRDefault="00000000" w:rsidP="00D77465">
      <w:pPr>
        <w:pStyle w:val="Heading2"/>
      </w:pPr>
      <w:r w:rsidRPr="00034410">
        <w:t>Corrected meta-analysis and power analyses</w:t>
      </w:r>
    </w:p>
    <w:p w14:paraId="7C8015FE" w14:textId="77777777" w:rsidR="004E47BB" w:rsidRPr="00871704" w:rsidRDefault="00000000" w:rsidP="00D77465">
      <w:proofErr w:type="gramStart"/>
      <w:r w:rsidRPr="00034410">
        <w:t>In order to</w:t>
      </w:r>
      <w:proofErr w:type="gramEnd"/>
      <w:r w:rsidRPr="00034410">
        <w:t xml:space="preserve"> </w:t>
      </w:r>
      <w:r>
        <w:t>understand the compound impact of the various errors on the conclusion</w:t>
      </w:r>
      <w:r w:rsidRPr="00034410">
        <w:t xml:space="preserve">s of </w:t>
      </w:r>
      <w:r>
        <w:t xml:space="preserve">the meta-analysis, I fitted </w:t>
      </w:r>
      <w:r w:rsidRPr="00034410">
        <w:t xml:space="preserve">a new meta-analysis </w:t>
      </w:r>
      <w:r>
        <w:t xml:space="preserve">to the 156 effect sizes re-extracted from the original articles. I then used the meta-analysis effect results to calculate </w:t>
      </w:r>
      <w:r w:rsidRPr="00034410">
        <w:t xml:space="preserve">new power </w:t>
      </w:r>
      <w:r w:rsidRPr="00871704">
        <w:t xml:space="preserve">analyses. Whereas Vahey et al.’s (2015) method of dealing with the non-independence of multiple effect sizes taken from the same study was to average them, research suggests that it is more appropriate to model these dependencies using three-level meta-analyses (i.e., multi-level meta-analyses: Van den Noortgate et al. 2013). </w:t>
      </w:r>
    </w:p>
    <w:p w14:paraId="58D8A7F5" w14:textId="77777777" w:rsidR="004E47BB" w:rsidRPr="00871704" w:rsidRDefault="00000000" w:rsidP="00D77465">
      <w:r w:rsidRPr="00871704">
        <w:t xml:space="preserve">A multi-level random effect meta-analysis with random intercepts for study was therefore employed. I employed the metafor packages’ default settings of a Restricted Maximum Likelihood estimator function and weighting by inverse variance (i.e., rather than </w:t>
      </w:r>
      <w:r w:rsidRPr="00871704">
        <w:rPr>
          <w:i/>
          <w:iCs/>
        </w:rPr>
        <w:t>N</w:t>
      </w:r>
      <w:r w:rsidRPr="00871704">
        <w:t xml:space="preserve">, given that inverse variance is a better estimate of precision and represents the contemporary standard). </w:t>
      </w:r>
    </w:p>
    <w:p w14:paraId="0AB0576C" w14:textId="77777777" w:rsidR="004E47BB" w:rsidRPr="00871704" w:rsidRDefault="00000000" w:rsidP="00D77465">
      <w:r w:rsidRPr="00871704">
        <w:t xml:space="preserve">Results demonstrated a meta effect size </w:t>
      </w:r>
      <m:oMath>
        <m:acc>
          <m:accPr>
            <m:chr m:val="̅"/>
            <m:ctrlPr>
              <w:rPr>
                <w:rFonts w:ascii="Cambria Math" w:hAnsi="Cambria Math"/>
                <w:i/>
              </w:rPr>
            </m:ctrlPr>
          </m:accPr>
          <m:e>
            <m:r>
              <w:rPr>
                <w:rFonts w:ascii="Cambria Math" w:hAnsi="Cambria Math"/>
              </w:rPr>
              <m:t>r</m:t>
            </m:r>
          </m:e>
        </m:acc>
      </m:oMath>
      <w:r w:rsidRPr="00871704">
        <w:t xml:space="preserve"> = .22, 95% CI [.15, .29], 95% CR [.22, .22], 95% PI [-.01, .42] (see Figure 4 for forest plot). Based on the non-overlap of their Confidence Intervals, this estimate is significantly smaller than the effect size reported by Vahey et al. (2015), i.e., </w:t>
      </w:r>
      <m:oMath>
        <m:acc>
          <m:accPr>
            <m:chr m:val="̅"/>
            <m:ctrlPr>
              <w:rPr>
                <w:rFonts w:ascii="Cambria Math" w:hAnsi="Cambria Math"/>
                <w:i/>
              </w:rPr>
            </m:ctrlPr>
          </m:accPr>
          <m:e>
            <m:r>
              <w:rPr>
                <w:rFonts w:ascii="Cambria Math" w:hAnsi="Cambria Math"/>
              </w:rPr>
              <m:t>r</m:t>
            </m:r>
          </m:e>
        </m:acc>
      </m:oMath>
      <w:r w:rsidRPr="00871704">
        <w:t xml:space="preserve"> = .45, 95% CI [.40, .54], 95% CR [.23, .67]). </w:t>
      </w:r>
    </w:p>
    <w:p w14:paraId="2A166F8D" w14:textId="77777777" w:rsidR="004E47BB" w:rsidRPr="00871704" w:rsidRDefault="00000000" w:rsidP="00D77465">
      <w:r w:rsidRPr="00871704">
        <w:lastRenderedPageBreak/>
        <w:t>Table 1 contains the new power analyses based on this meta-effect size. As can be seen from the table, sample sizes are substantially larger than those recommended by Vahey et al. (2015). For example, whereas the original abstract includes the recommendation that IRAP studies should employ “</w:t>
      </w:r>
      <w:r w:rsidRPr="00871704">
        <w:rPr>
          <w:i/>
          <w:iCs/>
        </w:rPr>
        <w:t>N</w:t>
      </w:r>
      <w:r w:rsidRPr="00871704">
        <w:t xml:space="preserve"> </w:t>
      </w:r>
    </w:p>
    <w:p w14:paraId="39C2393B" w14:textId="77777777" w:rsidR="004E47BB" w:rsidRPr="00871704" w:rsidRDefault="00000000" w:rsidP="00D77465">
      <w:r w:rsidRPr="00871704">
        <w:t xml:space="preserve">of [at least] 29 to 37”, the update numbers for the same tests are </w:t>
      </w:r>
      <w:r w:rsidRPr="00871704">
        <w:rPr>
          <w:i/>
          <w:iCs/>
        </w:rPr>
        <w:t>N</w:t>
      </w:r>
      <w:r w:rsidRPr="00871704">
        <w:t xml:space="preserve">s of at least 126 to 273. Power analyses for the more common and less liberal two-sided test for Pearson’s </w:t>
      </w:r>
      <w:r w:rsidRPr="00871704">
        <w:rPr>
          <w:i/>
          <w:iCs/>
        </w:rPr>
        <w:t>r</w:t>
      </w:r>
      <w:r w:rsidRPr="00871704">
        <w:t xml:space="preserve"> correlations would require </w:t>
      </w:r>
      <w:r w:rsidRPr="00871704">
        <w:rPr>
          <w:i/>
          <w:iCs/>
        </w:rPr>
        <w:t>N</w:t>
      </w:r>
      <w:r w:rsidRPr="00871704">
        <w:t xml:space="preserve">s of at least 160 to 346. </w:t>
      </w:r>
    </w:p>
    <w:p w14:paraId="6B1A716F" w14:textId="77777777" w:rsidR="00032ADB" w:rsidRDefault="00032ADB" w:rsidP="00D77465"/>
    <w:p w14:paraId="707EA9D4" w14:textId="77777777" w:rsidR="00032ADB" w:rsidRDefault="00000000" w:rsidP="00D77465">
      <w:pPr>
        <w:rPr>
          <w:b/>
          <w:bCs/>
        </w:rPr>
      </w:pPr>
      <w:r>
        <w:br w:type="column"/>
      </w:r>
      <w:r w:rsidRPr="00D0718D">
        <w:rPr>
          <w:b/>
          <w:bCs/>
        </w:rPr>
        <w:lastRenderedPageBreak/>
        <w:t xml:space="preserve">Figure </w:t>
      </w:r>
      <w:r>
        <w:rPr>
          <w:b/>
          <w:bCs/>
        </w:rPr>
        <w:t>5</w:t>
      </w:r>
      <w:r w:rsidRPr="00D0718D">
        <w:rPr>
          <w:b/>
          <w:bCs/>
        </w:rPr>
        <w:t xml:space="preserve">. </w:t>
      </w:r>
      <w:r w:rsidRPr="00DE7D92">
        <w:t>Forest plot for the new meta-analysis.</w:t>
      </w:r>
    </w:p>
    <w:p w14:paraId="0CB77921" w14:textId="716D90B4" w:rsidR="00D5488E" w:rsidRDefault="00000000" w:rsidP="00625E20">
      <w:pPr>
        <w:ind w:firstLine="0"/>
        <w:jc w:val="center"/>
      </w:pPr>
      <w:r>
        <w:rPr>
          <w:noProof/>
        </w:rPr>
        <w:drawing>
          <wp:inline distT="0" distB="0" distL="0" distR="0" wp14:anchorId="295A826F" wp14:editId="53BA9423">
            <wp:extent cx="1674254" cy="8160816"/>
            <wp:effectExtent l="0" t="0" r="2540" b="0"/>
            <wp:docPr id="15384803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480369" name="Picture 1538480369"/>
                    <pic:cNvPicPr/>
                  </pic:nvPicPr>
                  <pic:blipFill>
                    <a:blip r:embed="rId17"/>
                    <a:stretch>
                      <a:fillRect/>
                    </a:stretch>
                  </pic:blipFill>
                  <pic:spPr>
                    <a:xfrm>
                      <a:off x="0" y="0"/>
                      <a:ext cx="1712431" cy="8346902"/>
                    </a:xfrm>
                    <a:prstGeom prst="rect">
                      <a:avLst/>
                    </a:prstGeom>
                  </pic:spPr>
                </pic:pic>
              </a:graphicData>
            </a:graphic>
          </wp:inline>
        </w:drawing>
      </w:r>
    </w:p>
    <w:p w14:paraId="75AE9B96" w14:textId="77777777" w:rsidR="00B95E95" w:rsidRPr="00871704" w:rsidRDefault="00000000" w:rsidP="00D77465">
      <w:pPr>
        <w:pStyle w:val="Heading1"/>
      </w:pPr>
      <w:r w:rsidRPr="00871704">
        <w:lastRenderedPageBreak/>
        <w:t>Discussion</w:t>
      </w:r>
    </w:p>
    <w:p w14:paraId="4693B6F6" w14:textId="77777777" w:rsidR="00F31469" w:rsidRPr="00871704" w:rsidRDefault="00000000" w:rsidP="00D77465">
      <w:r w:rsidRPr="00871704">
        <w:t xml:space="preserve">The results </w:t>
      </w:r>
      <w:r w:rsidR="00ED4354" w:rsidRPr="00871704">
        <w:t xml:space="preserve">of Vahey et al. (2015) </w:t>
      </w:r>
      <w:r w:rsidRPr="00871704">
        <w:t xml:space="preserve">could not be verified at </w:t>
      </w:r>
      <w:r w:rsidR="009D1517">
        <w:t>several</w:t>
      </w:r>
      <w:r w:rsidRPr="00871704">
        <w:t xml:space="preserve"> different stages </w:t>
      </w:r>
      <w:r w:rsidR="009D1517">
        <w:t xml:space="preserve">of the data extraction and </w:t>
      </w:r>
      <w:r w:rsidRPr="00871704">
        <w:t>analysis</w:t>
      </w:r>
      <w:r w:rsidR="00802D88" w:rsidRPr="00871704">
        <w:t xml:space="preserve">, </w:t>
      </w:r>
      <w:r w:rsidR="00751E40" w:rsidRPr="00871704">
        <w:t>and</w:t>
      </w:r>
      <w:r w:rsidR="00802D88" w:rsidRPr="00871704">
        <w:t xml:space="preserve"> multiple errors </w:t>
      </w:r>
      <w:r w:rsidR="00751E40" w:rsidRPr="00871704">
        <w:t>and</w:t>
      </w:r>
      <w:r w:rsidR="00802D88" w:rsidRPr="00871704">
        <w:t xml:space="preserve"> </w:t>
      </w:r>
      <w:r w:rsidR="005C6FA5">
        <w:t xml:space="preserve">internal </w:t>
      </w:r>
      <w:r w:rsidR="00802D88" w:rsidRPr="00871704">
        <w:t xml:space="preserve">discrepancies </w:t>
      </w:r>
      <w:r w:rsidR="00751E40" w:rsidRPr="00871704">
        <w:t xml:space="preserve">were </w:t>
      </w:r>
      <w:r w:rsidR="00802D88" w:rsidRPr="00871704">
        <w:t>detected</w:t>
      </w:r>
      <w:r w:rsidRPr="00871704">
        <w:t xml:space="preserve">. </w:t>
      </w:r>
      <w:r w:rsidR="00AB2048" w:rsidRPr="00871704">
        <w:t xml:space="preserve">The </w:t>
      </w:r>
      <w:r w:rsidR="00EA7DFA" w:rsidRPr="00871704">
        <w:t xml:space="preserve">original article’s </w:t>
      </w:r>
      <w:r w:rsidR="00AB2048" w:rsidRPr="00871704">
        <w:t xml:space="preserve">inclusion and exclusion criteria were not </w:t>
      </w:r>
      <w:r w:rsidR="000A1DC4" w:rsidRPr="00871704">
        <w:t xml:space="preserve">consistently </w:t>
      </w:r>
      <w:r w:rsidR="00AB2048" w:rsidRPr="00871704">
        <w:t>applied</w:t>
      </w:r>
      <w:r w:rsidR="00E93CCC" w:rsidRPr="00871704">
        <w:t>: m</w:t>
      </w:r>
      <w:r w:rsidR="00AB2048" w:rsidRPr="00871704">
        <w:t xml:space="preserve">any effects that met Vahey et al.’s (2015) inclusion criteria were not </w:t>
      </w:r>
      <w:r w:rsidR="00BD1219">
        <w:t>included. C</w:t>
      </w:r>
      <w:r w:rsidR="00AB2048" w:rsidRPr="00871704">
        <w:t xml:space="preserve">onversely, many effects that were included did not meet inclusion criteria, e.g., </w:t>
      </w:r>
      <w:r w:rsidR="004259E7" w:rsidRPr="00871704">
        <w:t>41.1</w:t>
      </w:r>
      <w:r w:rsidR="00AB2048" w:rsidRPr="00871704">
        <w:t>% were not criterion effects as they did not involve a</w:t>
      </w:r>
      <w:r w:rsidR="00E93CCC" w:rsidRPr="00871704">
        <w:t xml:space="preserve">n </w:t>
      </w:r>
      <w:r w:rsidR="00AB2048" w:rsidRPr="00871704">
        <w:t xml:space="preserve">external variable. </w:t>
      </w:r>
      <w:r w:rsidR="003C3CC1" w:rsidRPr="00871704">
        <w:t xml:space="preserve">These inconsistencies in the application of the inclusion and exclusion strategy </w:t>
      </w:r>
      <w:r w:rsidR="00BD1219">
        <w:t xml:space="preserve">were </w:t>
      </w:r>
      <w:r w:rsidR="003C3CC1" w:rsidRPr="00871704">
        <w:t xml:space="preserve">biased towards including larger effect sizes and omitting smaller ones. </w:t>
      </w:r>
      <w:r w:rsidR="002E558B" w:rsidRPr="00871704">
        <w:t xml:space="preserve">The averaging of these effect sizes for each </w:t>
      </w:r>
      <w:r w:rsidR="00EA7DFA" w:rsidRPr="00871704">
        <w:t xml:space="preserve">article </w:t>
      </w:r>
      <w:r w:rsidR="002E558B" w:rsidRPr="00871704">
        <w:t xml:space="preserve">was not </w:t>
      </w:r>
      <w:r w:rsidR="00EA7DFA" w:rsidRPr="00871704">
        <w:t xml:space="preserve">computationally </w:t>
      </w:r>
      <w:r w:rsidR="002E558B" w:rsidRPr="00871704">
        <w:t>reproducibl</w:t>
      </w:r>
      <w:r w:rsidR="00EA7DFA" w:rsidRPr="00871704">
        <w:t>e</w:t>
      </w:r>
      <w:r w:rsidR="007F19D1" w:rsidRPr="00871704">
        <w:t xml:space="preserve"> in</w:t>
      </w:r>
      <w:r w:rsidR="00E93CCC" w:rsidRPr="00871704">
        <w:t xml:space="preserve"> </w:t>
      </w:r>
      <w:r w:rsidR="00B95E95" w:rsidRPr="00871704">
        <w:t>13% of cases.</w:t>
      </w:r>
      <w:r w:rsidR="00F1693C" w:rsidRPr="00871704">
        <w:t xml:space="preserve"> </w:t>
      </w:r>
      <w:r w:rsidR="002E558B" w:rsidRPr="00871704">
        <w:t xml:space="preserve">The results of </w:t>
      </w:r>
      <w:r w:rsidR="00896E27" w:rsidRPr="00871704">
        <w:t xml:space="preserve">the </w:t>
      </w:r>
      <w:r w:rsidR="002E558B" w:rsidRPr="00871704">
        <w:t>meta-analysis could not be reproduced</w:t>
      </w:r>
      <w:r w:rsidR="00933C23" w:rsidRPr="00871704">
        <w:t xml:space="preserve"> despite numerous </w:t>
      </w:r>
      <w:r w:rsidR="00B82B7F" w:rsidRPr="00871704">
        <w:t xml:space="preserve">different </w:t>
      </w:r>
      <w:r w:rsidR="00933C23" w:rsidRPr="00871704">
        <w:t>attempts</w:t>
      </w:r>
      <w:r w:rsidR="00EA7DFA" w:rsidRPr="00871704">
        <w:t xml:space="preserve"> and approaches</w:t>
      </w:r>
      <w:r w:rsidR="00477EC4">
        <w:t>, with the closest reproducing requiring two serious errors to be made on purpose (using the wrong dataset and mislabelling Confidence Intervals as Credibility Intervals and vice versa)</w:t>
      </w:r>
      <w:r w:rsidR="00EA7DFA" w:rsidRPr="00871704">
        <w:t>.</w:t>
      </w:r>
      <w:r w:rsidR="00933C23" w:rsidRPr="00871704">
        <w:t xml:space="preserve"> </w:t>
      </w:r>
      <w:r w:rsidR="006D2D19" w:rsidRPr="00871704">
        <w:t>The original p</w:t>
      </w:r>
      <w:r w:rsidR="00B95E95" w:rsidRPr="00871704">
        <w:t>ower analys</w:t>
      </w:r>
      <w:r w:rsidR="00F04934" w:rsidRPr="00871704">
        <w:t>e</w:t>
      </w:r>
      <w:r w:rsidR="00B95E95" w:rsidRPr="00871704">
        <w:t xml:space="preserve">s </w:t>
      </w:r>
      <w:r w:rsidR="00F04934" w:rsidRPr="00871704">
        <w:t>were mostly reproducible</w:t>
      </w:r>
      <w:r w:rsidR="007F19D1" w:rsidRPr="00871704">
        <w:t>,</w:t>
      </w:r>
      <w:r w:rsidR="006D2D19" w:rsidRPr="00871704">
        <w:t xml:space="preserve"> </w:t>
      </w:r>
      <w:r w:rsidR="007F19D1" w:rsidRPr="00871704">
        <w:t>h</w:t>
      </w:r>
      <w:r w:rsidR="006D2D19" w:rsidRPr="00871704">
        <w:t>owever</w:t>
      </w:r>
      <w:r w:rsidR="00F04934" w:rsidRPr="00871704">
        <w:t>,</w:t>
      </w:r>
      <w:r w:rsidR="006D2D19" w:rsidRPr="00871704">
        <w:t xml:space="preserve"> given the lack of reproducibility of the </w:t>
      </w:r>
      <w:r w:rsidR="00F04934" w:rsidRPr="00871704">
        <w:t>meta-analysis itself</w:t>
      </w:r>
      <w:r w:rsidR="006D2D19" w:rsidRPr="00871704">
        <w:t xml:space="preserve">, the </w:t>
      </w:r>
      <w:r w:rsidR="00F04934" w:rsidRPr="00871704">
        <w:t xml:space="preserve">validity of those </w:t>
      </w:r>
      <w:r w:rsidR="006D2D19" w:rsidRPr="00871704">
        <w:t>power analyses’ results</w:t>
      </w:r>
      <w:r w:rsidR="00F04934" w:rsidRPr="00871704">
        <w:t xml:space="preserve"> </w:t>
      </w:r>
      <w:r w:rsidR="007F19D1" w:rsidRPr="00871704">
        <w:t xml:space="preserve">based on that meta-analysis estimate </w:t>
      </w:r>
      <w:r w:rsidR="00F04934" w:rsidRPr="00871704">
        <w:t xml:space="preserve">was </w:t>
      </w:r>
      <w:r w:rsidR="007F19D1" w:rsidRPr="00871704">
        <w:t xml:space="preserve">fundamentally </w:t>
      </w:r>
      <w:r w:rsidR="00F04934" w:rsidRPr="00871704">
        <w:t>undermined</w:t>
      </w:r>
      <w:r w:rsidR="006D2D19" w:rsidRPr="00871704">
        <w:t xml:space="preserve">. </w:t>
      </w:r>
    </w:p>
    <w:p w14:paraId="2BDEE3BE" w14:textId="77777777" w:rsidR="00F24EA3" w:rsidRPr="00871704" w:rsidRDefault="00000000" w:rsidP="00D77465">
      <w:r w:rsidRPr="00871704">
        <w:t xml:space="preserve">This lack of reproducibility is consistent with what has been found elsewhere for meta-analyses: errors in data extraction and conversion are common, results are frequently not reproducible, and this is hindered by the unavailability of data and code </w:t>
      </w:r>
      <w:r w:rsidRPr="00871704">
        <w:fldChar w:fldCharType="begin"/>
      </w:r>
      <w:r w:rsidR="003221C9" w:rsidRPr="00871704">
        <w:instrText xml:space="preserve"> ADDIN ZOTERO_ITEM CSL_CITATION {"citationID":"oVz4Rtse","properties":{"formattedCitation":"(G\\uc0\\u248{}tzsche et al., 2007; Kadlec et al., 2023; Lakens et al., 2016, 2017; Maassen et al., 2020)","plainCitation":"(Gøtzsche et al., 2007; Kadlec et al., 2023; Lakens et al., 2016, 2017; Maassen et al., 2020)","noteIndex":0},"citationItems":[{"id":4753,"uris":["http://zotero.org/users/1687755/items/QR5MWFKZ"],"itemData":{"id":4753,"type":"article-journal","abstract":"ContextMeta-analysis of trials that have used different continuous or rating scales to record outcomes of a similar nature requires sophisticated data handling and data transformation to a uniform scale, the standardized mean difference (SMD). It is not known how reliable such meta-analyses are.ObjectiveTo study whether SMDs in meta-analyses are accurate.Data SourcesSystematic review of meta-analyses published in 2004 that reported a result as an SMD, with no language restrictions. Two trials were randomly selected from each meta-analysis. We attempted to replicate the results in each meta-analysis by independently calculating SMD using Hedges adjusted g.Data ExtractionOur primary outcome was the proportion of meta-analyses for which our result differed from that of the authors by 0.1 or more, either for the point estimate or for its confidence interval, for at least 1 of the 2 selected trials. We chose 0.1 as cut point because many commonly used treatments have an effect of 0.1 to 0.5, compared with placebo.ResultsOf the 27 meta-analyses included in this study, we could not replicate the result for at least 1 of the 2 trials within 0.1 in 10 of the meta-analyses (37%), and in 4 cases, the discrepancy was 0.6 or more for the point estimate. Common problems were erroneous number of patients, means, standard deviations, and sign for the effect estimate. In total, 17 meta-analyses (63%) had errors for at least 1 of the 2 trials examined. For the 10 meta-analyses with errors of at least 0.1, we checked the data from all the trials and conducted our own meta-analysis, using the authors' methods. Seven of these 10 meta-analyses were erroneous (70%); 1 was subsequently retracted, and in 2 a significant difference disappeared or appeared.ConclusionsThe high proportion of meta-analyses based on SMDs that show errors indicates that although the statistical process is ostensibly simple, data extraction is particularly liable to errors that can negate or even reverse the findings of the study. This has implications for researchers and implies that all readers, including journal reviewers and policy makers, should approach such meta-analyses with caution.","container-title":"JAMA","DOI":"10.1001/jama.298.4.430","ISSN":"0098-7484","issue":"4","journalAbbreviation":"JAMA","page":"430-437","source":"Silverchair","title":"Data Extraction Errors in Meta-analyses That Use Standardized Mean Differences","volume":"298","author":[{"family":"Gøtzsche","given":"Peter C."},{"family":"Hróbjartsson","given":"Asbjørn"},{"family":"Marić","given":"Katja"},{"family":"Tendal","given":"Britta"}],"issued":{"date-parts":[["2007",7,25]]}}},{"id":54,"uris":["http://zotero.org/users/1687755/items/WWKVT2EA"],"itemData":{"id":54,"type":"article-journal","abstract":"Meta-analysis and meta-regression are often highly cited and may influence practice. Unfortunately, statistical errors in meta-analyses are widespread and can lead to flawed conclusions. The purpose of this article was to review common statistical errors in meta-analyses and to document their frequency in highly cited meta-analyses from strength and conditioning research.","container-title":"Sports Medicine","DOI":"10.1007/s40279-022-01766-0","ISSN":"1179-2035","issue":"2","journalAbbreviation":"Sports Med","language":"en","page":"313-325","source":"Springer Link","title":"With Great Power Comes Great Responsibility: Common Errors in Meta-Analyses and Meta-Regressions in Strength &amp; Conditioning Research","title-short":"With Great Power Comes Great Responsibility","volume":"53","author":[{"family":"Kadlec","given":"Daniel"},{"family":"Sainani","given":"Kristin L."},{"family":"Nimphius","given":"Sophia"}],"issued":{"date-parts":[["2023",2,1]]}}},{"id":393,"uris":["http://zotero.org/users/1687755/items/P27AF84W"],"itemData":{"id":393,"type":"article-journal","abstract":"Meta-analyses play an important role in cumulative science by combining information across multiple studies and attempting to provide effect size estimates corrected for publication bias. Research on the reproducibility of meta-analyses reveals that errors are common, and the percentage of effect size calculations that cannot be reproduced is much higher than is desirable. Furthermore, the flexibility in inclusion criteria when performing a meta-analysis, combined with the many conflicting conclusions drawn by meta-analyses of the same set of studies performed by different researchers, has led some people to doubt whether meta-analyses can provide objective conclusions.","container-title":"BMC Psychology","DOI":"10.1186/s40359-016-0126-3","ISSN":"2050-7283","issue":"1","journalAbbreviation":"BMC Psychol","language":"en","page":"24","source":"Springer Link","title":"On the reproducibility of meta-analyses: six practical recommendations","title-short":"On the reproducibility of meta-analyses","volume":"4","author":[{"family":"Lakens","given":"Daniël"},{"family":"Hilgard","given":"Joe"},{"family":"Staaks","given":"Janneke"}],"issued":{"date-parts":[["2016",5,31]]}}},{"id":4644,"uris":["http://zotero.org/users/1687755/items/IBB5XYVT"],"itemData":{"id":4644,"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M."}],"accessed":{"date-parts":[["2020",6,17]]},"issued":{"date-parts":[["2017",3,31]]}}},{"id":4654,"uris":["http://zotero.org/users/1687755/items/WUWAGAGT"],"itemData":{"id":4654,"type":"article-journal","abstract":"To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M."}],"issued":{"date-parts":[["2020",5,27]]}}}],"schema":"https://github.com/citation-style-language/schema/raw/master/csl-citation.json"} </w:instrText>
      </w:r>
      <w:r w:rsidRPr="00871704">
        <w:fldChar w:fldCharType="separate"/>
      </w:r>
      <w:r w:rsidRPr="00871704">
        <w:t>(Gøtzsche et al., 2007; Kadlec et al., 2023; Lakens et al., 2016, 2017; Maassen et al., 2020)</w:t>
      </w:r>
      <w:r w:rsidRPr="00871704">
        <w:fldChar w:fldCharType="end"/>
      </w:r>
      <w:r w:rsidRPr="00871704">
        <w:t xml:space="preserve">. </w:t>
      </w:r>
    </w:p>
    <w:p w14:paraId="20D3CAD7" w14:textId="77777777" w:rsidR="00240F20" w:rsidRPr="00871704" w:rsidRDefault="00000000" w:rsidP="00D77465">
      <w:r w:rsidRPr="00871704">
        <w:t>After correcting th</w:t>
      </w:r>
      <w:r w:rsidR="00F31469" w:rsidRPr="00871704">
        <w:t>e above</w:t>
      </w:r>
      <w:r w:rsidRPr="00871704">
        <w:t xml:space="preserve"> issues, a</w:t>
      </w:r>
      <w:r w:rsidR="006D2D19" w:rsidRPr="00871704">
        <w:t xml:space="preserve"> new meta-analysis was conducted</w:t>
      </w:r>
      <w:r w:rsidR="008926B3" w:rsidRPr="00871704">
        <w:t xml:space="preserve"> </w:t>
      </w:r>
      <w:proofErr w:type="gramStart"/>
      <w:r w:rsidR="008926B3" w:rsidRPr="00871704">
        <w:t>in order to</w:t>
      </w:r>
      <w:proofErr w:type="gramEnd"/>
      <w:r w:rsidR="008926B3" w:rsidRPr="00871704">
        <w:t xml:space="preserve"> convey the combined impact of these issues on the conclusions.</w:t>
      </w:r>
      <w:r w:rsidR="006D2D19" w:rsidRPr="00871704">
        <w:t xml:space="preserve"> Results suggested a meta-effect size </w:t>
      </w:r>
      <w:r w:rsidR="00D065B6" w:rsidRPr="00871704">
        <w:t xml:space="preserve">of </w:t>
      </w:r>
      <m:oMath>
        <m:acc>
          <m:accPr>
            <m:chr m:val="̅"/>
            <m:ctrlPr>
              <w:rPr>
                <w:rFonts w:ascii="Cambria Math" w:hAnsi="Cambria Math"/>
                <w:i/>
              </w:rPr>
            </m:ctrlPr>
          </m:accPr>
          <m:e>
            <m:r>
              <w:rPr>
                <w:rFonts w:ascii="Cambria Math" w:hAnsi="Cambria Math"/>
              </w:rPr>
              <m:t>r</m:t>
            </m:r>
          </m:e>
        </m:acc>
      </m:oMath>
      <w:r w:rsidR="00D065B6" w:rsidRPr="00871704">
        <w:t xml:space="preserve"> = .22, </w:t>
      </w:r>
      <w:r w:rsidR="006D2D19" w:rsidRPr="00871704">
        <w:t xml:space="preserve">less than half that reported in </w:t>
      </w:r>
      <w:r w:rsidR="00D065B6" w:rsidRPr="00871704">
        <w:t>the original article (</w:t>
      </w:r>
      <m:oMath>
        <m:acc>
          <m:accPr>
            <m:chr m:val="̅"/>
            <m:ctrlPr>
              <w:rPr>
                <w:rFonts w:ascii="Cambria Math" w:hAnsi="Cambria Math"/>
                <w:i/>
              </w:rPr>
            </m:ctrlPr>
          </m:accPr>
          <m:e>
            <m:r>
              <w:rPr>
                <w:rFonts w:ascii="Cambria Math" w:hAnsi="Cambria Math"/>
              </w:rPr>
              <m:t>r</m:t>
            </m:r>
          </m:e>
        </m:acc>
      </m:oMath>
      <w:r w:rsidR="00D065B6" w:rsidRPr="00871704">
        <w:t xml:space="preserve"> = .45)</w:t>
      </w:r>
      <w:r w:rsidR="00672A84" w:rsidRPr="00871704">
        <w:t>.</w:t>
      </w:r>
      <w:r w:rsidR="006D2D19" w:rsidRPr="00871704">
        <w:t xml:space="preserve"> </w:t>
      </w:r>
      <w:r w:rsidRPr="00871704">
        <w:t>Vahey et al. (2015) stated that</w:t>
      </w:r>
      <w:r w:rsidR="00D065B6" w:rsidRPr="00871704">
        <w:t>, according to their results,</w:t>
      </w:r>
      <w:r w:rsidRPr="00871704">
        <w:t xml:space="preserve"> the IRAP's criterion validity compares </w:t>
      </w:r>
      <w:r w:rsidR="00EE0367" w:rsidRPr="00871704">
        <w:t>“</w:t>
      </w:r>
      <w:r w:rsidRPr="00871704">
        <w:t>favorably</w:t>
      </w:r>
      <w:r w:rsidR="00EE0367" w:rsidRPr="00871704">
        <w:t>”</w:t>
      </w:r>
      <w:r w:rsidRPr="00871704">
        <w:t xml:space="preserve"> to the other popular implicit measures such as the Implicit Association Test (</w:t>
      </w:r>
      <m:oMath>
        <m:acc>
          <m:accPr>
            <m:chr m:val="̅"/>
            <m:ctrlPr>
              <w:rPr>
                <w:rFonts w:ascii="Cambria Math" w:hAnsi="Cambria Math"/>
                <w:i/>
              </w:rPr>
            </m:ctrlPr>
          </m:accPr>
          <m:e>
            <m:r>
              <w:rPr>
                <w:rFonts w:ascii="Cambria Math" w:hAnsi="Cambria Math"/>
              </w:rPr>
              <m:t>r</m:t>
            </m:r>
          </m:e>
        </m:acc>
      </m:oMath>
      <w:r w:rsidRPr="00871704">
        <w:t xml:space="preserve"> = </w:t>
      </w:r>
      <w:r w:rsidRPr="00871704">
        <w:lastRenderedPageBreak/>
        <w:t xml:space="preserve">.22 for addiction and </w:t>
      </w:r>
      <m:oMath>
        <m:acc>
          <m:accPr>
            <m:chr m:val="̅"/>
            <m:ctrlPr>
              <w:rPr>
                <w:rFonts w:ascii="Cambria Math" w:hAnsi="Cambria Math"/>
                <w:i/>
              </w:rPr>
            </m:ctrlPr>
          </m:accPr>
          <m:e>
            <m:r>
              <w:rPr>
                <w:rFonts w:ascii="Cambria Math" w:hAnsi="Cambria Math"/>
              </w:rPr>
              <m:t>r</m:t>
            </m:r>
          </m:e>
        </m:acc>
      </m:oMath>
      <w:r w:rsidRPr="00871704">
        <w:t xml:space="preserve"> = .30 for non-addiction psychopathologies: Greenwald et al., 2009) and evaluative priming methods (</w:t>
      </w:r>
      <m:oMath>
        <m:acc>
          <m:accPr>
            <m:chr m:val="̅"/>
            <m:ctrlPr>
              <w:rPr>
                <w:rFonts w:ascii="Cambria Math" w:hAnsi="Cambria Math"/>
                <w:i/>
              </w:rPr>
            </m:ctrlPr>
          </m:accPr>
          <m:e>
            <m:r>
              <w:rPr>
                <w:rFonts w:ascii="Cambria Math" w:hAnsi="Cambria Math"/>
              </w:rPr>
              <m:t>r</m:t>
            </m:r>
          </m:e>
        </m:acc>
      </m:oMath>
      <w:r w:rsidRPr="00871704">
        <w:t xml:space="preserve">s = .18 to .28: Cameron et al. 2012; Herring et al., 2013; Rooke et al., 2008). </w:t>
      </w:r>
      <w:r w:rsidR="00D065B6" w:rsidRPr="00871704">
        <w:t>Without endorsing the updated meta-analysis, by Vahey et al.’s (2015) line of argument, the current results suggest that the IRAP is therefore on par with other such measures rather than superior to them</w:t>
      </w:r>
      <w:r w:rsidRPr="00871704">
        <w:t>.</w:t>
      </w:r>
      <w:r w:rsidR="00707292" w:rsidRPr="00871704">
        <w:t xml:space="preserve"> This also brings the average criterion association observed for the IRAP closely in line with the average correlation observed across social and personality psychology </w:t>
      </w:r>
      <w:r w:rsidR="00707292" w:rsidRPr="00871704">
        <w:fldChar w:fldCharType="begin"/>
      </w:r>
      <w:r w:rsidR="00C571EC" w:rsidRPr="00871704">
        <w:instrText xml:space="preserve"> ADDIN ZOTERO_ITEM CSL_CITATION {"citationID":"q50R3onD","properties":{"formattedCitation":"(i.e., around r = .2: Hemphill, 2003; Hussey, 2023; Richard et al., 2003)","plainCitation":"(i.e., around r = .2: Hemphill, 2003; Hussey, 2023; Richard et al., 2003)","noteIndex":0},"citationItems":[{"id":1486,"uris":["http://zotero.org/users/1687755/items/GGUEF98U"],"itemData":{"id":1486,"type":"article-journal","container-title":"American Psychologist","DOI":"10.1037/0003-066X.58.1.78","ISSN":"0003-066X","issue":"1","language":"en","page":"78-79","source":"CrossRef","title":"Interpreting the magnitudes of correlation coefficients","volume":"58","author":[{"family":"Hemphill","given":"James F."}],"issued":{"date-parts":[["2003"]]}},"label":"page","prefix":"i.e., around r = .2: "},{"id":5224,"uris":["http://zotero.org/users/1687755/items/V6AXJF9Q"],"itemData":{"id":5224,"type":"article-journal","abstract":"Following recent calls to examine the replicability of behavioral research, I examined two key determinants of replicability, namely sample sizes and statistical power, in research using the Implicit Relational Assessment Procedure (IRAP).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0.34). At the current rate of growth, the median study will only reach the recommended minimum power of at least 0.80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indeed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needed.","container-title":"Journal of Contextual Behavioral Science","DOI":"10.1016/j.jcbs.2023.06.008","ISSN":"2212-1447","journalAbbreviation":"Journal of Contextual Behavioral Science","page":"86-97","source":"ScienceDirect","title":"A systematic review of null hypothesis significance testing, sample sizes, and statistical power in research using the Implicit Relational Assessment Procedure","volume":"29","author":[{"family":"Hussey","given":"Ian"}],"issued":{"date-parts":[["2023",7,1]]}}},{"id":3749,"uris":["http://zotero.org/users/1687755/items/K2AM5ASV"],"itemData":{"id":3749,"type":"article-journal","container-title":"Review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rsidR="00707292" w:rsidRPr="00871704">
        <w:fldChar w:fldCharType="separate"/>
      </w:r>
      <w:r w:rsidR="00C571EC" w:rsidRPr="00871704">
        <w:rPr>
          <w:noProof/>
        </w:rPr>
        <w:t xml:space="preserve">(i.e., around </w:t>
      </w:r>
      <w:r w:rsidR="00C571EC" w:rsidRPr="00871704">
        <w:rPr>
          <w:i/>
          <w:iCs/>
          <w:noProof/>
        </w:rPr>
        <w:t>r</w:t>
      </w:r>
      <w:r w:rsidR="00C571EC" w:rsidRPr="00871704">
        <w:rPr>
          <w:noProof/>
        </w:rPr>
        <w:t xml:space="preserve"> = .2: Hemphill, 2003; Hussey, 2023; Richard et al., 2003)</w:t>
      </w:r>
      <w:r w:rsidR="00707292" w:rsidRPr="00871704">
        <w:fldChar w:fldCharType="end"/>
      </w:r>
      <w:r w:rsidR="00A7121C" w:rsidRPr="00871704">
        <w:t xml:space="preserve">. </w:t>
      </w:r>
    </w:p>
    <w:p w14:paraId="78195346" w14:textId="77777777" w:rsidR="000B1ABC" w:rsidRPr="00871704" w:rsidRDefault="00000000" w:rsidP="00D77465">
      <w:r w:rsidRPr="00871704">
        <w:t xml:space="preserve">New power analyses </w:t>
      </w:r>
      <w:r w:rsidR="006975DC" w:rsidRPr="00871704">
        <w:t xml:space="preserve">mirroring the original ones were then conducted using this new meta-analytic effect size. These </w:t>
      </w:r>
      <w:r w:rsidRPr="00871704">
        <w:t>suggest</w:t>
      </w:r>
      <w:r w:rsidR="00D3019A" w:rsidRPr="00871704">
        <w:t>ed</w:t>
      </w:r>
      <w:r w:rsidRPr="00871704">
        <w:t xml:space="preserve"> that a much larger number of participants is required</w:t>
      </w:r>
      <w:r w:rsidR="00D3019A" w:rsidRPr="00871704">
        <w:t xml:space="preserve"> </w:t>
      </w:r>
      <w:r w:rsidR="006975DC" w:rsidRPr="00871704">
        <w:t xml:space="preserve">in future IRAP studies </w:t>
      </w:r>
      <w:r w:rsidR="00D3019A" w:rsidRPr="00871704">
        <w:t>than recommended</w:t>
      </w:r>
      <w:r w:rsidR="006975DC" w:rsidRPr="00871704">
        <w:t xml:space="preserve"> by Vahey et al. (2015)</w:t>
      </w:r>
      <w:r w:rsidR="00D3019A" w:rsidRPr="00871704">
        <w:t xml:space="preserve">. For example, </w:t>
      </w:r>
      <w:r w:rsidR="00F055F7" w:rsidRPr="00871704">
        <w:t>although Vahey et al. (2015)</w:t>
      </w:r>
      <w:r w:rsidR="00D3019A" w:rsidRPr="00871704">
        <w:t xml:space="preserve"> </w:t>
      </w:r>
      <w:r w:rsidR="00F055F7" w:rsidRPr="00871704">
        <w:t xml:space="preserve">make sample size recommendations for several different analyses and designs, it is most frequently cited for the specific recommendation of </w:t>
      </w:r>
      <w:r w:rsidR="006975DC" w:rsidRPr="00871704">
        <w:rPr>
          <w:i/>
          <w:iCs/>
        </w:rPr>
        <w:t>N</w:t>
      </w:r>
      <w:r w:rsidR="006975DC" w:rsidRPr="00871704">
        <w:t xml:space="preserve"> &gt; </w:t>
      </w:r>
      <w:r w:rsidR="00D3019A" w:rsidRPr="00871704">
        <w:t>37</w:t>
      </w:r>
      <w:r w:rsidR="00F055F7" w:rsidRPr="00871704">
        <w:t xml:space="preserve"> </w:t>
      </w:r>
      <w:r w:rsidR="006975DC" w:rsidRPr="00871704">
        <w:t xml:space="preserve">to detect a </w:t>
      </w:r>
      <w:r w:rsidR="00D3019A" w:rsidRPr="00871704">
        <w:t>first-order correlation</w:t>
      </w:r>
      <w:r w:rsidR="00F055F7" w:rsidRPr="00871704">
        <w:t xml:space="preserve"> (alpha = 0.5, one-tailed, 80% </w:t>
      </w:r>
      <w:proofErr w:type="gramStart"/>
      <w:r w:rsidR="00F055F7" w:rsidRPr="00871704">
        <w:t>power;</w:t>
      </w:r>
      <w:proofErr w:type="gramEnd"/>
      <w:r w:rsidR="00F055F7" w:rsidRPr="00871704">
        <w:t xml:space="preserve"> e.g., Kavanagh </w:t>
      </w:r>
      <w:r w:rsidR="006D38BA" w:rsidRPr="00871704">
        <w:t>et al. 2022</w:t>
      </w:r>
      <w:r w:rsidR="00F055F7" w:rsidRPr="00871704">
        <w:t>). T</w:t>
      </w:r>
      <w:r w:rsidR="00D3019A" w:rsidRPr="00871704">
        <w:t xml:space="preserve">he </w:t>
      </w:r>
      <w:r w:rsidR="00F055F7" w:rsidRPr="00871704">
        <w:t xml:space="preserve">sample size recommendation based on the updated meta-analytic effect size is </w:t>
      </w:r>
      <w:r w:rsidR="00F055F7" w:rsidRPr="00871704">
        <w:rPr>
          <w:i/>
          <w:iCs/>
        </w:rPr>
        <w:t>N</w:t>
      </w:r>
      <w:r w:rsidR="00F055F7" w:rsidRPr="00871704">
        <w:t xml:space="preserve"> &gt; </w:t>
      </w:r>
      <w:r w:rsidR="00FE6607" w:rsidRPr="00871704">
        <w:t xml:space="preserve">273 for a one-tailed correlation, and 346 for the much more commonly used </w:t>
      </w:r>
      <w:r w:rsidR="007A2826" w:rsidRPr="00871704">
        <w:t xml:space="preserve">and less liberal </w:t>
      </w:r>
      <w:r w:rsidR="00FE6607" w:rsidRPr="00871704">
        <w:t>two-tailed correlation</w:t>
      </w:r>
      <w:r w:rsidR="00F055F7" w:rsidRPr="00871704">
        <w:t xml:space="preserve">. It is worth noting that </w:t>
      </w:r>
      <w:r w:rsidRPr="00871704">
        <w:t xml:space="preserve">between 0% and 2.1% of </w:t>
      </w:r>
      <w:r w:rsidR="00F055F7" w:rsidRPr="00871704">
        <w:t xml:space="preserve">published </w:t>
      </w:r>
      <w:r w:rsidRPr="00871704">
        <w:t xml:space="preserve">original research using the </w:t>
      </w:r>
      <w:r w:rsidR="00F055F7" w:rsidRPr="00871704">
        <w:t xml:space="preserve">IRAP </w:t>
      </w:r>
      <w:r w:rsidR="00270AEF" w:rsidRPr="00871704">
        <w:t xml:space="preserve">has </w:t>
      </w:r>
      <w:r w:rsidR="00F055F7" w:rsidRPr="00871704">
        <w:t xml:space="preserve">included </w:t>
      </w:r>
      <w:r w:rsidRPr="00871704">
        <w:t xml:space="preserve">sample size meeting these </w:t>
      </w:r>
      <w:r w:rsidR="004A2544" w:rsidRPr="00871704">
        <w:t>criteria</w:t>
      </w:r>
      <w:r w:rsidR="00DD32AB" w:rsidRPr="00871704">
        <w:t xml:space="preserve">, according to a recent systematic review of </w:t>
      </w:r>
      <w:r w:rsidR="001B3064" w:rsidRPr="00871704">
        <w:t>IRAP</w:t>
      </w:r>
      <w:r w:rsidR="00DD32AB" w:rsidRPr="00871704">
        <w:t xml:space="preserve"> research </w:t>
      </w:r>
      <w:r w:rsidR="001B3064" w:rsidRPr="00871704">
        <w:t xml:space="preserve">published between 2006 and 2022 </w:t>
      </w:r>
      <w:r w:rsidR="007F77A7" w:rsidRPr="00871704">
        <w:fldChar w:fldCharType="begin"/>
      </w:r>
      <w:r w:rsidR="001B1ED8" w:rsidRPr="00871704">
        <w:instrText xml:space="preserve"> ADDIN ZOTERO_ITEM CSL_CITATION {"citationID":"okLHLOkX","properties":{"formattedCitation":"(188 studies in 150 publications, median N = 41, range = 9 to 210: Hussey, 2023)","plainCitation":"(188 studies in 150 publications, median N = 41, range = 9 to 210: Hussey, 2023)","noteIndex":0},"citationItems":[{"id":5224,"uris":["http://zotero.org/users/1687755/items/V6AXJF9Q"],"itemData":{"id":5224,"type":"article-journal","abstract":"Following recent calls to examine the replicability of behavioral research, I examined two key determinants of replicability, namely sample sizes and statistical power, in research using the Implicit Relational Assessment Procedure (IRAP).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0.34). At the current rate of growth, the median study will only reach the recommended minimum power of at least 0.80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indeed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needed.","container-title":"Journal of Contextual Behavioral Science","DOI":"10.1016/j.jcbs.2023.06.008","ISSN":"2212-1447","journalAbbreviation":"Journal of Contextual Behavioral Science","page":"86-97","source":"ScienceDirect","title":"A systematic review of null hypothesis significance testing, sample sizes, and statistical power in research using the Implicit Relational Assessment Procedure","volume":"29","author":[{"family":"Hussey","given":"Ian"}],"issued":{"date-parts":[["2023",7,1]]}},"label":"page","prefix":"188 studies in 150 publications, median N = 41, range = 9 to 210: "}],"schema":"https://github.com/citation-style-language/schema/raw/master/csl-citation.json"} </w:instrText>
      </w:r>
      <w:r w:rsidR="007F77A7" w:rsidRPr="00871704">
        <w:fldChar w:fldCharType="separate"/>
      </w:r>
      <w:r w:rsidR="001B1ED8" w:rsidRPr="00871704">
        <w:rPr>
          <w:noProof/>
        </w:rPr>
        <w:t xml:space="preserve">(188 studies in 150 publications, median </w:t>
      </w:r>
      <w:r w:rsidR="001B1ED8" w:rsidRPr="00871704">
        <w:rPr>
          <w:i/>
          <w:iCs/>
          <w:noProof/>
        </w:rPr>
        <w:t>N</w:t>
      </w:r>
      <w:r w:rsidR="001B1ED8" w:rsidRPr="00871704">
        <w:rPr>
          <w:noProof/>
        </w:rPr>
        <w:t xml:space="preserve"> = 41, range = 9 to 210: Hussey, 2023)</w:t>
      </w:r>
      <w:r w:rsidR="007F77A7" w:rsidRPr="00871704">
        <w:fldChar w:fldCharType="end"/>
      </w:r>
      <w:r w:rsidR="002D63BA" w:rsidRPr="00871704">
        <w:t>.</w:t>
      </w:r>
      <w:r w:rsidR="00276883" w:rsidRPr="00871704">
        <w:t xml:space="preserve"> </w:t>
      </w:r>
    </w:p>
    <w:p w14:paraId="7E9C94F8" w14:textId="77777777" w:rsidR="00991577" w:rsidRPr="00034410" w:rsidRDefault="00000000" w:rsidP="00D77465">
      <w:r w:rsidRPr="00871704">
        <w:t>With that said, it is important to acknowledge that the primary reason to calculate a new meta-analysis was to illustrate the combined impact of the errors on the results rather than to endorse the results of this new meta-analysis</w:t>
      </w:r>
      <w:r w:rsidR="00372F8A" w:rsidRPr="00871704">
        <w:t xml:space="preserve"> or power analysis</w:t>
      </w:r>
      <w:r w:rsidRPr="00871704">
        <w:t>. In my opinion, Vahey et al.’s (2015) approach of taking different types of effects between the IRAP and other criterion tasks is fundamentally flawed as it combines apples with oranges</w:t>
      </w:r>
      <w:r w:rsidR="00D22F72" w:rsidRPr="00871704">
        <w:t xml:space="preserve"> on multiple </w:t>
      </w:r>
      <w:r w:rsidR="00D22F72" w:rsidRPr="00871704">
        <w:lastRenderedPageBreak/>
        <w:t>different fronts</w:t>
      </w:r>
      <w:r w:rsidRPr="00871704">
        <w:t>. All the following effects were meta-analyzed together: effect sizes representing the magnitude of</w:t>
      </w:r>
      <w:r w:rsidR="00EC2421" w:rsidRPr="00871704">
        <w:t xml:space="preserve"> the compatibility effect on the </w:t>
      </w:r>
      <w:r w:rsidRPr="00871704">
        <w:t>IRAP</w:t>
      </w:r>
      <w:r w:rsidR="00EC2421" w:rsidRPr="00871704">
        <w:t xml:space="preserve"> itself</w:t>
      </w:r>
      <w:r w:rsidR="00D22F72" w:rsidRPr="00871704">
        <w:t>,</w:t>
      </w:r>
      <w:r w:rsidRPr="00871704">
        <w:t xml:space="preserve"> </w:t>
      </w:r>
      <w:r w:rsidR="00EC2421" w:rsidRPr="00871704">
        <w:t>interaction effects between IRAP trial types and group allocations</w:t>
      </w:r>
      <w:r w:rsidR="00D22F72" w:rsidRPr="00871704">
        <w:t>,</w:t>
      </w:r>
      <w:r w:rsidR="00EC2421" w:rsidRPr="00871704">
        <w:t xml:space="preserve"> and correlations between IRAP trial types and criterion tasks. In doing</w:t>
      </w:r>
      <w:r w:rsidR="00EC2421" w:rsidRPr="00034410">
        <w:t xml:space="preserve"> so, different types of IRAP data were combined as one: data from single trial-types, overall effects for the whole task, and effects averaging the trial types in different ways. Lastly, effects treating the IRAP as the dependent variable, the independent variable, and purely associative effects were combined</w:t>
      </w:r>
      <w:r w:rsidR="00AC69B4" w:rsidRPr="00034410">
        <w:t xml:space="preserve"> as one. </w:t>
      </w:r>
      <w:r w:rsidR="00CD0505" w:rsidRPr="00034410">
        <w:t xml:space="preserve">It is exceptionally difficult to know what the resulting meta-analyzed effect size is an estimate </w:t>
      </w:r>
      <w:r w:rsidR="00CD0505" w:rsidRPr="00034410">
        <w:rPr>
          <w:i/>
          <w:iCs/>
        </w:rPr>
        <w:t>of</w:t>
      </w:r>
      <w:r w:rsidR="00CD0505" w:rsidRPr="00034410">
        <w:t>, i.e. what the estimand is</w:t>
      </w:r>
      <w:r w:rsidR="00E35347" w:rsidRPr="00034410">
        <w:t xml:space="preserve">, and whether it applies to the type of effect that a researcher may wish to observe in their own future work. For example, to what degree is the interaction effect between a depression IRAP’s trial types and high vs. low experiential-avoidance group informative to a </w:t>
      </w:r>
      <w:r w:rsidR="00303C97" w:rsidRPr="00034410">
        <w:t xml:space="preserve">separate </w:t>
      </w:r>
      <w:r w:rsidR="00E35347" w:rsidRPr="00034410">
        <w:t xml:space="preserve">study on the correlation between </w:t>
      </w:r>
      <w:r w:rsidR="00303C97" w:rsidRPr="00034410">
        <w:t>self-reported self-esteem and a self-esteem IRAP in a prisoner population?</w:t>
      </w:r>
      <w:r w:rsidR="00F35A2C" w:rsidRPr="00034410">
        <w:t xml:space="preserve"> </w:t>
      </w:r>
      <w:r w:rsidR="00C00461" w:rsidRPr="00034410">
        <w:t>I argue that this apples-with-oranges approach is erroneous and leads to misleading conclusions, but the point of the verifications presented here is to highlight that Vahey et al.’s (2015) erroneous analytic approach was also erroneously implemented.</w:t>
      </w:r>
    </w:p>
    <w:p w14:paraId="580BE78D" w14:textId="77777777" w:rsidR="00A261A9" w:rsidRPr="00034410" w:rsidRDefault="00000000" w:rsidP="00D77465">
      <w:pPr>
        <w:pStyle w:val="Heading2"/>
      </w:pPr>
      <w:r w:rsidRPr="00034410">
        <w:t>Limitations</w:t>
      </w:r>
    </w:p>
    <w:p w14:paraId="5BBEF6FE" w14:textId="77777777" w:rsidR="00991577" w:rsidRDefault="00000000" w:rsidP="00D77465">
      <w:r w:rsidRPr="00034410">
        <w:t xml:space="preserve">It </w:t>
      </w:r>
      <w:r w:rsidR="002760FA" w:rsidRPr="00034410">
        <w:t xml:space="preserve">is possible that </w:t>
      </w:r>
      <w:r w:rsidR="00171EBC" w:rsidRPr="00034410">
        <w:t xml:space="preserve">these verification analyses themselves contain errors. The purpose of a verification report is to attempt to independently verify the results presented in the original article and do not represent the last word on error detection. </w:t>
      </w:r>
      <w:r w:rsidR="00E4650E" w:rsidRPr="00034410">
        <w:t xml:space="preserve">Equally, perhaps there is some way to reproduce the original results (e.g., of the meta-analysis) in a way that I have not considered, and my not being able to reproduce them does not necessarily mean they are non-reproducible in some absolute manner. </w:t>
      </w:r>
      <w:r w:rsidR="005328E2">
        <w:t>V</w:t>
      </w:r>
      <w:r w:rsidR="00D85DD8" w:rsidRPr="00034410">
        <w:t xml:space="preserve">erification attempts </w:t>
      </w:r>
      <w:r w:rsidR="005328E2">
        <w:t xml:space="preserve">are in general enhanced with </w:t>
      </w:r>
      <w:r w:rsidR="00D85DD8" w:rsidRPr="00034410">
        <w:t xml:space="preserve">access to the original code. Unfortunately, however, the first author of the original article declined to share their code. </w:t>
      </w:r>
    </w:p>
    <w:p w14:paraId="06487620" w14:textId="77777777" w:rsidR="00625E20" w:rsidRDefault="00625E20" w:rsidP="003C6E44"/>
    <w:p w14:paraId="48166842" w14:textId="2FD7D664" w:rsidR="00F545F5" w:rsidRPr="001951D7" w:rsidRDefault="00000000" w:rsidP="00D77465">
      <w:pPr>
        <w:pStyle w:val="Heading2"/>
      </w:pPr>
      <w:r w:rsidRPr="001951D7">
        <w:lastRenderedPageBreak/>
        <w:t>Future research on error detection in meta-analyses</w:t>
      </w:r>
    </w:p>
    <w:p w14:paraId="1EAA7ABB" w14:textId="77777777" w:rsidR="00F545F5" w:rsidRPr="001951D7" w:rsidRDefault="00000000" w:rsidP="00D77465">
      <w:r w:rsidRPr="001951D7">
        <w:t xml:space="preserve">The recommendations of much of the previous meta-science research on errors in meta-analyses have been recommendations to the authors of meta-analyses themselves on how to prevent errors </w:t>
      </w:r>
      <w:r w:rsidRPr="001951D7">
        <w:fldChar w:fldCharType="begin"/>
      </w:r>
      <w:r w:rsidRPr="001951D7">
        <w:instrText xml:space="preserve"> ADDIN ZOTERO_ITEM CSL_CITATION {"citationID":"NMi38YbJ","properties":{"formattedCitation":"(e.g., Lakens et al., 2016; L\\uc0\\u243{}pez-Nicol\\uc0\\u225{}s et al., 2022)","plainCitation":"(e.g., Lakens et al., 2016; López-Nicolás et al., 2022)","noteIndex":0},"citationItems":[{"id":393,"uris":["http://zotero.org/users/1687755/items/P27AF84W"],"itemData":{"id":393,"type":"article-journal","abstract":"Meta-analyses play an important role in cumulative science by combining information across multiple studies and attempting to provide effect size estimates corrected for publication bias. Research on the reproducibility of meta-analyses reveals that errors are common, and the percentage of effect size calculations that cannot be reproduced is much higher than is desirable. Furthermore, the flexibility in inclusion criteria when performing a meta-analysis, combined with the many conflicting conclusions drawn by meta-analyses of the same set of studies performed by different researchers, has led some people to doubt whether meta-analyses can provide objective conclusions.","container-title":"BMC Psychology","DOI":"10.1186/s40359-016-0126-3","ISSN":"2050-7283","issue":"1","journalAbbreviation":"BMC Psychol","language":"en","page":"24","source":"Springer Link","title":"On the reproducibility of meta-analyses: six practical recommendations","title-short":"On the reproducibility of meta-analyses","volume":"4","author":[{"family":"Lakens","given":"Daniël"},{"family":"Hilgard","given":"Joe"},{"family":"Staaks","given":"Janneke"}],"issued":{"date-parts":[["2016",5,31]]}},"label":"page","prefix":"e.g., "},{"id":4600,"uris":["http://zotero.org/users/1687755/items/MH7F7IGH"],"itemData":{"id":4600,"type":"article-journal","abstract":"Meta-analysis is a powerful and important tool to synthesize the literature about a research topic. Like other kinds of research, meta-analyses must be reproducible to be compliant with the principles of the scientific method. Furthermore, reproducible meta-analyses can be easily updated with new data and reanalysed applying new and more refined analysis techniques. We attempted to empirically assess the prevalence of transparency and reproducibility-related reporting practices in published meta-analyses from clinical psychology by examining a random sample of 100 meta-analyses. Our purpose was to identify the key points that could be improved, with the aim of providing some recommendations for carrying out reproducible meta-analyses. We conducted a meta-review of meta-analyses of psychological interventions published between 2000 and 2020. We searched PubMed, PsycInfo and Web of Science databases. A structured coding form to assess transparency indicators was created based on previous studies and existing meta-analysis guidelines. We found major issues concerning: completely reproducible search procedures report, specification of the exact method to compute effect sizes, choice of weighting factors and estimators, lack of availability of the raw statistics used to compute the effect size and of interoperability of available data, and practically total absence of analysis script code sharing. Based on our findings, we conclude with recommendations intended to improve the transparency, openness, and reproducibility-related reporting practices of meta-analyses in clinical psychology and related areas.","container-title":"Behavior Research Methods","DOI":"10.3758/s13428-021-01644-z","ISSN":"1554-3528","issue":"1","journalAbbreviation":"Behav Res","language":"en","page":"334-349","source":"Springer Link","title":"A meta-review of transparency and reproducibility-related reporting practices in published meta-analyses on clinical psychological interventions (2000–2020)","volume":"54","author":[{"family":"López-Nicolás","given":"Rubén"},{"family":"López-López","given":"José Antonio"},{"family":"Rubio-Aparicio","given":"María"},{"family":"Sánchez-Meca","given":"Julio"}],"issued":{"date-parts":[["2022",2,1]]}}}],"schema":"https://github.com/citation-style-language/schema/raw/master/csl-citation.json"} </w:instrText>
      </w:r>
      <w:r w:rsidRPr="001951D7">
        <w:fldChar w:fldCharType="separate"/>
      </w:r>
      <w:r w:rsidRPr="001951D7">
        <w:t>(e.g., Lakens et al., 2016; López-Nicolás et al., 2022)</w:t>
      </w:r>
      <w:r w:rsidRPr="001951D7">
        <w:fldChar w:fldCharType="end"/>
      </w:r>
      <w:r w:rsidRPr="001951D7">
        <w:t xml:space="preserve">. Relatively fewer recommendations, or indeed general strategies, have been made for researchers engaged in error detection. Kadlec et al. </w:t>
      </w:r>
      <w:r w:rsidRPr="001951D7">
        <w:fldChar w:fldCharType="begin"/>
      </w:r>
      <w:r w:rsidRPr="001951D7">
        <w:instrText xml:space="preserve"> ADDIN ZOTERO_ITEM CSL_CITATION {"citationID":"4O3TYDeD","properties":{"formattedCitation":"(2023)","plainCitation":"(2023)","noteIndex":0},"citationItems":[{"id":54,"uris":["http://zotero.org/users/1687755/items/WWKVT2EA"],"itemData":{"id":54,"type":"article-journal","abstract":"Meta-analysis and meta-regression are often highly cited and may influence practice. Unfortunately, statistical errors in meta-analyses are widespread and can lead to flawed conclusions. The purpose of this article was to review common statistical errors in meta-analyses and to document their frequency in highly cited meta-analyses from strength and conditioning research.","container-title":"Sports Medicine","DOI":"10.1007/s40279-022-01766-0","ISSN":"1179-2035","issue":"2","journalAbbreviation":"Sports Med","language":"en","page":"313-325","source":"Springer Link","title":"With Great Power Comes Great Responsibility: Common Errors in Meta-Analyses and Meta-Regressions in Strength &amp; Conditioning Research","title-short":"With Great Power Comes Great Responsibility","volume":"53","author":[{"family":"Kadlec","given":"Daniel"},{"family":"Sainani","given":"Kristin L."},{"family":"Nimphius","given":"Sophia"}],"issued":{"date-parts":[["2023",2,1]]}},"label":"page","suppress-author":true}],"schema":"https://github.com/citation-style-language/schema/raw/master/csl-citation.json"} </w:instrText>
      </w:r>
      <w:r w:rsidRPr="001951D7">
        <w:fldChar w:fldCharType="separate"/>
      </w:r>
      <w:r w:rsidRPr="001951D7">
        <w:rPr>
          <w:noProof/>
        </w:rPr>
        <w:t>(2023)</w:t>
      </w:r>
      <w:r w:rsidRPr="001951D7">
        <w:fldChar w:fldCharType="end"/>
      </w:r>
      <w:r w:rsidRPr="001951D7">
        <w:t xml:space="preserve"> provide an excellent example of this, with both descriptions of their general error detection strategies and concrete recommendations such as regarding Standardized Mean Difference effect sizes (e.g., Cohen’s </w:t>
      </w:r>
      <w:r w:rsidRPr="001951D7">
        <w:rPr>
          <w:i/>
          <w:iCs/>
        </w:rPr>
        <w:t>d</w:t>
      </w:r>
      <w:r w:rsidRPr="001951D7">
        <w:t xml:space="preserve">, Hedges’ </w:t>
      </w:r>
      <w:r w:rsidRPr="001951D7">
        <w:rPr>
          <w:i/>
          <w:iCs/>
        </w:rPr>
        <w:t>g</w:t>
      </w:r>
      <w:r w:rsidRPr="001951D7">
        <w:t>) that are larger than 3 with great suspicion. The current research offers some additional suggestions and guiding principles for error detection in meta-analyses:</w:t>
      </w:r>
    </w:p>
    <w:p w14:paraId="0D3307BE" w14:textId="77777777" w:rsidR="00F545F5" w:rsidRDefault="00000000" w:rsidP="00D77465">
      <w:pPr>
        <w:pStyle w:val="ListParagraph"/>
        <w:numPr>
          <w:ilvl w:val="0"/>
          <w:numId w:val="5"/>
        </w:numPr>
      </w:pPr>
      <w:r w:rsidRPr="001951D7">
        <w:t xml:space="preserve">Check whether reported intervals are symmetrical around the point estimate, including both intervals around estimates from original studies and meta-analysis results. The asymmetry of intervals can provide a clue that something may be amiss, depending on their compatibility with the reported model and transformations. </w:t>
      </w:r>
    </w:p>
    <w:p w14:paraId="79BCB326" w14:textId="77777777" w:rsidR="0014779F" w:rsidRPr="001951D7" w:rsidRDefault="00000000" w:rsidP="00D77465">
      <w:pPr>
        <w:pStyle w:val="ListParagraph"/>
        <w:numPr>
          <w:ilvl w:val="0"/>
          <w:numId w:val="5"/>
        </w:numPr>
      </w:pPr>
      <w:r>
        <w:t>Plots that appear to have been created using software other than commonly employed meta-analysis software (e.g., common R packages for this, Cochrane’s RevMan, Comprehensive Meta-Analysis, etc) may be more likely to contain or expose errors</w:t>
      </w:r>
      <w:r w:rsidR="00841B98">
        <w:t xml:space="preserve">. </w:t>
      </w:r>
    </w:p>
    <w:p w14:paraId="5731C2AC" w14:textId="2FA84543" w:rsidR="00F545F5" w:rsidRPr="001951D7" w:rsidRDefault="00000000" w:rsidP="00D77465">
      <w:pPr>
        <w:pStyle w:val="ListParagraph"/>
        <w:numPr>
          <w:ilvl w:val="0"/>
          <w:numId w:val="5"/>
        </w:numPr>
      </w:pPr>
      <w:r>
        <w:t xml:space="preserve">Information is sometimes repeated between plots and tables, e.g., between forest and funnel plots. This provides a vector for </w:t>
      </w:r>
      <w:r w:rsidRPr="001951D7">
        <w:t>error-checking</w:t>
      </w:r>
      <w:r>
        <w:t xml:space="preserve"> that data points which should be identical are indeed so</w:t>
      </w:r>
      <w:r w:rsidRPr="001951D7">
        <w:t xml:space="preserve">. For example, forest plots often present effect sizes both graphically and numerically, and forest plots and funnel plots present both effect sizes and (repressions of) their precision (i.e., Confidence Intervals vs. Standard Errors, which can be calculated from one another: SE = </w:t>
      </w:r>
      <w:r w:rsidR="008B2188">
        <w:t>[</w:t>
      </w:r>
      <w:r w:rsidRPr="001951D7">
        <w:t>95% CI</w:t>
      </w:r>
      <w:r w:rsidR="008B2188">
        <w:t xml:space="preserve"> upper – 95% CI lower] </w:t>
      </w:r>
      <w:r w:rsidRPr="001951D7">
        <w:t xml:space="preserve">/ [1.96 </w:t>
      </w:r>
      <m:oMath>
        <m:r>
          <w:rPr>
            <w:rFonts w:ascii="Cambria Math" w:hAnsi="Cambria Math"/>
          </w:rPr>
          <m:t>×</m:t>
        </m:r>
      </m:oMath>
      <w:r w:rsidRPr="001951D7">
        <w:t xml:space="preserve"> 2]). </w:t>
      </w:r>
    </w:p>
    <w:p w14:paraId="2B0622B8" w14:textId="77777777" w:rsidR="00F545F5" w:rsidRPr="001951D7" w:rsidRDefault="00000000" w:rsidP="00D77465">
      <w:pPr>
        <w:pStyle w:val="ListParagraph"/>
        <w:numPr>
          <w:ilvl w:val="0"/>
          <w:numId w:val="5"/>
        </w:numPr>
      </w:pPr>
      <w:r w:rsidRPr="001951D7">
        <w:lastRenderedPageBreak/>
        <w:t xml:space="preserve">Data can be extracted from plots for error checking using free and Open Source tools such as WebPlotDigitizer </w:t>
      </w:r>
      <w:r w:rsidRPr="001951D7">
        <w:fldChar w:fldCharType="begin"/>
      </w:r>
      <w:r w:rsidRPr="001951D7">
        <w:instrText xml:space="preserve"> ADDIN ZOTERO_ITEM CSL_CITATION {"citationID":"dFNyqE7Z","properties":{"formattedCitation":"(Marin et al., 2017)","plainCitation":"(Marin et al., 2017)","noteIndex":0},"citationItems":[{"id":29148,"uris":["http://zotero.org/users/1687755/items/FHKWFL29"],"itemData":{"id":29148,"type":"article","abstract":"In this contribution, we present WebPlotDigitizer, a polyvalent and free software developed to facilitate easy and accurate data extraction from a variety of plot types. We describe the numerous features of this numerical tool and present its relevance when applied to astrophysical archival research. We exploit WebPlotDigitizer to extract ultraviolet spectropolarimetric spectra from old publications that used the Hubble Space Telescope, Lick Observatory 3m Shane telescope and Astro-2 mission to observe the Seyfert-2 AGN NGC 1068. By doing so, we compile all the existing ultraviolet polarimetric data on NGC 1068 to prepare the ground for further investigations with the future high-resolution spectropolarimeter POLLUX on-board of the proposed Large UV/Optical/Infrared Surveyor (LUVOIR) NASA mission.","note":"arXiv:1708.02025 [astro-ph]","number":"arXiv:1708.02025","publisher":"arXiv","source":"arXiv.org","title":"WebPlotDigitizer, a polyvalent and free software to extract spectra from old astronomical publications: application to ultraviolet spectropolarimetry","title-short":"WebPlotDigitizer, a polyvalent and free software to extract spectra from old astronomical publications","URL":"http://arxiv.org/abs/1708.02025","author":[{"family":"Marin","given":"F."},{"family":"Rohatgi","given":"A."},{"family":"Charlot","given":"S."}],"accessed":{"date-parts":[["2024",8,1]]},"issued":{"date-parts":[["2017",8,7]]}}}],"schema":"https://github.com/citation-style-language/schema/raw/master/csl-citation.json"} </w:instrText>
      </w:r>
      <w:r w:rsidRPr="001951D7">
        <w:fldChar w:fldCharType="separate"/>
      </w:r>
      <w:r w:rsidRPr="001951D7">
        <w:rPr>
          <w:noProof/>
        </w:rPr>
        <w:t>(Marin et al., 2017)</w:t>
      </w:r>
      <w:r w:rsidRPr="001951D7">
        <w:fldChar w:fldCharType="end"/>
      </w:r>
      <w:r w:rsidRPr="001951D7">
        <w:t>.</w:t>
      </w:r>
    </w:p>
    <w:p w14:paraId="256EA557" w14:textId="77777777" w:rsidR="00F545F5" w:rsidRPr="001951D7" w:rsidRDefault="00000000" w:rsidP="00D77465">
      <w:pPr>
        <w:pStyle w:val="ListParagraph"/>
        <w:numPr>
          <w:ilvl w:val="0"/>
          <w:numId w:val="5"/>
        </w:numPr>
      </w:pPr>
      <w:r w:rsidRPr="001951D7">
        <w:t>Systemic checking of effect size extractions and conversion can be time-consuming. However, initial spot checks can easily be performed on the most extreme effect sizes, which are most likely to have involved an extraction or conversion error (e.g., confusing SE with SD: see Kadlec et al., 2023).</w:t>
      </w:r>
    </w:p>
    <w:p w14:paraId="20C9D2CC" w14:textId="77777777" w:rsidR="00F545F5" w:rsidRPr="001951D7" w:rsidRDefault="00000000" w:rsidP="00D77465">
      <w:pPr>
        <w:pStyle w:val="ListParagraph"/>
        <w:numPr>
          <w:ilvl w:val="0"/>
          <w:numId w:val="5"/>
        </w:numPr>
      </w:pPr>
      <w:r>
        <w:t xml:space="preserve">The </w:t>
      </w:r>
      <w:r w:rsidRPr="001951D7">
        <w:t xml:space="preserve">accurate application of the inclusion criteria can also be </w:t>
      </w:r>
      <w:proofErr w:type="gramStart"/>
      <w:r>
        <w:t>checked,</w:t>
      </w:r>
      <w:proofErr w:type="gramEnd"/>
      <w:r>
        <w:t xml:space="preserve"> whether systematically or using spot checks</w:t>
      </w:r>
      <w:r w:rsidRPr="001951D7">
        <w:t xml:space="preserve">. This can include checks for </w:t>
      </w:r>
      <w:r w:rsidR="00954644">
        <w:t xml:space="preserve">both </w:t>
      </w:r>
      <w:r w:rsidRPr="001951D7">
        <w:t>incorrect inclusions and incorrect omissions.</w:t>
      </w:r>
    </w:p>
    <w:p w14:paraId="79A8ADEE" w14:textId="77777777" w:rsidR="00F545F5" w:rsidRPr="001951D7" w:rsidRDefault="00000000" w:rsidP="00D77465">
      <w:pPr>
        <w:pStyle w:val="ListParagraph"/>
        <w:numPr>
          <w:ilvl w:val="0"/>
          <w:numId w:val="5"/>
        </w:numPr>
      </w:pPr>
      <w:r w:rsidRPr="001951D7">
        <w:t xml:space="preserve">The normative plausibility and mathematical possibility of correlations can be assessed by deattenuating them for the reliability of the measures that produced them. This can be done using empirical estimates for those measures or plausible values </w:t>
      </w:r>
      <w:r w:rsidRPr="001951D7">
        <w:fldChar w:fldCharType="begin"/>
      </w:r>
      <w:r w:rsidRPr="001951D7">
        <w:instrText xml:space="preserve"> ADDIN ZOTERO_ITEM CSL_CITATION {"citationID":"mqMp8xws","properties":{"formattedCitation":"(which can themselves be informed by data from the literature: Hussey et al., 2023)","plainCitation":"(which can themselves be informed by data from the literature: Hussey et al., 2023)","noteIndex":0},"citationItems":[{"id":183,"uris":["http://zotero.org/users/1687755/items/TPC7BSXD"],"itemData":{"id":183,"type":"article","abstract":"Cronbach’s alpha (α) is the most widely reported metric of the reliability of psychological measures. Decisions about an observed α’s adequacy are often made using rule-of-thumb thresholds, such as α of at least .70. Such thresholds can put pressure on researchers to make their measures meet these criteria, similar to the pressure to meet the significance threshold with p values. We examined whether α values reported in the literature are inflated at the rule-of-thumb thresholds (α = .70, .80, .90), due to, for example, overfitting to in-sample data (α-hacking) or publication bias. We extracted reported α values from two very large literatures covering general psychology (&gt;30,000 α values taken from &gt;74,000 published articles in APA journals) and Industrial and Organizational psychology (&gt;89,000 α values taken from &gt;14,000 published articles in I/O journals). The distributions of these values show inflation at the rule-of-thumb thresholds. We discuss the scope, causes and consequences of α-hacking and how increased transparency, preregistration of measurement strategy, and standardized protocols could mitigate this problem. Code and data available at osf.io/pe3t7. Supplementary materials at osf.io/5xzy4.","DOI":"10.31234/osf.io/dm8xn","language":"en-us","publisher":"PsyArXiv","source":"OSF Preprints","title":"An aberrant abundance of Cronbach’s alpha values at .70","URL":"https://psyarxiv.com/dm8xn/","author":[{"family":"Hussey","given":"Ian"},{"family":"Alsalti","given":"Taym"},{"family":"Bosco","given":"Frank"},{"family":"Elson","given":"Malte"},{"family":"Arslan","given":"Ruben C."}],"accessed":{"date-parts":[["2023",2,5]]},"issued":{"date-parts":[["2023",2,3]]}},"label":"page","prefix":"which can themselves be informed by data from the literature: "}],"schema":"https://github.com/citation-style-language/schema/raw/master/csl-citation.json"} </w:instrText>
      </w:r>
      <w:r w:rsidRPr="001951D7">
        <w:fldChar w:fldCharType="separate"/>
      </w:r>
      <w:r w:rsidRPr="001951D7">
        <w:rPr>
          <w:noProof/>
        </w:rPr>
        <w:t>(which can themselves be informed by data from the literature: Hussey et al., 2023)</w:t>
      </w:r>
      <w:r w:rsidRPr="001951D7">
        <w:fldChar w:fldCharType="end"/>
      </w:r>
      <w:r w:rsidRPr="001951D7">
        <w:t xml:space="preserve">. Correlations larger than the reliability of the component measures are implausible. </w:t>
      </w:r>
    </w:p>
    <w:p w14:paraId="57256AC9" w14:textId="77777777" w:rsidR="00F545F5" w:rsidRPr="001951D7" w:rsidRDefault="00000000" w:rsidP="00D77465">
      <w:pPr>
        <w:pStyle w:val="ListParagraph"/>
        <w:numPr>
          <w:ilvl w:val="0"/>
          <w:numId w:val="5"/>
        </w:numPr>
      </w:pPr>
      <w:r w:rsidRPr="001951D7">
        <w:t xml:space="preserve">The normative plausibility of effect sizes, both original and meta-analytic, can also be compared to large-scale analyses of this in the literature </w:t>
      </w:r>
      <w:r w:rsidRPr="001951D7">
        <w:fldChar w:fldCharType="begin"/>
      </w:r>
      <w:r w:rsidRPr="001951D7">
        <w:instrText xml:space="preserve"> ADDIN ZOTERO_ITEM CSL_CITATION {"citationID":"l2XoFgm5","properties":{"formattedCitation":"(e.g., Hemphill, 2003; Plessen et al., 2023; Richard et al., 2003)","plainCitation":"(e.g., Hemphill, 2003; Plessen et al., 2023; Richard et al., 2003)","noteIndex":0},"citationItems":[{"id":1486,"uris":["http://zotero.org/users/1687755/items/GGUEF98U"],"itemData":{"id":1486,"type":"article-journal","container-title":"American Psychologist","DOI":"10.1037/0003-066X.58.1.78","ISSN":"0003-066X","issue":"1","language":"en","page":"78-79","source":"CrossRef","title":"Interpreting the magnitudes of correlation coefficients","volume":"58","author":[{"family":"Hemphill","given":"James F."}],"issued":{"date-parts":[["2003"]]}},"label":"page","prefix":"e.g., "},{"id":27946,"uris":["http://zotero.org/users/1687755/items/T8TQCC5P"],"itemData":{"id":27946,"type":"article-journal","abstract":"Background Hundreds of randomised controlled trials and dozens of meta-analyses have examined psychotherapies for depression—yet not all points in the same direction. Are these discrepancies a result of specific meta-analytical decisions or do most analytical strategies reaching the same conclusion?\nObjective We aim to solve these discrepancies by conducting a multiverse meta-analysis containing all possible meta-analyses, using all statistical methods.\nStudy selection and analysis We searched four bibliographical databases (PubMed, EMBASE, PsycINFO and Cochrane Register of Controlled Trials), including studies published until 1 January 2022. We included all randomised controlled trials comparing psychotherapies with control conditions without restricting the type of psychotherapy, target group, intervention format, control condition and diagnosis. We defined all possible meta-analyses emerging from combinations of these inclusion criteria and estimated the resulting pooled effect sizes with fixed-effect, random-effects, 3-level, robust variance estimation, p-uniform and PET-PEESE (precision-effect test and precision-effect estimate with SE) meta-analysis models. This study was preregistered (https://doi.org/10.1136/bmjopen-2021-050197).\nFindings A total of 21 563 records were screened, and 3584 full texts were retrieved; 415 studies met our inclusion criteria containing 1206 effect sizes and 71 454 participants. Based on all possible combinations between inclusion criteria and meta-analytical methods, we calculated 4281 meta-analyses. The average summary effect size for these meta-analyses was Hedges’ g mean=0.56, a medium effect size, and ranged from g=</w:instrText>
      </w:r>
      <w:r w:rsidRPr="001951D7">
        <w:rPr>
          <w:rFonts w:ascii="Cambria Math" w:hAnsi="Cambria Math" w:cs="Cambria Math"/>
        </w:rPr>
        <w:instrText>−</w:instrText>
      </w:r>
      <w:r w:rsidRPr="001951D7">
        <w:instrText xml:space="preserve">0.66 to 2.51. In total, 90% of these meta-analyses reached a clinically relevant magnitude.\nConclusions and Clinical Implications The multiverse meta-analysis revealed the overall robustness of the effectiveness of psychotherapies for depression. Notably, meta-analyses that included studies with a high risk of bias, compared the intervention with wait-list control groups, and not correcting for publication bias produced larger effect sizes.","container-title":"BMJ Ment Health","DOI":"10.1136/bmjment-2022-300626","ISSN":"2755-9734","issue":"1","language":"en","license":"© Author(s) (or their employer(s)) 2023. Re-use permitted under CC BY. Published by BMJ.. https://creativecommons.org/licenses/by/4.0/This is an open access article distributed in accordance with the Creative Commons Attribution 4.0 Unported (CC BY 4.0) license, which permits others to copy, redistribute, remix, transform and build upon this work for any purpose, provided the original work is properly cited, a link to the licence is given, and indication of whether changes were made. See: https://creativecommons.org/licenses/by/4.0/.","note":"publisher: Royal College of Psychiatrists\nsection: Psychotherapies\nPMID: 36914209","source":"mentalhealth.bmj.com","title":"Exploring the efficacy of psychotherapies for depression: a multiverse meta-analysis","title-short":"Exploring the efficacy of psychotherapies for depression","URL":"https://mentalhealth.bmj.com/content/26/1/e300626","volume":"26","author":[{"family":"Plessen","given":"Constantin Yves"},{"family":"Karyotaki","given":"Eirini"},{"family":"Miguel","given":"Clara"},{"family":"Ciharova","given":"Marketa"},{"family":"Cuijpers","given":"Pim"}],"accessed":{"date-parts":[["2024",5,21]]},"issued":{"date-parts":[["2023",2,1]]}}},{"id":3749,"uris":["http://zotero.org/users/1687755/items/K2AM5ASV"],"itemData":{"id":3749,"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rsidRPr="001951D7">
        <w:fldChar w:fldCharType="separate"/>
      </w:r>
      <w:r w:rsidRPr="001951D7">
        <w:rPr>
          <w:noProof/>
        </w:rPr>
        <w:t>(e.g., Hemphill, 2003; Plessen et al., 2023; Richard et al., 2003)</w:t>
      </w:r>
      <w:r w:rsidRPr="001951D7">
        <w:fldChar w:fldCharType="end"/>
      </w:r>
      <w:r w:rsidRPr="001951D7">
        <w:t>.</w:t>
      </w:r>
    </w:p>
    <w:p w14:paraId="517E8D71" w14:textId="77777777" w:rsidR="00A75400" w:rsidRDefault="00000000" w:rsidP="00D77465">
      <w:pPr>
        <w:pStyle w:val="ListParagraph"/>
        <w:numPr>
          <w:ilvl w:val="0"/>
          <w:numId w:val="5"/>
        </w:numPr>
      </w:pPr>
      <w:r w:rsidRPr="001951D7">
        <w:t xml:space="preserve">Bias assessments can also be scrutinized. This can include an assessment of over-claiming via incorrect interpretations of non-significant tests for bias. </w:t>
      </w:r>
    </w:p>
    <w:p w14:paraId="7F04FB84" w14:textId="77777777" w:rsidR="00F545F5" w:rsidRPr="001951D7" w:rsidRDefault="00000000" w:rsidP="00D77465">
      <w:pPr>
        <w:pStyle w:val="ListParagraph"/>
        <w:numPr>
          <w:ilvl w:val="0"/>
          <w:numId w:val="5"/>
        </w:numPr>
      </w:pPr>
      <w:r w:rsidRPr="001951D7">
        <w:t>Additionally, it can be useful to assess the overlap in authorship between the meta-analysis and the original studies</w:t>
      </w:r>
      <w:r w:rsidR="00A75400">
        <w:t xml:space="preserve"> </w:t>
      </w:r>
      <w:proofErr w:type="gramStart"/>
      <w:r w:rsidR="00A75400">
        <w:t>in order to</w:t>
      </w:r>
      <w:proofErr w:type="gramEnd"/>
      <w:r w:rsidR="00A75400">
        <w:t xml:space="preserve"> understand potential sources of bias, including but not limited to contextualizing the results of any quantitative tests of publication bias or </w:t>
      </w:r>
      <w:r w:rsidR="00A75400" w:rsidRPr="00A75400">
        <w:rPr>
          <w:i/>
          <w:iCs/>
        </w:rPr>
        <w:t>p</w:t>
      </w:r>
      <w:r w:rsidR="00A75400">
        <w:t>-hacking</w:t>
      </w:r>
      <w:r w:rsidR="00CD1F5D">
        <w:t xml:space="preserve">. </w:t>
      </w:r>
      <w:r w:rsidRPr="001951D7">
        <w:t xml:space="preserve"> </w:t>
      </w:r>
    </w:p>
    <w:p w14:paraId="00FDC37C" w14:textId="77777777" w:rsidR="00625E20" w:rsidRDefault="00625E20" w:rsidP="003C6E44"/>
    <w:p w14:paraId="362137D7" w14:textId="77777777" w:rsidR="00625E20" w:rsidRDefault="00625E20" w:rsidP="003C6E44"/>
    <w:p w14:paraId="7D32047D" w14:textId="22411722" w:rsidR="00C9290D" w:rsidRPr="00034410" w:rsidRDefault="00000000" w:rsidP="00D77465">
      <w:pPr>
        <w:pStyle w:val="Heading2"/>
      </w:pPr>
      <w:r w:rsidRPr="00034410">
        <w:lastRenderedPageBreak/>
        <w:t>Conclusions</w:t>
      </w:r>
    </w:p>
    <w:p w14:paraId="02E33443" w14:textId="77777777" w:rsidR="00167923" w:rsidRDefault="00000000" w:rsidP="00D77465">
      <w:r w:rsidRPr="00034410">
        <w:t>The results of Vahey et al. (2015) were found to have poor reproducibility at almost every stage of their analytic strategy</w:t>
      </w:r>
      <w:r w:rsidR="0046744E" w:rsidRPr="00034410">
        <w:t xml:space="preserve">. In </w:t>
      </w:r>
      <w:r w:rsidR="0064245C" w:rsidRPr="00034410">
        <w:t>aggregate</w:t>
      </w:r>
      <w:r w:rsidR="0046744E" w:rsidRPr="00034410">
        <w:t xml:space="preserve">, these </w:t>
      </w:r>
      <w:r w:rsidRPr="00034410">
        <w:t>seriously undermin</w:t>
      </w:r>
      <w:r w:rsidR="0004452B" w:rsidRPr="00034410">
        <w:t xml:space="preserve">e </w:t>
      </w:r>
      <w:r w:rsidRPr="00034410">
        <w:t xml:space="preserve">the credibility and utility of </w:t>
      </w:r>
      <w:r w:rsidR="0004452B" w:rsidRPr="00034410">
        <w:t xml:space="preserve">the </w:t>
      </w:r>
      <w:r w:rsidRPr="00034410">
        <w:t>conclusions and recommendations</w:t>
      </w:r>
      <w:r w:rsidR="0004452B" w:rsidRPr="00034410">
        <w:t xml:space="preserve"> of the original article</w:t>
      </w:r>
      <w:r w:rsidRPr="00034410">
        <w:t>.</w:t>
      </w:r>
      <w:r w:rsidR="00847B13" w:rsidRPr="00034410">
        <w:t xml:space="preserve"> </w:t>
      </w:r>
      <w:r w:rsidR="002B6F51">
        <w:t>Recalculated results suggest that the meta-effect size was less than half the original result</w:t>
      </w:r>
      <w:r w:rsidR="000973EE">
        <w:t xml:space="preserve"> (</w:t>
      </w:r>
      <m:oMath>
        <m:acc>
          <m:accPr>
            <m:chr m:val="̅"/>
            <m:ctrlPr>
              <w:rPr>
                <w:rFonts w:ascii="Cambria Math" w:hAnsi="Cambria Math"/>
              </w:rPr>
            </m:ctrlPr>
          </m:accPr>
          <m:e>
            <m:r>
              <w:rPr>
                <w:rFonts w:ascii="Cambria Math" w:hAnsi="Cambria Math"/>
              </w:rPr>
              <m:t>r</m:t>
            </m:r>
          </m:e>
        </m:acc>
      </m:oMath>
      <w:r w:rsidR="000973EE" w:rsidRPr="000973EE">
        <w:t xml:space="preserve"> = .45</w:t>
      </w:r>
      <w:r w:rsidR="000973EE">
        <w:t xml:space="preserve"> vs. </w:t>
      </w:r>
      <w:r w:rsidR="000973EE" w:rsidRPr="00043D43">
        <w:t>.</w:t>
      </w:r>
      <w:r w:rsidR="000973EE">
        <w:t>22)</w:t>
      </w:r>
      <w:r w:rsidR="002B6F51">
        <w:t xml:space="preserve">, and sample size </w:t>
      </w:r>
      <w:r w:rsidR="002B6F51" w:rsidRPr="00CC276E">
        <w:t>recommendations were more than 15 times as large</w:t>
      </w:r>
      <w:r w:rsidR="000973EE" w:rsidRPr="00CC276E">
        <w:t xml:space="preserve"> (minimum </w:t>
      </w:r>
      <w:r w:rsidR="000973EE" w:rsidRPr="00CC276E">
        <w:rPr>
          <w:i/>
          <w:iCs/>
        </w:rPr>
        <w:t>N</w:t>
      </w:r>
      <w:r w:rsidR="000973EE" w:rsidRPr="00CC276E">
        <w:t xml:space="preserve"> = 37 vs. </w:t>
      </w:r>
      <w:r w:rsidR="00FC2759" w:rsidRPr="00CC276E">
        <w:t>346</w:t>
      </w:r>
      <w:r w:rsidR="000973EE" w:rsidRPr="00CC276E">
        <w:t>)</w:t>
      </w:r>
      <w:r w:rsidR="002B6F51" w:rsidRPr="00CC276E">
        <w:t>. Vahey</w:t>
      </w:r>
      <w:r w:rsidR="002B6F51" w:rsidRPr="00034410">
        <w:t xml:space="preserve"> et al. (2015) may therefore require substantial correction</w:t>
      </w:r>
      <w:r w:rsidR="000973EE">
        <w:t>, and researchers should not use it for sample size planning.</w:t>
      </w:r>
    </w:p>
    <w:p w14:paraId="7629D538" w14:textId="77777777" w:rsidR="00F858D0" w:rsidRDefault="00F858D0">
      <w:pPr>
        <w:spacing w:line="240" w:lineRule="auto"/>
        <w:ind w:firstLine="0"/>
        <w:rPr>
          <w:b/>
          <w:bCs/>
        </w:rPr>
      </w:pPr>
      <w:r>
        <w:br w:type="page"/>
      </w:r>
    </w:p>
    <w:p w14:paraId="68325D5A" w14:textId="79E8E1C2" w:rsidR="00167923" w:rsidRDefault="00000000" w:rsidP="00D77465">
      <w:pPr>
        <w:pStyle w:val="Heading1"/>
      </w:pPr>
      <w:r w:rsidRPr="00034410">
        <w:lastRenderedPageBreak/>
        <w:t>References</w:t>
      </w:r>
    </w:p>
    <w:p w14:paraId="5F1F7563" w14:textId="77777777" w:rsidR="001A582F" w:rsidRPr="001A582F" w:rsidRDefault="00000000" w:rsidP="00F858D0">
      <w:pPr>
        <w:pStyle w:val="Bibliography"/>
        <w:ind w:left="720" w:hanging="720"/>
      </w:pPr>
      <w:r>
        <w:fldChar w:fldCharType="begin"/>
      </w:r>
      <w:r w:rsidR="002D1BB7">
        <w:instrText xml:space="preserve"> ADDIN ZOTERO_BIBL {"uncited":[],"omitted":[],"custom":[]} CSL_BIBLIOGRAPHY </w:instrText>
      </w:r>
      <w:r>
        <w:fldChar w:fldCharType="separate"/>
      </w:r>
      <w:r w:rsidR="001A582F" w:rsidRPr="001A582F">
        <w:t xml:space="preserve">Aczel, B., Palfi, B., Szollosi, A., Kovacs, M., Szaszi, B., Szecsi, P., Zrubka, M., Gronau, Q. F., van den Bergh, D., &amp; Wagenmakers, E.-J. (2018). Quantifying Support for the Null Hypothesis in Psychology: An Empirical Investigation. </w:t>
      </w:r>
      <w:r w:rsidR="001A582F" w:rsidRPr="001A582F">
        <w:rPr>
          <w:i/>
          <w:iCs/>
        </w:rPr>
        <w:t>Advances in Methods and Practices in Psychological Science</w:t>
      </w:r>
      <w:r w:rsidR="001A582F" w:rsidRPr="001A582F">
        <w:t xml:space="preserve">, </w:t>
      </w:r>
      <w:r w:rsidR="001A582F" w:rsidRPr="001A582F">
        <w:rPr>
          <w:i/>
          <w:iCs/>
        </w:rPr>
        <w:t>1</w:t>
      </w:r>
      <w:r w:rsidR="001A582F" w:rsidRPr="001A582F">
        <w:t>(3), 357–366. https://doi.org/10.1177/2515245918773742</w:t>
      </w:r>
    </w:p>
    <w:p w14:paraId="54E72EA1" w14:textId="77777777" w:rsidR="001A582F" w:rsidRPr="001A582F" w:rsidRDefault="001A582F" w:rsidP="00F858D0">
      <w:pPr>
        <w:pStyle w:val="Bibliography"/>
        <w:ind w:left="720" w:hanging="720"/>
      </w:pPr>
      <w:r w:rsidRPr="001A582F">
        <w:t xml:space="preserve">Allen, M. J., &amp; Yen, W. M. (2002). </w:t>
      </w:r>
      <w:r w:rsidRPr="001A582F">
        <w:rPr>
          <w:i/>
          <w:iCs/>
        </w:rPr>
        <w:t>Introduction to measurement theory</w:t>
      </w:r>
      <w:r w:rsidRPr="001A582F">
        <w:t>. Waveland Press.</w:t>
      </w:r>
    </w:p>
    <w:p w14:paraId="43F4C442" w14:textId="77777777" w:rsidR="001A582F" w:rsidRPr="001A582F" w:rsidRDefault="001A582F" w:rsidP="00F858D0">
      <w:pPr>
        <w:pStyle w:val="Bibliography"/>
        <w:ind w:left="720" w:hanging="720"/>
      </w:pPr>
      <w:r w:rsidRPr="001A582F">
        <w:t xml:space="preserve">American Psychological Association. (2024). </w:t>
      </w:r>
      <w:r w:rsidRPr="001A582F">
        <w:rPr>
          <w:i/>
          <w:iCs/>
        </w:rPr>
        <w:t>APA Dictionary of Psychology</w:t>
      </w:r>
      <w:r w:rsidRPr="001A582F">
        <w:t>. https://dictionary.apa.org/criterion-validity</w:t>
      </w:r>
    </w:p>
    <w:p w14:paraId="2019F5CA" w14:textId="77777777" w:rsidR="001A582F" w:rsidRPr="001A582F" w:rsidRDefault="001A582F" w:rsidP="00F858D0">
      <w:pPr>
        <w:pStyle w:val="Bibliography"/>
        <w:ind w:left="720" w:hanging="720"/>
      </w:pPr>
      <w:r w:rsidRPr="001A582F">
        <w:t xml:space="preserve">Barnes-Holmes, D., Barnes-Holmes, Y., Power, P., Hayden, E., Milne, R., &amp; Stewart, I. (2006). Do you really know what you believe? Developing the Implicit Relational Assessment Procedure (IRAP) as a direct measure of implicit beliefs. </w:t>
      </w:r>
      <w:r w:rsidRPr="001A582F">
        <w:rPr>
          <w:i/>
          <w:iCs/>
        </w:rPr>
        <w:t>The Irish Psychologist</w:t>
      </w:r>
      <w:r w:rsidRPr="001A582F">
        <w:t xml:space="preserve">, </w:t>
      </w:r>
      <w:r w:rsidRPr="001A582F">
        <w:rPr>
          <w:i/>
          <w:iCs/>
        </w:rPr>
        <w:t>32</w:t>
      </w:r>
      <w:r w:rsidRPr="001A582F">
        <w:t>(7), 169–177.</w:t>
      </w:r>
    </w:p>
    <w:p w14:paraId="1EF709BF" w14:textId="77777777" w:rsidR="001A582F" w:rsidRPr="001A582F" w:rsidRDefault="001A582F" w:rsidP="00F858D0">
      <w:pPr>
        <w:pStyle w:val="Bibliography"/>
        <w:ind w:left="720" w:hanging="720"/>
      </w:pPr>
      <w:r w:rsidRPr="001A582F">
        <w:t xml:space="preserve">Barnes-Holmes, D., Barnes-Holmes, Y., Stewart, I., &amp; Boles, S. (2010). A sketch of the Implicit Relational Assessment Procedure (IRAP) and the Relational Elaboration and Coherence (REC) model. </w:t>
      </w:r>
      <w:r w:rsidRPr="001A582F">
        <w:rPr>
          <w:i/>
          <w:iCs/>
        </w:rPr>
        <w:t>The Psychological Record</w:t>
      </w:r>
      <w:r w:rsidRPr="001A582F">
        <w:t xml:space="preserve">, </w:t>
      </w:r>
      <w:r w:rsidRPr="001A582F">
        <w:rPr>
          <w:i/>
          <w:iCs/>
        </w:rPr>
        <w:t>60</w:t>
      </w:r>
      <w:r w:rsidRPr="001A582F">
        <w:t>(3), 527–542. https://doi.org/10.1007/BF03395726</w:t>
      </w:r>
    </w:p>
    <w:p w14:paraId="063DA32E" w14:textId="77777777" w:rsidR="001A582F" w:rsidRPr="001A582F" w:rsidRDefault="001A582F" w:rsidP="00F858D0">
      <w:pPr>
        <w:pStyle w:val="Bibliography"/>
        <w:ind w:left="720" w:hanging="720"/>
      </w:pPr>
      <w:r w:rsidRPr="001A582F">
        <w:t xml:space="preserve">Barnes-Holmes, D., &amp; Harte, C. (2022a). The IRAP as a Measure of Implicit Cognition: A Case of Frankenstein’s Monster. </w:t>
      </w:r>
      <w:r w:rsidRPr="001A582F">
        <w:rPr>
          <w:i/>
          <w:iCs/>
        </w:rPr>
        <w:t>Perspectives on Behavior Science</w:t>
      </w:r>
      <w:r w:rsidRPr="001A582F">
        <w:t>. https://doi.org/10.1007/s40614-022-00352-z</w:t>
      </w:r>
    </w:p>
    <w:p w14:paraId="05A9D76F" w14:textId="77777777" w:rsidR="001A582F" w:rsidRPr="001A582F" w:rsidRDefault="001A582F" w:rsidP="00F858D0">
      <w:pPr>
        <w:pStyle w:val="Bibliography"/>
        <w:ind w:left="720" w:hanging="720"/>
      </w:pPr>
      <w:r w:rsidRPr="001A582F">
        <w:t xml:space="preserve">Barnes-Holmes, D., &amp; Harte, C. (2022b). Relational frame theory 20 years on: The Odysseus voyage and beyond. In </w:t>
      </w:r>
      <w:r w:rsidRPr="001A582F">
        <w:rPr>
          <w:i/>
          <w:iCs/>
        </w:rPr>
        <w:t>Journal of the Experimental Analysis of Behavior</w:t>
      </w:r>
      <w:r w:rsidRPr="001A582F">
        <w:t xml:space="preserve"> (Vol. 117, Issue 2, pp. 240–266). WILEY. https://doi.org/10.1002/jeab.733</w:t>
      </w:r>
    </w:p>
    <w:p w14:paraId="5FBA67E2" w14:textId="77777777" w:rsidR="001A582F" w:rsidRPr="001A582F" w:rsidRDefault="001A582F" w:rsidP="00F858D0">
      <w:pPr>
        <w:pStyle w:val="Bibliography"/>
        <w:ind w:left="720" w:hanging="720"/>
      </w:pPr>
      <w:r w:rsidRPr="001A582F">
        <w:t xml:space="preserve">Bast, D. F., &amp; Barnes-Holmes, D. (2015). Developing the Implicit Relational Assessment Procedure (IRAP) as a Measure of Self-Forgiveness Related to Failing and </w:t>
      </w:r>
      <w:r w:rsidRPr="001A582F">
        <w:lastRenderedPageBreak/>
        <w:t xml:space="preserve">Succeeding Behaviors. </w:t>
      </w:r>
      <w:r w:rsidRPr="001A582F">
        <w:rPr>
          <w:i/>
          <w:iCs/>
        </w:rPr>
        <w:t>The Psychological Record</w:t>
      </w:r>
      <w:r w:rsidRPr="001A582F">
        <w:t xml:space="preserve">, </w:t>
      </w:r>
      <w:r w:rsidRPr="001A582F">
        <w:rPr>
          <w:i/>
          <w:iCs/>
        </w:rPr>
        <w:t>65</w:t>
      </w:r>
      <w:r w:rsidRPr="001A582F">
        <w:t>(1), 189–201. https://doi.org/10.1007/s40732-014-0100-5</w:t>
      </w:r>
    </w:p>
    <w:p w14:paraId="0D30298A" w14:textId="77777777" w:rsidR="001A582F" w:rsidRPr="001A582F" w:rsidRDefault="001A582F" w:rsidP="00F858D0">
      <w:pPr>
        <w:pStyle w:val="Bibliography"/>
        <w:ind w:left="720" w:hanging="720"/>
      </w:pPr>
      <w:r w:rsidRPr="001A582F">
        <w:t xml:space="preserve">Carpenter, K. M., Martinez, D., Vadhan, N. P., Barnes-Holmes, D., &amp; Nunes, E. V. (2012). Measures of Attentional Bias and Relational Responding Are Associated with Behavioral Treatment Outcome for Cocaine Dependence. </w:t>
      </w:r>
      <w:r w:rsidRPr="001A582F">
        <w:rPr>
          <w:i/>
          <w:iCs/>
        </w:rPr>
        <w:t>The American Journal of Drug and Alcohol Abuse</w:t>
      </w:r>
      <w:r w:rsidRPr="001A582F">
        <w:t xml:space="preserve">, </w:t>
      </w:r>
      <w:r w:rsidRPr="001A582F">
        <w:rPr>
          <w:i/>
          <w:iCs/>
        </w:rPr>
        <w:t>38</w:t>
      </w:r>
      <w:r w:rsidRPr="001A582F">
        <w:t>(2), 146–154. https://doi.org/10.3109/00952990.2011.643986</w:t>
      </w:r>
    </w:p>
    <w:p w14:paraId="0BB63DD8" w14:textId="77777777" w:rsidR="001A582F" w:rsidRPr="001A582F" w:rsidRDefault="001A582F" w:rsidP="00F858D0">
      <w:pPr>
        <w:pStyle w:val="Bibliography"/>
        <w:ind w:left="720" w:hanging="720"/>
      </w:pPr>
      <w:r w:rsidRPr="001A582F">
        <w:t xml:space="preserve">Champely, S. (2016). </w:t>
      </w:r>
      <w:r w:rsidRPr="001A582F">
        <w:rPr>
          <w:i/>
          <w:iCs/>
        </w:rPr>
        <w:t>pwr: Basic Functions for Power Analysis</w:t>
      </w:r>
      <w:r w:rsidRPr="001A582F">
        <w:t xml:space="preserve"> [Computer software]. https://CRAN.R-project.org/package=pwr</w:t>
      </w:r>
    </w:p>
    <w:p w14:paraId="696F4F79" w14:textId="77777777" w:rsidR="001A582F" w:rsidRPr="001A582F" w:rsidRDefault="001A582F" w:rsidP="00F858D0">
      <w:pPr>
        <w:pStyle w:val="Bibliography"/>
        <w:ind w:left="720" w:hanging="720"/>
      </w:pPr>
      <w:r w:rsidRPr="001A582F">
        <w:t xml:space="preserve">Corneille, O., &amp; Hütter, M. (2020). Implicit? What Do You Mean? A Comprehensive Review of the Delusive Implicitness Construct in Attitude Research. </w:t>
      </w:r>
      <w:r w:rsidRPr="001A582F">
        <w:rPr>
          <w:i/>
          <w:iCs/>
        </w:rPr>
        <w:t>Personality and Social Psychology Review</w:t>
      </w:r>
      <w:r w:rsidRPr="001A582F">
        <w:t>, 1088868320911325. https://doi.org/10.1177/1088868320911325</w:t>
      </w:r>
    </w:p>
    <w:p w14:paraId="6E48C426" w14:textId="77777777" w:rsidR="001A582F" w:rsidRPr="001A582F" w:rsidRDefault="001A582F" w:rsidP="00F858D0">
      <w:pPr>
        <w:pStyle w:val="Bibliography"/>
        <w:ind w:left="720" w:hanging="720"/>
      </w:pPr>
      <w:r w:rsidRPr="001A582F">
        <w:t xml:space="preserve">Dawson, D. L., Barnes-Holmes, D., Gresswell, D. M., Hart, A. J., &amp; Gore, N. J. (2009). Assessing the implicit beliefs of sexual offenders using the Implicit Relational Assessment Procedure: A first study. </w:t>
      </w:r>
      <w:r w:rsidRPr="001A582F">
        <w:rPr>
          <w:i/>
          <w:iCs/>
        </w:rPr>
        <w:t>Sexual Abuse: A Journal of Research and Treatment</w:t>
      </w:r>
      <w:r w:rsidRPr="001A582F">
        <w:t xml:space="preserve">, </w:t>
      </w:r>
      <w:r w:rsidRPr="001A582F">
        <w:rPr>
          <w:i/>
          <w:iCs/>
        </w:rPr>
        <w:t>21</w:t>
      </w:r>
      <w:r w:rsidRPr="001A582F">
        <w:t>(1), 57–75. https://doi.org/10.1177/1079063208326928</w:t>
      </w:r>
    </w:p>
    <w:p w14:paraId="7899D4EC" w14:textId="77777777" w:rsidR="001A582F" w:rsidRPr="001A582F" w:rsidRDefault="001A582F" w:rsidP="00F858D0">
      <w:pPr>
        <w:pStyle w:val="Bibliography"/>
        <w:ind w:left="720" w:hanging="720"/>
      </w:pPr>
      <w:r w:rsidRPr="001A582F">
        <w:t xml:space="preserve">De Schryver, M., Hussey, I., De Neve, J., Cartwright, A., &amp; Barnes-Holmes, D. (2018). The PIIRAP: An alternative scoring algorithm for the IRAP using a probabilistic semiparametric effect size measure. </w:t>
      </w:r>
      <w:r w:rsidRPr="001A582F">
        <w:rPr>
          <w:i/>
          <w:iCs/>
        </w:rPr>
        <w:t>Journal of Contextual Behavioral Science</w:t>
      </w:r>
      <w:r w:rsidRPr="001A582F">
        <w:t xml:space="preserve">, </w:t>
      </w:r>
      <w:r w:rsidRPr="001A582F">
        <w:rPr>
          <w:i/>
          <w:iCs/>
        </w:rPr>
        <w:t>7</w:t>
      </w:r>
      <w:r w:rsidRPr="001A582F">
        <w:t>, 97–103. https://doi.org/10.1016/j.jcbs.2018.01.001</w:t>
      </w:r>
    </w:p>
    <w:p w14:paraId="408A49F6" w14:textId="77777777" w:rsidR="001A582F" w:rsidRPr="001A582F" w:rsidRDefault="001A582F" w:rsidP="00F858D0">
      <w:pPr>
        <w:pStyle w:val="Bibliography"/>
        <w:ind w:left="720" w:hanging="720"/>
      </w:pPr>
      <w:r w:rsidRPr="001A582F">
        <w:t xml:space="preserve">Egger, M., Smith, G. D., Schneider, M., &amp; Minder, C. (1997). </w:t>
      </w:r>
      <w:r w:rsidRPr="001A582F">
        <w:rPr>
          <w:i/>
          <w:iCs/>
        </w:rPr>
        <w:t>Bias in meta-analysis detected by a simple, graphical test</w:t>
      </w:r>
      <w:r w:rsidRPr="001A582F">
        <w:t>. https://doi.org/10.1136/bmj.315.7109.629</w:t>
      </w:r>
    </w:p>
    <w:p w14:paraId="14442F52" w14:textId="77777777" w:rsidR="001A582F" w:rsidRPr="001A582F" w:rsidRDefault="001A582F" w:rsidP="00F858D0">
      <w:pPr>
        <w:pStyle w:val="Bibliography"/>
        <w:ind w:left="720" w:hanging="720"/>
      </w:pPr>
      <w:r w:rsidRPr="001A582F">
        <w:t xml:space="preserve">Farrell, L., &amp; McHugh, L. (2017). Examining gender-STEM bias among STEM and non-STEM students using the Implicit Relational Assessment Procedure (IRAP). </w:t>
      </w:r>
      <w:r w:rsidRPr="001A582F">
        <w:rPr>
          <w:i/>
          <w:iCs/>
        </w:rPr>
        <w:t xml:space="preserve">Journal </w:t>
      </w:r>
      <w:r w:rsidRPr="001A582F">
        <w:rPr>
          <w:i/>
          <w:iCs/>
        </w:rPr>
        <w:lastRenderedPageBreak/>
        <w:t>of Contextual Behavioral Science</w:t>
      </w:r>
      <w:r w:rsidRPr="001A582F">
        <w:t xml:space="preserve">, </w:t>
      </w:r>
      <w:r w:rsidRPr="001A582F">
        <w:rPr>
          <w:i/>
          <w:iCs/>
        </w:rPr>
        <w:t>6</w:t>
      </w:r>
      <w:r w:rsidRPr="001A582F">
        <w:t>(1), 80–90. https://doi.org/10.1016/j.jcbs.2017.02.001</w:t>
      </w:r>
    </w:p>
    <w:p w14:paraId="16D8252C" w14:textId="77777777" w:rsidR="001A582F" w:rsidRPr="001A582F" w:rsidRDefault="001A582F" w:rsidP="00F858D0">
      <w:pPr>
        <w:pStyle w:val="Bibliography"/>
        <w:ind w:left="720" w:hanging="720"/>
      </w:pPr>
      <w:r w:rsidRPr="001A582F">
        <w:t xml:space="preserve">Field, A. P., &amp; Gillett, R. (2010). How to do a meta-analysis. </w:t>
      </w:r>
      <w:r w:rsidRPr="001A582F">
        <w:rPr>
          <w:i/>
          <w:iCs/>
        </w:rPr>
        <w:t>British Journal of Mathematical and Statistical Psychology</w:t>
      </w:r>
      <w:r w:rsidRPr="001A582F">
        <w:t xml:space="preserve">, </w:t>
      </w:r>
      <w:r w:rsidRPr="001A582F">
        <w:rPr>
          <w:i/>
          <w:iCs/>
        </w:rPr>
        <w:t>63</w:t>
      </w:r>
      <w:r w:rsidRPr="001A582F">
        <w:t>(3), 665–694. https://doi.org/10.1348/000711010X502733</w:t>
      </w:r>
    </w:p>
    <w:p w14:paraId="7D16CE4A" w14:textId="77777777" w:rsidR="001A582F" w:rsidRPr="001A582F" w:rsidRDefault="001A582F" w:rsidP="00F858D0">
      <w:pPr>
        <w:pStyle w:val="Bibliography"/>
        <w:ind w:left="720" w:hanging="720"/>
      </w:pPr>
      <w:r w:rsidRPr="001A582F">
        <w:t xml:space="preserve">Golijani-Moghaddam, N., Hart, A., &amp; Dawson, D. L. (2013). The Implicit Relational Assessment Procedure: Emerging reliability and validity data. </w:t>
      </w:r>
      <w:r w:rsidRPr="001A582F">
        <w:rPr>
          <w:i/>
          <w:iCs/>
        </w:rPr>
        <w:t>Journal of Contextual Behavioral Science</w:t>
      </w:r>
      <w:r w:rsidRPr="001A582F">
        <w:t xml:space="preserve">, </w:t>
      </w:r>
      <w:r w:rsidRPr="001A582F">
        <w:rPr>
          <w:i/>
          <w:iCs/>
        </w:rPr>
        <w:t>2</w:t>
      </w:r>
      <w:r w:rsidRPr="001A582F">
        <w:t>(3–4), 105–119. https://doi.org/10.1016/j.jcbs.2013.05.002</w:t>
      </w:r>
    </w:p>
    <w:p w14:paraId="6EF4EDC2" w14:textId="77777777" w:rsidR="001A582F" w:rsidRPr="001A582F" w:rsidRDefault="001A582F" w:rsidP="00F858D0">
      <w:pPr>
        <w:pStyle w:val="Bibliography"/>
        <w:ind w:left="720" w:hanging="720"/>
      </w:pPr>
      <w:r w:rsidRPr="001A582F">
        <w:t xml:space="preserve">Gøtzsche, P. C., Hróbjartsson, A., Marić, K., &amp; Tendal, B. (2007). Data Extraction Errors in Meta-analyses That Use Standardized Mean Differences. </w:t>
      </w:r>
      <w:r w:rsidRPr="001A582F">
        <w:rPr>
          <w:i/>
          <w:iCs/>
        </w:rPr>
        <w:t>JAMA</w:t>
      </w:r>
      <w:r w:rsidRPr="001A582F">
        <w:t xml:space="preserve">, </w:t>
      </w:r>
      <w:r w:rsidRPr="001A582F">
        <w:rPr>
          <w:i/>
          <w:iCs/>
        </w:rPr>
        <w:t>298</w:t>
      </w:r>
      <w:r w:rsidRPr="001A582F">
        <w:t>(4), 430–437. https://doi.org/10.1001/jama.298.4.430</w:t>
      </w:r>
    </w:p>
    <w:p w14:paraId="45521580" w14:textId="77777777" w:rsidR="001A582F" w:rsidRPr="001A582F" w:rsidRDefault="001A582F" w:rsidP="00F858D0">
      <w:pPr>
        <w:pStyle w:val="Bibliography"/>
        <w:ind w:left="720" w:hanging="720"/>
      </w:pPr>
      <w:r w:rsidRPr="001A582F">
        <w:t xml:space="preserve">Greenland, S., Senn, S. J., Rothman, K. J., Carlin, J. B., Poole, C., Goodman, S. N., &amp; Altman, D. G. (2016). Statistical tests, P values, confidence intervals, and power: A guide to misinterpretations. </w:t>
      </w:r>
      <w:r w:rsidRPr="001A582F">
        <w:rPr>
          <w:i/>
          <w:iCs/>
        </w:rPr>
        <w:t>European Journal of Epidemiology</w:t>
      </w:r>
      <w:r w:rsidRPr="001A582F">
        <w:t xml:space="preserve">, </w:t>
      </w:r>
      <w:r w:rsidRPr="001A582F">
        <w:rPr>
          <w:i/>
          <w:iCs/>
        </w:rPr>
        <w:t>31</w:t>
      </w:r>
      <w:r w:rsidRPr="001A582F">
        <w:t>(4), 337–350. https://doi.org/10.1007/s10654-016-0149-3</w:t>
      </w:r>
    </w:p>
    <w:p w14:paraId="790FAA3C" w14:textId="77777777" w:rsidR="001A582F" w:rsidRPr="001A582F" w:rsidRDefault="001A582F" w:rsidP="00F858D0">
      <w:pPr>
        <w:pStyle w:val="Bibliography"/>
        <w:ind w:left="720" w:hanging="720"/>
      </w:pPr>
      <w:r w:rsidRPr="001A582F">
        <w:t xml:space="preserve">Greenwald, A. G., &amp; Lai, C. K. (2020). Implicit Social Cognition. </w:t>
      </w:r>
      <w:r w:rsidRPr="001A582F">
        <w:rPr>
          <w:i/>
          <w:iCs/>
        </w:rPr>
        <w:t>Annual Review of Psychology</w:t>
      </w:r>
      <w:r w:rsidRPr="001A582F">
        <w:t xml:space="preserve">, </w:t>
      </w:r>
      <w:r w:rsidRPr="001A582F">
        <w:rPr>
          <w:i/>
          <w:iCs/>
        </w:rPr>
        <w:t>71</w:t>
      </w:r>
      <w:r w:rsidRPr="001A582F">
        <w:t>(1), 419–445. https://doi.org/10.1146/annurev-psych-010419-050837</w:t>
      </w:r>
    </w:p>
    <w:p w14:paraId="6902BEB9" w14:textId="77777777" w:rsidR="001A582F" w:rsidRPr="001A582F" w:rsidRDefault="001A582F" w:rsidP="00F858D0">
      <w:pPr>
        <w:pStyle w:val="Bibliography"/>
        <w:ind w:left="720" w:hanging="720"/>
      </w:pPr>
      <w:r w:rsidRPr="001A582F">
        <w:t xml:space="preserve">Greenwald, A. G., McGhee, D. E., &amp; Schwartz, J. L. (1998). Measuring individual differences in implicit cognition: The Implicit Association Test. </w:t>
      </w:r>
      <w:r w:rsidRPr="001A582F">
        <w:rPr>
          <w:i/>
          <w:iCs/>
        </w:rPr>
        <w:t>Journal of Personality and Social Psychology</w:t>
      </w:r>
      <w:r w:rsidRPr="001A582F">
        <w:t xml:space="preserve">, </w:t>
      </w:r>
      <w:r w:rsidRPr="001A582F">
        <w:rPr>
          <w:i/>
          <w:iCs/>
        </w:rPr>
        <w:t>74</w:t>
      </w:r>
      <w:r w:rsidRPr="001A582F">
        <w:t>(6), 1464–1480. https://doi.org/10.1037/0022-3514.74.6.1464</w:t>
      </w:r>
    </w:p>
    <w:p w14:paraId="295BB3DF" w14:textId="77777777" w:rsidR="001A582F" w:rsidRPr="001A582F" w:rsidRDefault="001A582F" w:rsidP="00F858D0">
      <w:pPr>
        <w:pStyle w:val="Bibliography"/>
        <w:ind w:left="720" w:hanging="720"/>
      </w:pPr>
      <w:r w:rsidRPr="001A582F">
        <w:t xml:space="preserve">Greenwald, A. G., Nosek, B. A., &amp; Banaji, M. R. (2003). Understanding and using the Implicit Association Test: I. An improved scoring algorithm. </w:t>
      </w:r>
      <w:r w:rsidRPr="001A582F">
        <w:rPr>
          <w:i/>
          <w:iCs/>
        </w:rPr>
        <w:t>Journal of Personality and Social Psychology</w:t>
      </w:r>
      <w:r w:rsidRPr="001A582F">
        <w:t xml:space="preserve">, </w:t>
      </w:r>
      <w:r w:rsidRPr="001A582F">
        <w:rPr>
          <w:i/>
          <w:iCs/>
        </w:rPr>
        <w:t>85</w:t>
      </w:r>
      <w:r w:rsidRPr="001A582F">
        <w:t>(2), 197–216. https://doi.org/10.1037/0022-3514.85.2.197</w:t>
      </w:r>
    </w:p>
    <w:p w14:paraId="3E1044BC" w14:textId="77777777" w:rsidR="001A582F" w:rsidRPr="001A582F" w:rsidRDefault="001A582F" w:rsidP="00F858D0">
      <w:pPr>
        <w:pStyle w:val="Bibliography"/>
        <w:ind w:left="720" w:hanging="720"/>
      </w:pPr>
      <w:r w:rsidRPr="001A582F">
        <w:lastRenderedPageBreak/>
        <w:t xml:space="preserve">Heathers, J. A., Anaya, J., Zee, T. van der, &amp; Brown, N. J. (2018). </w:t>
      </w:r>
      <w:r w:rsidRPr="001A582F">
        <w:rPr>
          <w:i/>
          <w:iCs/>
        </w:rPr>
        <w:t>Recovering data from summary statistics: Sample Parameter Reconstruction via Iterative TEchniques (SPRITE)</w:t>
      </w:r>
      <w:r w:rsidRPr="001A582F">
        <w:t xml:space="preserve"> (e26968v1). PeerJ Inc. https://doi.org/10.7287/peerj.preprints.26968v1</w:t>
      </w:r>
    </w:p>
    <w:p w14:paraId="1129A828" w14:textId="77777777" w:rsidR="001A582F" w:rsidRPr="001A582F" w:rsidRDefault="001A582F" w:rsidP="00F858D0">
      <w:pPr>
        <w:pStyle w:val="Bibliography"/>
        <w:ind w:left="720" w:hanging="720"/>
      </w:pPr>
      <w:r w:rsidRPr="001A582F">
        <w:t xml:space="preserve">Hemphill, J. F. (2003). Interpreting the magnitudes of correlation coefficients. </w:t>
      </w:r>
      <w:r w:rsidRPr="001A582F">
        <w:rPr>
          <w:i/>
          <w:iCs/>
        </w:rPr>
        <w:t>American Psychologist</w:t>
      </w:r>
      <w:r w:rsidRPr="001A582F">
        <w:t xml:space="preserve">, </w:t>
      </w:r>
      <w:r w:rsidRPr="001A582F">
        <w:rPr>
          <w:i/>
          <w:iCs/>
        </w:rPr>
        <w:t>58</w:t>
      </w:r>
      <w:r w:rsidRPr="001A582F">
        <w:t>(1), 78–79. https://doi.org/10.1037/0003-066X.58.1.78</w:t>
      </w:r>
    </w:p>
    <w:p w14:paraId="0624C16E" w14:textId="77777777" w:rsidR="001A582F" w:rsidRPr="001A582F" w:rsidRDefault="001A582F" w:rsidP="00F858D0">
      <w:pPr>
        <w:pStyle w:val="Bibliography"/>
        <w:ind w:left="720" w:hanging="720"/>
      </w:pPr>
      <w:r w:rsidRPr="001A582F">
        <w:t>Hunter, J. E., &amp; Schmidt, F. L. (2004). Methods of meta-analysis: Correcting error and bias in research findings. Sage.</w:t>
      </w:r>
    </w:p>
    <w:p w14:paraId="4B1D4398" w14:textId="77777777" w:rsidR="001A582F" w:rsidRPr="001A582F" w:rsidRDefault="001A582F" w:rsidP="00F858D0">
      <w:pPr>
        <w:pStyle w:val="Bibliography"/>
        <w:ind w:left="720" w:hanging="720"/>
      </w:pPr>
      <w:r w:rsidRPr="001A582F">
        <w:t xml:space="preserve">Hussey, I. (2022). Reply to Barnes-Holmes &amp; Harte (2022) “The IRAP as a Measure of Implicit Cognition: A Case of Frankenstein’s Monster”. </w:t>
      </w:r>
      <w:r w:rsidRPr="001A582F">
        <w:rPr>
          <w:i/>
          <w:iCs/>
        </w:rPr>
        <w:t>PsyArXiv</w:t>
      </w:r>
      <w:r w:rsidRPr="001A582F">
        <w:t>. https://doi.org/10.31234/osf.io/qmg6s</w:t>
      </w:r>
    </w:p>
    <w:p w14:paraId="3CB7059F" w14:textId="77777777" w:rsidR="001A582F" w:rsidRPr="001A582F" w:rsidRDefault="001A582F" w:rsidP="00F858D0">
      <w:pPr>
        <w:pStyle w:val="Bibliography"/>
        <w:ind w:left="720" w:hanging="720"/>
      </w:pPr>
      <w:r w:rsidRPr="001A582F">
        <w:t xml:space="preserve">Hussey, I. (2023). A systematic review of null hypothesis significance testing, sample sizes, and statistical power in research using the Implicit Relational Assessment Procedure. </w:t>
      </w:r>
      <w:r w:rsidRPr="001A582F">
        <w:rPr>
          <w:i/>
          <w:iCs/>
        </w:rPr>
        <w:t>Journal of Contextual Behavioral Science</w:t>
      </w:r>
      <w:r w:rsidRPr="001A582F">
        <w:t xml:space="preserve">, </w:t>
      </w:r>
      <w:r w:rsidRPr="001A582F">
        <w:rPr>
          <w:i/>
          <w:iCs/>
        </w:rPr>
        <w:t>29</w:t>
      </w:r>
      <w:r w:rsidRPr="001A582F">
        <w:t>, 86–97. https://doi.org/10.1016/j.jcbs.2023.06.008</w:t>
      </w:r>
    </w:p>
    <w:p w14:paraId="545F71B6" w14:textId="77777777" w:rsidR="001A582F" w:rsidRPr="001A582F" w:rsidRDefault="001A582F" w:rsidP="00F858D0">
      <w:pPr>
        <w:pStyle w:val="Bibliography"/>
        <w:ind w:left="720" w:hanging="720"/>
      </w:pPr>
      <w:r w:rsidRPr="001A582F">
        <w:t xml:space="preserve">Hussey, I., Alsalti, T., Bosco, F., Elson, M., &amp; Arslan, R. C. (2023). </w:t>
      </w:r>
      <w:r w:rsidRPr="001A582F">
        <w:rPr>
          <w:i/>
          <w:iCs/>
        </w:rPr>
        <w:t>An aberrant abundance of Cronbach’s alpha values at .70</w:t>
      </w:r>
      <w:r w:rsidRPr="001A582F">
        <w:t>. PsyArXiv. https://doi.org/10.31234/osf.io/dm8xn</w:t>
      </w:r>
    </w:p>
    <w:p w14:paraId="6C9A41DC" w14:textId="77777777" w:rsidR="001A582F" w:rsidRPr="001A582F" w:rsidRDefault="001A582F" w:rsidP="00F858D0">
      <w:pPr>
        <w:pStyle w:val="Bibliography"/>
        <w:ind w:left="720" w:hanging="720"/>
      </w:pPr>
      <w:r w:rsidRPr="001A582F">
        <w:t xml:space="preserve">Hussey, I., &amp; Drake, C. E. (2020). The Implicit Relational Assessment Procedure demonstrates poor internal consistency and test-retest reliability: A meta-analysis. </w:t>
      </w:r>
      <w:r w:rsidRPr="001A582F">
        <w:rPr>
          <w:i/>
          <w:iCs/>
        </w:rPr>
        <w:t>PsyArXiv</w:t>
      </w:r>
      <w:r w:rsidRPr="001A582F">
        <w:t>. https://doi.org/10.31234/osf.io/ge3k7</w:t>
      </w:r>
    </w:p>
    <w:p w14:paraId="74DD8097" w14:textId="77777777" w:rsidR="001A582F" w:rsidRPr="001A582F" w:rsidRDefault="001A582F" w:rsidP="00F858D0">
      <w:pPr>
        <w:pStyle w:val="Bibliography"/>
        <w:ind w:left="720" w:hanging="720"/>
      </w:pPr>
      <w:r w:rsidRPr="001A582F">
        <w:t>Hussey, I., &amp; Drake, C. E. (2022). The IRAP File-Drawer: A repository of unpublished studies using the Implicit Relational Assessment Procedure. https://osf.io/g4qsu/</w:t>
      </w:r>
    </w:p>
    <w:p w14:paraId="709B21CE" w14:textId="77777777" w:rsidR="001A582F" w:rsidRPr="001A582F" w:rsidRDefault="001A582F" w:rsidP="00F858D0">
      <w:pPr>
        <w:pStyle w:val="Bibliography"/>
        <w:ind w:left="720" w:hanging="720"/>
      </w:pPr>
      <w:r w:rsidRPr="001A582F">
        <w:t xml:space="preserve">Hussey, I., Thompson, M., McEnteggart, C., Barnes-Holmes, D., &amp; Barnes-Holmes, Y. (2015). Interpreting and inverting with less cursing: A guide to interpreting IRAP data. </w:t>
      </w:r>
      <w:r w:rsidRPr="001A582F">
        <w:rPr>
          <w:i/>
          <w:iCs/>
        </w:rPr>
        <w:t>Journal of Contextual Behavioral Science</w:t>
      </w:r>
      <w:r w:rsidRPr="001A582F">
        <w:t xml:space="preserve">, </w:t>
      </w:r>
      <w:r w:rsidRPr="001A582F">
        <w:rPr>
          <w:i/>
          <w:iCs/>
        </w:rPr>
        <w:t>4</w:t>
      </w:r>
      <w:r w:rsidRPr="001A582F">
        <w:t>(3), 157–162. https://doi.org/10.1016/j.jcbs.2015.05.001</w:t>
      </w:r>
    </w:p>
    <w:p w14:paraId="0A6CCCE8" w14:textId="77777777" w:rsidR="001A582F" w:rsidRPr="001A582F" w:rsidRDefault="001A582F" w:rsidP="00F858D0">
      <w:pPr>
        <w:pStyle w:val="Bibliography"/>
        <w:ind w:left="720" w:hanging="720"/>
      </w:pPr>
      <w:r w:rsidRPr="001A582F">
        <w:lastRenderedPageBreak/>
        <w:t xml:space="preserve">Kadlec, D., Sainani, K. L., &amp; Nimphius, S. (2023). With Great Power Comes Great Responsibility: Common Errors in Meta-Analyses and Meta-Regressions in Strength &amp; Conditioning Research. </w:t>
      </w:r>
      <w:r w:rsidRPr="001A582F">
        <w:rPr>
          <w:i/>
          <w:iCs/>
        </w:rPr>
        <w:t>Sports Medicine</w:t>
      </w:r>
      <w:r w:rsidRPr="001A582F">
        <w:t xml:space="preserve">, </w:t>
      </w:r>
      <w:r w:rsidRPr="001A582F">
        <w:rPr>
          <w:i/>
          <w:iCs/>
        </w:rPr>
        <w:t>53</w:t>
      </w:r>
      <w:r w:rsidRPr="001A582F">
        <w:t>(2), 313–325. https://doi.org/10.1007/s40279-022-01766-0</w:t>
      </w:r>
    </w:p>
    <w:p w14:paraId="0AFD9782" w14:textId="77777777" w:rsidR="001A582F" w:rsidRPr="001A582F" w:rsidRDefault="001A582F" w:rsidP="00F858D0">
      <w:pPr>
        <w:pStyle w:val="Bibliography"/>
        <w:ind w:left="720" w:hanging="720"/>
      </w:pPr>
      <w:r w:rsidRPr="001A582F">
        <w:t xml:space="preserve">Kavanagh, D., Barnes-Holmes, Y., &amp; Barnes-Holmes, D. (2022). Attempting to Analyze Perspective-Taking with a False Belief Vignette Using the Implicit Relational Assessment Procedure. </w:t>
      </w:r>
      <w:r w:rsidRPr="001A582F">
        <w:rPr>
          <w:i/>
          <w:iCs/>
        </w:rPr>
        <w:t>The Psychological Record</w:t>
      </w:r>
      <w:r w:rsidRPr="001A582F">
        <w:t xml:space="preserve">, </w:t>
      </w:r>
      <w:r w:rsidRPr="001A582F">
        <w:rPr>
          <w:i/>
          <w:iCs/>
        </w:rPr>
        <w:t>72</w:t>
      </w:r>
      <w:r w:rsidRPr="001A582F">
        <w:t>(4), 525–549. https://doi.org/10.1007/s40732-021-00500-y</w:t>
      </w:r>
    </w:p>
    <w:p w14:paraId="3DAA04AF" w14:textId="77777777" w:rsidR="001A582F" w:rsidRPr="001A582F" w:rsidRDefault="001A582F" w:rsidP="00F858D0">
      <w:pPr>
        <w:pStyle w:val="Bibliography"/>
        <w:ind w:left="720" w:hanging="720"/>
      </w:pPr>
      <w:r w:rsidRPr="001A582F">
        <w:t xml:space="preserve">Lakens, D., Hilgard, J., &amp; Staaks, J. (2016). On the reproducibility of meta-analyses: Six practical recommendations. </w:t>
      </w:r>
      <w:r w:rsidRPr="001A582F">
        <w:rPr>
          <w:i/>
          <w:iCs/>
        </w:rPr>
        <w:t>BMC Psychology</w:t>
      </w:r>
      <w:r w:rsidRPr="001A582F">
        <w:t xml:space="preserve">, </w:t>
      </w:r>
      <w:r w:rsidRPr="001A582F">
        <w:rPr>
          <w:i/>
          <w:iCs/>
        </w:rPr>
        <w:t>4</w:t>
      </w:r>
      <w:r w:rsidRPr="001A582F">
        <w:t>(1), 24. https://doi.org/10.1186/s40359-016-0126-3</w:t>
      </w:r>
    </w:p>
    <w:p w14:paraId="3E8278BA" w14:textId="77777777" w:rsidR="001A582F" w:rsidRPr="001A582F" w:rsidRDefault="001A582F" w:rsidP="00F858D0">
      <w:pPr>
        <w:pStyle w:val="Bibliography"/>
        <w:ind w:left="720" w:hanging="720"/>
      </w:pPr>
      <w:r w:rsidRPr="001A582F">
        <w:t xml:space="preserve">Lakens, D., Page-Gould, E., van Assen, M. A. L. M., Spellman, B., Schönbrodt, F. D., Hasselman, F., Corker, K. S., Grange, J., Sharples, A., Cavender, C., Augusteijn, H., Augusteijn, H., Gerger, H., Locher, C., Miller, I. D., Anvari, F., &amp; Scheel, A. M. (2017). </w:t>
      </w:r>
      <w:r w:rsidRPr="001A582F">
        <w:rPr>
          <w:i/>
          <w:iCs/>
        </w:rPr>
        <w:t>Examining the Reproducibility of Meta-Analyses in Psychology: A Preliminary Report</w:t>
      </w:r>
      <w:r w:rsidRPr="001A582F">
        <w:t xml:space="preserve"> [Preprint]. BITSS. https://doi.org/10.31222/osf.io/xfbjf</w:t>
      </w:r>
    </w:p>
    <w:p w14:paraId="2E5E5887" w14:textId="77777777" w:rsidR="001A582F" w:rsidRPr="001A582F" w:rsidRDefault="001A582F" w:rsidP="00F858D0">
      <w:pPr>
        <w:pStyle w:val="Bibliography"/>
        <w:ind w:left="720" w:hanging="720"/>
      </w:pPr>
      <w:r w:rsidRPr="001A582F">
        <w:t xml:space="preserve">Leech, A., Bouyrden, J., Bruijsten, N., Barnes-Holmes, D., &amp; McEnteggart, C. (2018). Training and testing for a transformation of fear and avoidance functions using the Implicit Relational Assessment Procedure: The first study. </w:t>
      </w:r>
      <w:r w:rsidRPr="001A582F">
        <w:rPr>
          <w:i/>
          <w:iCs/>
        </w:rPr>
        <w:t>Behavioural Processes</w:t>
      </w:r>
      <w:r w:rsidRPr="001A582F">
        <w:t xml:space="preserve">, </w:t>
      </w:r>
      <w:r w:rsidRPr="001A582F">
        <w:rPr>
          <w:i/>
          <w:iCs/>
        </w:rPr>
        <w:t>157</w:t>
      </w:r>
      <w:r w:rsidRPr="001A582F">
        <w:t>, 24–35. https://doi.org/10.1016/j.beproc.2018.08.012</w:t>
      </w:r>
    </w:p>
    <w:p w14:paraId="74770E87" w14:textId="77777777" w:rsidR="001A582F" w:rsidRPr="001A582F" w:rsidRDefault="001A582F" w:rsidP="00F858D0">
      <w:pPr>
        <w:pStyle w:val="Bibliography"/>
        <w:ind w:left="720" w:hanging="720"/>
      </w:pPr>
      <w:r w:rsidRPr="001A582F">
        <w:t xml:space="preserve">López-Nicolás, R., López-López, J. A., Rubio-Aparicio, M., &amp; Sánchez-Meca, J. (2022). A meta-review of transparency and reproducibility-related reporting practices in published meta-analyses on clinical psychological interventions (2000–2020). </w:t>
      </w:r>
      <w:r w:rsidRPr="001A582F">
        <w:rPr>
          <w:i/>
          <w:iCs/>
        </w:rPr>
        <w:t>Behavior Research Methods</w:t>
      </w:r>
      <w:r w:rsidRPr="001A582F">
        <w:t xml:space="preserve">, </w:t>
      </w:r>
      <w:r w:rsidRPr="001A582F">
        <w:rPr>
          <w:i/>
          <w:iCs/>
        </w:rPr>
        <w:t>54</w:t>
      </w:r>
      <w:r w:rsidRPr="001A582F">
        <w:t>(1), 334–349. https://doi.org/10.3758/s13428-021-01644-z</w:t>
      </w:r>
    </w:p>
    <w:p w14:paraId="167548EE" w14:textId="77777777" w:rsidR="001A582F" w:rsidRPr="001A582F" w:rsidRDefault="001A582F" w:rsidP="00F858D0">
      <w:pPr>
        <w:pStyle w:val="Bibliography"/>
        <w:ind w:left="720" w:hanging="720"/>
      </w:pPr>
      <w:r w:rsidRPr="001A582F">
        <w:lastRenderedPageBreak/>
        <w:t xml:space="preserve">Maassen, E., Assen, M. A. L. M. van, Nuijten, M. B., Olsson-Collentine, A., &amp; Wicherts, J. M. (2020). Reproducibility of individual effect sizes in meta-analyses in psychology. </w:t>
      </w:r>
      <w:r w:rsidRPr="001A582F">
        <w:rPr>
          <w:i/>
          <w:iCs/>
        </w:rPr>
        <w:t>PLOS ONE</w:t>
      </w:r>
      <w:r w:rsidRPr="001A582F">
        <w:t xml:space="preserve">, </w:t>
      </w:r>
      <w:r w:rsidRPr="001A582F">
        <w:rPr>
          <w:i/>
          <w:iCs/>
        </w:rPr>
        <w:t>15</w:t>
      </w:r>
      <w:r w:rsidRPr="001A582F">
        <w:t>(5), e0233107. https://doi.org/10.1371/journal.pone.0233107</w:t>
      </w:r>
    </w:p>
    <w:p w14:paraId="2C7B9DEA" w14:textId="77777777" w:rsidR="001A582F" w:rsidRPr="001A582F" w:rsidRDefault="001A582F" w:rsidP="00F858D0">
      <w:pPr>
        <w:pStyle w:val="Bibliography"/>
        <w:ind w:left="720" w:hanging="720"/>
      </w:pPr>
      <w:r w:rsidRPr="001A582F">
        <w:t xml:space="preserve">Maloney, E., &amp; Barnes-Holmes, D. (2016). Exploring the Behavioral Dynamics of the Implicit Relational Assessment Procedure: The Role of Relational Contextual Cues Versus Relational Coherence Indicators as Response Options. </w:t>
      </w:r>
      <w:r w:rsidRPr="001A582F">
        <w:rPr>
          <w:i/>
          <w:iCs/>
        </w:rPr>
        <w:t>The Psychological Record</w:t>
      </w:r>
      <w:r w:rsidRPr="001A582F">
        <w:t xml:space="preserve">, </w:t>
      </w:r>
      <w:r w:rsidRPr="001A582F">
        <w:rPr>
          <w:i/>
          <w:iCs/>
        </w:rPr>
        <w:t>66</w:t>
      </w:r>
      <w:r w:rsidRPr="001A582F">
        <w:t>(3), 395–403. https://doi.org/10.1007/s40732-016-0180-5</w:t>
      </w:r>
    </w:p>
    <w:p w14:paraId="1D65F07A" w14:textId="77777777" w:rsidR="001A582F" w:rsidRPr="001A582F" w:rsidRDefault="001A582F" w:rsidP="00F858D0">
      <w:pPr>
        <w:pStyle w:val="Bibliography"/>
        <w:ind w:left="720" w:hanging="720"/>
      </w:pPr>
      <w:r w:rsidRPr="001A582F">
        <w:t>Marin, F., Rohatgi, A., &amp; Charlot, S. (2017). WebPlotDigitizer, a polyvalent and free software to extract spectra from old astronomical publications: Application to ultraviolet spectropolarimetry (arXiv:1708.02025). arXiv. http://arxiv.org/abs/1708.02025</w:t>
      </w:r>
    </w:p>
    <w:p w14:paraId="6AC74352" w14:textId="77777777" w:rsidR="001A582F" w:rsidRPr="001A582F" w:rsidRDefault="001A582F" w:rsidP="00F858D0">
      <w:pPr>
        <w:pStyle w:val="Bibliography"/>
        <w:ind w:left="720" w:hanging="720"/>
      </w:pPr>
      <w:r w:rsidRPr="001A582F">
        <w:t xml:space="preserve">Perugini, M., Gallucci, M., &amp; Costantini, G. (2014). Safeguard Power as a Protection Against Imprecise Power Estimates. </w:t>
      </w:r>
      <w:r w:rsidRPr="001A582F">
        <w:rPr>
          <w:i/>
          <w:iCs/>
        </w:rPr>
        <w:t>Perspectives on Psychological Science</w:t>
      </w:r>
      <w:r w:rsidRPr="001A582F">
        <w:t xml:space="preserve">, </w:t>
      </w:r>
      <w:r w:rsidRPr="001A582F">
        <w:rPr>
          <w:i/>
          <w:iCs/>
        </w:rPr>
        <w:t>9</w:t>
      </w:r>
      <w:r w:rsidRPr="001A582F">
        <w:t>(3), 319–332. https://doi.org/10.1177/1745691614528519</w:t>
      </w:r>
    </w:p>
    <w:p w14:paraId="796E9A2B" w14:textId="77777777" w:rsidR="001A582F" w:rsidRPr="001A582F" w:rsidRDefault="001A582F" w:rsidP="00F858D0">
      <w:pPr>
        <w:pStyle w:val="Bibliography"/>
        <w:ind w:left="720" w:hanging="720"/>
      </w:pPr>
      <w:r w:rsidRPr="001A582F">
        <w:t xml:space="preserve">Plessen, C. Y., Karyotaki, E., Miguel, C., Ciharova, M., &amp; Cuijpers, P. (2023). Exploring the efficacy of psychotherapies for depression: A multiverse meta-analysis. </w:t>
      </w:r>
      <w:r w:rsidRPr="001A582F">
        <w:rPr>
          <w:i/>
          <w:iCs/>
        </w:rPr>
        <w:t>BMJ Ment Health</w:t>
      </w:r>
      <w:r w:rsidRPr="001A582F">
        <w:t xml:space="preserve">, </w:t>
      </w:r>
      <w:r w:rsidRPr="001A582F">
        <w:rPr>
          <w:i/>
          <w:iCs/>
        </w:rPr>
        <w:t>26</w:t>
      </w:r>
      <w:r w:rsidRPr="001A582F">
        <w:t>(1). https://doi.org/10.1136/bmjment-2022-300626</w:t>
      </w:r>
    </w:p>
    <w:p w14:paraId="231D6DB7" w14:textId="77777777" w:rsidR="001A582F" w:rsidRPr="001A582F" w:rsidRDefault="001A582F" w:rsidP="00F858D0">
      <w:pPr>
        <w:pStyle w:val="Bibliography"/>
        <w:ind w:left="720" w:hanging="720"/>
      </w:pPr>
      <w:r w:rsidRPr="001A582F">
        <w:t xml:space="preserve">Power, P. M., Harte, C., Barnes-Holmes, D., &amp; Barnes-Holmes, Y. (2017). Exploring Racial Bias in a European Country with a Recent History of Immigration of Black Africans. </w:t>
      </w:r>
      <w:r w:rsidRPr="001A582F">
        <w:rPr>
          <w:i/>
          <w:iCs/>
        </w:rPr>
        <w:t>The Psychological Record</w:t>
      </w:r>
      <w:r w:rsidRPr="001A582F">
        <w:t xml:space="preserve">, </w:t>
      </w:r>
      <w:r w:rsidRPr="001A582F">
        <w:rPr>
          <w:i/>
          <w:iCs/>
        </w:rPr>
        <w:t>67</w:t>
      </w:r>
      <w:r w:rsidRPr="001A582F">
        <w:t>(3), 365–375. https://doi.org/10.1007/s40732-017-0223-6</w:t>
      </w:r>
    </w:p>
    <w:p w14:paraId="3B06D654" w14:textId="77777777" w:rsidR="001A582F" w:rsidRPr="001A582F" w:rsidRDefault="001A582F" w:rsidP="00F858D0">
      <w:pPr>
        <w:pStyle w:val="Bibliography"/>
        <w:ind w:left="720" w:hanging="720"/>
      </w:pPr>
      <w:r w:rsidRPr="001A582F">
        <w:t xml:space="preserve">Revelle, W. (2009). </w:t>
      </w:r>
      <w:r w:rsidRPr="001A582F">
        <w:rPr>
          <w:i/>
          <w:iCs/>
        </w:rPr>
        <w:t>An introduction to psychometric theory with applications in R</w:t>
      </w:r>
      <w:r w:rsidRPr="001A582F">
        <w:t>. Springer Evanston, IL. https://www.personality-project.org/r/book/</w:t>
      </w:r>
    </w:p>
    <w:p w14:paraId="10592DFC" w14:textId="77777777" w:rsidR="001A582F" w:rsidRPr="001A582F" w:rsidRDefault="001A582F" w:rsidP="00F858D0">
      <w:pPr>
        <w:pStyle w:val="Bibliography"/>
        <w:ind w:left="720" w:hanging="720"/>
      </w:pPr>
      <w:r w:rsidRPr="001A582F">
        <w:lastRenderedPageBreak/>
        <w:t xml:space="preserve">Richard, F. D., Bond, C. F., &amp; Stokes-Zoota, J. J. (2003). One Hundred Years of Social Psychology Quantitatively Described. </w:t>
      </w:r>
      <w:r w:rsidRPr="001A582F">
        <w:rPr>
          <w:i/>
          <w:iCs/>
        </w:rPr>
        <w:t>Review of General Psychology</w:t>
      </w:r>
      <w:r w:rsidRPr="001A582F">
        <w:t xml:space="preserve">, </w:t>
      </w:r>
      <w:r w:rsidRPr="001A582F">
        <w:rPr>
          <w:i/>
          <w:iCs/>
        </w:rPr>
        <w:t>7</w:t>
      </w:r>
      <w:r w:rsidRPr="001A582F">
        <w:t>(4), 331–363. https://doi.org/10.1037/1089-2680.7.4.331</w:t>
      </w:r>
    </w:p>
    <w:p w14:paraId="4845CB60" w14:textId="77777777" w:rsidR="001A582F" w:rsidRPr="001A582F" w:rsidRDefault="001A582F" w:rsidP="00F858D0">
      <w:pPr>
        <w:pStyle w:val="Bibliography"/>
        <w:ind w:left="720" w:hanging="720"/>
      </w:pPr>
      <w:r w:rsidRPr="001A582F">
        <w:t xml:space="preserve">Rücker, G., Carpenter, J. R., &amp; Schwarzer, G. (2011). Detecting and adjusting for small-study effects in meta-analysis. </w:t>
      </w:r>
      <w:r w:rsidRPr="001A582F">
        <w:rPr>
          <w:i/>
          <w:iCs/>
        </w:rPr>
        <w:t>Biometrical Journal</w:t>
      </w:r>
      <w:r w:rsidRPr="001A582F">
        <w:t xml:space="preserve">, </w:t>
      </w:r>
      <w:r w:rsidRPr="001A582F">
        <w:rPr>
          <w:i/>
          <w:iCs/>
        </w:rPr>
        <w:t>53</w:t>
      </w:r>
      <w:r w:rsidRPr="001A582F">
        <w:t>(2), 351–368. https://doi.org/10.1002/bimj.201000151</w:t>
      </w:r>
    </w:p>
    <w:p w14:paraId="38980FDF" w14:textId="77777777" w:rsidR="001A582F" w:rsidRPr="001A582F" w:rsidRDefault="001A582F" w:rsidP="00F858D0">
      <w:pPr>
        <w:pStyle w:val="Bibliography"/>
        <w:ind w:left="720" w:hanging="720"/>
      </w:pPr>
      <w:r w:rsidRPr="001A582F">
        <w:t xml:space="preserve">Sterne, J. A. C., Gavaghan, D., &amp; Egger, M. (2000). Publication and related bias in meta-analysis: Power of statistical tests and prevalence in the literature. </w:t>
      </w:r>
      <w:r w:rsidRPr="001A582F">
        <w:rPr>
          <w:i/>
          <w:iCs/>
        </w:rPr>
        <w:t>Journal of Clinical Epidemiology</w:t>
      </w:r>
      <w:r w:rsidRPr="001A582F">
        <w:t xml:space="preserve">, </w:t>
      </w:r>
      <w:r w:rsidRPr="001A582F">
        <w:rPr>
          <w:i/>
          <w:iCs/>
        </w:rPr>
        <w:t>53</w:t>
      </w:r>
      <w:r w:rsidRPr="001A582F">
        <w:t>(11), 1119–1129. https://doi.org/10.1016/S0895-4356(00)00242-0</w:t>
      </w:r>
    </w:p>
    <w:p w14:paraId="3CA5AA5D" w14:textId="77777777" w:rsidR="001A582F" w:rsidRPr="001A582F" w:rsidRDefault="001A582F" w:rsidP="00F858D0">
      <w:pPr>
        <w:pStyle w:val="Bibliography"/>
        <w:ind w:left="720" w:hanging="720"/>
      </w:pPr>
      <w:r w:rsidRPr="001A582F">
        <w:t xml:space="preserve">Vahey, N. A., Barnes-Holmes, D., Barnes-Holmes, Y., &amp; Stewart, I. (2009). A first test of the Implicit Relational Assessment Procedure (IRAP) as a measure of self-esteem: Irish prisoner groups and university students. </w:t>
      </w:r>
      <w:r w:rsidRPr="001A582F">
        <w:rPr>
          <w:i/>
          <w:iCs/>
        </w:rPr>
        <w:t>The Psychological Record</w:t>
      </w:r>
      <w:r w:rsidRPr="001A582F">
        <w:t xml:space="preserve">, </w:t>
      </w:r>
      <w:r w:rsidRPr="001A582F">
        <w:rPr>
          <w:i/>
          <w:iCs/>
        </w:rPr>
        <w:t>59</w:t>
      </w:r>
      <w:r w:rsidRPr="001A582F">
        <w:t>(3), 371–388.</w:t>
      </w:r>
    </w:p>
    <w:p w14:paraId="3A858F25" w14:textId="77777777" w:rsidR="001A582F" w:rsidRPr="001A582F" w:rsidRDefault="001A582F" w:rsidP="00F858D0">
      <w:pPr>
        <w:pStyle w:val="Bibliography"/>
        <w:ind w:left="720" w:hanging="720"/>
      </w:pPr>
      <w:r w:rsidRPr="001A582F">
        <w:t xml:space="preserve">Vahey, N. A., Boles, S., &amp; Barnes-Holmes, D. (2010). Measuring adolescents’ smoking-related social identity preferences with the Implicit Relational Assessment Procedure (IRAP) for the first time: A starting point that explains later IRAP evolutions. </w:t>
      </w:r>
      <w:r w:rsidRPr="001A582F">
        <w:rPr>
          <w:i/>
          <w:iCs/>
        </w:rPr>
        <w:t>International Journal of Psychology and Psychological Therapy</w:t>
      </w:r>
      <w:r w:rsidRPr="001A582F">
        <w:t xml:space="preserve">, </w:t>
      </w:r>
      <w:r w:rsidRPr="001A582F">
        <w:rPr>
          <w:i/>
          <w:iCs/>
        </w:rPr>
        <w:t>10</w:t>
      </w:r>
      <w:r w:rsidRPr="001A582F">
        <w:t>(3), 453–474.</w:t>
      </w:r>
    </w:p>
    <w:p w14:paraId="30D164B8" w14:textId="77777777" w:rsidR="001A582F" w:rsidRPr="001A582F" w:rsidRDefault="001A582F" w:rsidP="00F858D0">
      <w:pPr>
        <w:pStyle w:val="Bibliography"/>
        <w:ind w:left="720" w:hanging="720"/>
      </w:pPr>
      <w:r w:rsidRPr="001A582F">
        <w:t xml:space="preserve">Vahey, N. A., Nicholson, E., &amp; Barnes-Holmes, D. (2015). A meta-analysis of criterion effects for the Implicit Relational Assessment Procedure (IRAP) in the clinical domain. </w:t>
      </w:r>
      <w:r w:rsidRPr="001A582F">
        <w:rPr>
          <w:i/>
          <w:iCs/>
        </w:rPr>
        <w:t>Journal of Behavior Therapy and Experimental Psychiatry</w:t>
      </w:r>
      <w:r w:rsidRPr="001A582F">
        <w:t xml:space="preserve">, </w:t>
      </w:r>
      <w:r w:rsidRPr="001A582F">
        <w:rPr>
          <w:i/>
          <w:iCs/>
        </w:rPr>
        <w:t>48</w:t>
      </w:r>
      <w:r w:rsidRPr="001A582F">
        <w:t>, 59–65. https://doi.org/10.1016/j.jbtep.2015.01.004</w:t>
      </w:r>
    </w:p>
    <w:p w14:paraId="6C11BE5C" w14:textId="77777777" w:rsidR="001A582F" w:rsidRPr="001A582F" w:rsidRDefault="001A582F" w:rsidP="00F858D0">
      <w:pPr>
        <w:pStyle w:val="Bibliography"/>
        <w:ind w:left="720" w:hanging="720"/>
      </w:pPr>
      <w:r w:rsidRPr="001A582F">
        <w:t xml:space="preserve">Vevea, J. L., &amp; Woods, C. M. (2005). Publication bias in research synthesis: Sensitivity analysis using a priori weight functions. </w:t>
      </w:r>
      <w:r w:rsidRPr="001A582F">
        <w:rPr>
          <w:i/>
          <w:iCs/>
        </w:rPr>
        <w:t>Psychological Methods</w:t>
      </w:r>
      <w:r w:rsidRPr="001A582F">
        <w:t xml:space="preserve">, </w:t>
      </w:r>
      <w:r w:rsidRPr="001A582F">
        <w:rPr>
          <w:i/>
          <w:iCs/>
        </w:rPr>
        <w:t>10</w:t>
      </w:r>
      <w:r w:rsidRPr="001A582F">
        <w:t>(4), 428–443. https://doi.org/10.1037/1082-989X.10.4.428</w:t>
      </w:r>
    </w:p>
    <w:p w14:paraId="7FC0AF40" w14:textId="77777777" w:rsidR="001A582F" w:rsidRPr="001A582F" w:rsidRDefault="001A582F" w:rsidP="00F858D0">
      <w:pPr>
        <w:pStyle w:val="Bibliography"/>
        <w:ind w:left="720" w:hanging="720"/>
      </w:pPr>
      <w:r w:rsidRPr="001A582F">
        <w:t xml:space="preserve">Viechtbauer, W. (2010). Conducting Meta-Analyses in R with the metafor Package. </w:t>
      </w:r>
      <w:r w:rsidRPr="001A582F">
        <w:rPr>
          <w:i/>
          <w:iCs/>
        </w:rPr>
        <w:t>Journal of Statistical Software</w:t>
      </w:r>
      <w:r w:rsidRPr="001A582F">
        <w:t xml:space="preserve">, </w:t>
      </w:r>
      <w:r w:rsidRPr="001A582F">
        <w:rPr>
          <w:i/>
          <w:iCs/>
        </w:rPr>
        <w:t>36</w:t>
      </w:r>
      <w:r w:rsidRPr="001A582F">
        <w:t>(3). https://doi.org/10.18637/jss.v036.i03</w:t>
      </w:r>
    </w:p>
    <w:p w14:paraId="1E1036BE" w14:textId="77777777" w:rsidR="001A582F" w:rsidRPr="001A582F" w:rsidRDefault="001A582F" w:rsidP="00F858D0">
      <w:pPr>
        <w:pStyle w:val="Bibliography"/>
        <w:ind w:left="720" w:hanging="720"/>
      </w:pPr>
      <w:r w:rsidRPr="001A582F">
        <w:lastRenderedPageBreak/>
        <w:t xml:space="preserve">Viechtbauer, W. (2022). </w:t>
      </w:r>
      <w:r w:rsidRPr="001A582F">
        <w:rPr>
          <w:i/>
          <w:iCs/>
        </w:rPr>
        <w:t>Hunter and Schmidt Method</w:t>
      </w:r>
      <w:r w:rsidRPr="001A582F">
        <w:t>. https://www.metafor-project.org/doku.php/tips:hunter_schmidt_method</w:t>
      </w:r>
    </w:p>
    <w:p w14:paraId="6F10E0AD" w14:textId="77777777" w:rsidR="001A582F" w:rsidRPr="001A582F" w:rsidRDefault="001A582F" w:rsidP="00F858D0">
      <w:pPr>
        <w:pStyle w:val="Bibliography"/>
        <w:ind w:left="720" w:hanging="720"/>
      </w:pPr>
      <w:r w:rsidRPr="001A582F">
        <w:t xml:space="preserve">Viechtbauer, W. (2024). </w:t>
      </w:r>
      <w:r w:rsidRPr="001A582F">
        <w:rPr>
          <w:i/>
          <w:iCs/>
        </w:rPr>
        <w:t>metafor: Meta-Analysis Package for R</w:t>
      </w:r>
      <w:r w:rsidRPr="001A582F">
        <w:t xml:space="preserve"> (Version 4.6-0) [Computer software]. https://CRAN.R-project.org/package=metafor</w:t>
      </w:r>
    </w:p>
    <w:p w14:paraId="75883BE3" w14:textId="77777777" w:rsidR="001A582F" w:rsidRPr="001A582F" w:rsidRDefault="001A582F" w:rsidP="00F858D0">
      <w:pPr>
        <w:pStyle w:val="Bibliography"/>
        <w:ind w:left="720" w:hanging="720"/>
      </w:pPr>
      <w:r w:rsidRPr="001A582F">
        <w:t xml:space="preserve">Wilkinson, J., Heal, C., Antoniou, G. A., Alfirevic, Z., Avenell, A., Barbour, V., Brown, N. J. L., Carlisle, J., Dicker, P., Dumville, J., Grey, A., Gurrin, L. C., Hayden, J. A., Heathers, J., Hunter, K. E., Lasserson, T., Lam, E., Lensen, S., Li, T., … Kirkham, J. J. (2023). </w:t>
      </w:r>
      <w:r w:rsidRPr="001A582F">
        <w:rPr>
          <w:i/>
          <w:iCs/>
        </w:rPr>
        <w:t>Protocol for the development of a tool (INSPECT-SR) to identify problematic randomised controlled trials in systematic reviews of health interventions</w:t>
      </w:r>
      <w:r w:rsidRPr="001A582F">
        <w:t xml:space="preserve"> (p. 2023.09.21.23295626). medRxiv. https://doi.org/10.1101/2023.09.21.23295626</w:t>
      </w:r>
    </w:p>
    <w:p w14:paraId="3B566FFD" w14:textId="30C94CAB" w:rsidR="00954504" w:rsidRPr="00954504" w:rsidRDefault="00000000" w:rsidP="00F858D0">
      <w:pPr>
        <w:ind w:left="720" w:hanging="720"/>
      </w:pPr>
      <w:r>
        <w:fldChar w:fldCharType="end"/>
      </w:r>
    </w:p>
    <w:p w14:paraId="7E1308A9" w14:textId="77777777" w:rsidR="00F0388F" w:rsidRDefault="00000000" w:rsidP="00D77465">
      <w:pPr>
        <w:sectPr w:rsidR="00F0388F" w:rsidSect="00D77465">
          <w:type w:val="continuous"/>
          <w:pgSz w:w="11900" w:h="16840"/>
          <w:pgMar w:top="1440" w:right="1440" w:bottom="1440" w:left="1440" w:header="709" w:footer="709" w:gutter="0"/>
          <w:cols w:space="340"/>
          <w:titlePg/>
          <w:docGrid w:linePitch="360"/>
          <w15:footnoteColumns w:val="1"/>
        </w:sectPr>
      </w:pPr>
      <w:r>
        <w:t xml:space="preserve"> </w:t>
      </w:r>
    </w:p>
    <w:p w14:paraId="3B402DBC" w14:textId="77777777" w:rsidR="00E976A8" w:rsidRPr="00034410" w:rsidRDefault="00E976A8" w:rsidP="00D77465"/>
    <w:sectPr w:rsidR="00E976A8" w:rsidRPr="00034410" w:rsidSect="00D77465">
      <w:type w:val="continuous"/>
      <w:pgSz w:w="11900" w:h="16840"/>
      <w:pgMar w:top="1440" w:right="1440" w:bottom="1440" w:left="1440" w:header="709" w:footer="709" w:gutter="0"/>
      <w:cols w:space="708"/>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0D4A40" w14:textId="77777777" w:rsidR="003441E3" w:rsidRDefault="003441E3" w:rsidP="00D77465">
      <w:r>
        <w:separator/>
      </w:r>
    </w:p>
  </w:endnote>
  <w:endnote w:type="continuationSeparator" w:id="0">
    <w:p w14:paraId="6FF4E335" w14:textId="77777777" w:rsidR="003441E3" w:rsidRDefault="003441E3" w:rsidP="00D77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MU Serif Roman">
    <w:altName w:val="CMU SERIF ROMAN"/>
    <w:panose1 w:val="020B0604020202020204"/>
    <w:charset w:val="00"/>
    <w:family w:val="auto"/>
    <w:pitch w:val="variable"/>
    <w:sig w:usb0="E10002FF" w:usb1="5201E9EB" w:usb2="02020004"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61673761"/>
      <w:docPartObj>
        <w:docPartGallery w:val="Page Numbers (Bottom of Page)"/>
        <w:docPartUnique/>
      </w:docPartObj>
    </w:sdtPr>
    <w:sdtContent>
      <w:p w14:paraId="731806F2" w14:textId="77777777" w:rsidR="008153E3" w:rsidRDefault="00000000" w:rsidP="00F94C14">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7BCF53EB" w14:textId="77777777" w:rsidR="008153E3" w:rsidRDefault="008153E3" w:rsidP="00F94C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7E9A91" w14:textId="5C18B7A8" w:rsidR="008153E3" w:rsidRDefault="008153E3" w:rsidP="00F94C14">
    <w:pPr>
      <w:pStyle w:val="Footer"/>
      <w:rPr>
        <w:rStyle w:val="PageNumber"/>
      </w:rPr>
    </w:pPr>
  </w:p>
  <w:p w14:paraId="17FC8458" w14:textId="77777777" w:rsidR="008153E3" w:rsidRPr="008153E3" w:rsidRDefault="008153E3" w:rsidP="00F94C14">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A5BFAB" w14:textId="77777777" w:rsidR="003441E3" w:rsidRDefault="003441E3" w:rsidP="00D77465">
      <w:r>
        <w:separator/>
      </w:r>
    </w:p>
  </w:footnote>
  <w:footnote w:type="continuationSeparator" w:id="0">
    <w:p w14:paraId="3DB45398" w14:textId="77777777" w:rsidR="003441E3" w:rsidRDefault="003441E3" w:rsidP="00D77465">
      <w:r>
        <w:continuationSeparator/>
      </w:r>
    </w:p>
  </w:footnote>
  <w:footnote w:id="1">
    <w:p w14:paraId="2478A9FA" w14:textId="6CA46723" w:rsidR="00663892" w:rsidRPr="00F94C14" w:rsidRDefault="00663892" w:rsidP="00F94C14">
      <w:pPr>
        <w:pStyle w:val="FootnoteText"/>
        <w:rPr>
          <w:lang w:val="en-US"/>
        </w:rPr>
      </w:pPr>
      <w:r w:rsidRPr="00F94C14">
        <w:rPr>
          <w:rStyle w:val="FootnoteReference"/>
        </w:rPr>
        <w:footnoteRef/>
      </w:r>
      <w:r w:rsidRPr="00F94C14">
        <w:t xml:space="preserve"> Two other reviews of the IRAP’s test-retest reliability have also been conducted </w:t>
      </w:r>
      <w:r w:rsidRPr="00F94C14">
        <w:fldChar w:fldCharType="begin"/>
      </w:r>
      <w:r w:rsidRPr="00F94C14">
        <w:instrText xml:space="preserve"> ADDIN ZOTERO_ITEM CSL_CITATION {"citationID":"MuNlVxc2","properties":{"formattedCitation":"(Golijani-Moghaddam et al., 2013: r = .49; Greenwald &amp; Lai, 2020: r = .45)","plainCitation":"(Golijani-Moghaddam et al., 2013: r = .49; Greenwald &amp; Lai, 2020: r = .45)","dontUpdate":true,"noteIndex":1},"citationItems":[{"id":1874,"uris":["http://zotero.org/users/1687755/items/WEXEG2BA"],"itemData":{"id":1874,"type":"article-journal","container-title":"Journal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L."}],"issued":{"date-parts":[["2013",10]]}},"label":"page","suffix":": r = .49"},{"id":432,"uris":["http://zotero.org/users/1687755/items/UQYJYU63"],"itemData":{"id":432,"type":"article-journal","abstract":"In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K."}],"issued":{"date-parts":[["2020"]]}},"label":"page","suffix":": r = .45"}],"schema":"https://github.com/citation-style-language/schema/raw/master/csl-citation.json"} </w:instrText>
      </w:r>
      <w:r w:rsidRPr="00F94C14">
        <w:fldChar w:fldCharType="separate"/>
      </w:r>
      <w:r w:rsidRPr="00F94C14">
        <w:t xml:space="preserve">(Golijani-Moghaddam et al., 2013: </w:t>
      </w:r>
      <m:oMath>
        <m:acc>
          <m:accPr>
            <m:chr m:val="̅"/>
            <m:ctrlPr>
              <w:rPr>
                <w:rFonts w:ascii="Cambria Math" w:hAnsi="Cambria Math"/>
                <w:i/>
              </w:rPr>
            </m:ctrlPr>
          </m:accPr>
          <m:e>
            <m:r>
              <m:rPr>
                <m:sty m:val="p"/>
              </m:rPr>
              <w:rPr>
                <w:rFonts w:ascii="Cambria Math" w:hAnsi="Cambria Math"/>
              </w:rPr>
              <m:t>r</m:t>
            </m:r>
          </m:e>
        </m:acc>
      </m:oMath>
      <w:r w:rsidRPr="00F94C14">
        <w:t xml:space="preserve"> = .49; Greenwald &amp; Lai, 2020: </w:t>
      </w:r>
      <m:oMath>
        <m:acc>
          <m:accPr>
            <m:chr m:val="̅"/>
            <m:ctrlPr>
              <w:rPr>
                <w:rFonts w:ascii="Cambria Math" w:hAnsi="Cambria Math"/>
                <w:i/>
              </w:rPr>
            </m:ctrlPr>
          </m:accPr>
          <m:e>
            <m:r>
              <m:rPr>
                <m:sty m:val="p"/>
              </m:rPr>
              <w:rPr>
                <w:rFonts w:ascii="Cambria Math" w:hAnsi="Cambria Math"/>
              </w:rPr>
              <m:t>r</m:t>
            </m:r>
          </m:e>
        </m:acc>
      </m:oMath>
      <w:r w:rsidRPr="00F94C14">
        <w:t xml:space="preserve"> = .45)</w:t>
      </w:r>
      <w:r w:rsidRPr="00F94C14">
        <w:fldChar w:fldCharType="end"/>
      </w:r>
      <w:r w:rsidRPr="00F94C14">
        <w:t>. However, both estimated test-retest reliability from a very small number of studies (</w:t>
      </w:r>
      <w:r w:rsidRPr="00F94C14">
        <w:rPr>
          <w:i/>
          <w:iCs/>
        </w:rPr>
        <w:t>k</w:t>
      </w:r>
      <w:r w:rsidRPr="00F94C14">
        <w:t>s = 1 and 2, respectively) with very small sample sizes (</w:t>
      </w:r>
      <w:r w:rsidRPr="00F94C14">
        <w:rPr>
          <w:i/>
          <w:iCs/>
        </w:rPr>
        <w:t>N</w:t>
      </w:r>
      <w:r w:rsidRPr="00F94C14">
        <w:t xml:space="preserve">s = 12 and 25, respectively). Hussey &amp; Drake’s </w:t>
      </w:r>
      <w:r w:rsidRPr="00F94C14">
        <w:fldChar w:fldCharType="begin"/>
      </w:r>
      <w:r w:rsidRPr="00F94C14">
        <w:instrText xml:space="preserve"> ADDIN ZOTERO_ITEM CSL_CITATION {"citationID":"svW3NYbQ","properties":{"formattedCitation":"(2020)","plainCitation":"(2020)","noteIndex":1},"citationItems":[{"id":15,"uris":["http://zotero.org/users/1687755/items/MU3ZSDRR"],"itemData":{"id":15,"type":"article-journal","abstract":"Evidence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E."}],"accessed":{"date-parts":[["2020",6,12]]},"issued":{"date-parts":[["2020"]]}},"label":"page","suppress-author":true}],"schema":"https://github.com/citation-style-language/schema/raw/master/csl-citation.json"} </w:instrText>
      </w:r>
      <w:r w:rsidRPr="00F94C14">
        <w:fldChar w:fldCharType="separate"/>
      </w:r>
      <w:r w:rsidRPr="00F94C14">
        <w:t>(2020)</w:t>
      </w:r>
      <w:r w:rsidRPr="00F94C14">
        <w:fldChar w:fldCharType="end"/>
      </w:r>
      <w:r w:rsidRPr="00F94C14">
        <w:t xml:space="preserve"> estimates, which were derived from a larger number of studies and participants (</w:t>
      </w:r>
      <w:r w:rsidRPr="00F94C14">
        <w:rPr>
          <w:i/>
          <w:iCs/>
        </w:rPr>
        <w:t>k</w:t>
      </w:r>
      <w:r w:rsidRPr="00F94C14">
        <w:t xml:space="preserve"> = 8, </w:t>
      </w:r>
      <w:r w:rsidRPr="00F94C14">
        <w:rPr>
          <w:i/>
          <w:iCs/>
        </w:rPr>
        <w:t>N</w:t>
      </w:r>
      <w:r w:rsidRPr="00F94C14">
        <w:t xml:space="preserve"> = 318) therefore represent the more precise estimates. In addition, Hussey &amp; Drake (2020) employ both more appropriate methods to estimate reliability (i.e., permutation-based internal consistency rather than split-half reliability, and ICC</w:t>
      </w:r>
      <w:r w:rsidRPr="00F94C14">
        <w:rPr>
          <w:vertAlign w:val="subscript"/>
        </w:rPr>
        <w:t>2</w:t>
      </w:r>
      <w:r w:rsidRPr="00F94C14">
        <w:t xml:space="preserve"> rather than Pearson’s </w:t>
      </w:r>
      <w:r w:rsidRPr="00F94C14">
        <w:rPr>
          <w:i/>
          <w:iCs/>
        </w:rPr>
        <w:t>r</w:t>
      </w:r>
      <w:r w:rsidRPr="00F94C14">
        <w:t xml:space="preserve">. See Hussey &amp; Drake (2020) for further discussion.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9902653"/>
      <w:docPartObj>
        <w:docPartGallery w:val="Page Numbers (Top of Page)"/>
        <w:docPartUnique/>
      </w:docPartObj>
    </w:sdtPr>
    <w:sdtContent>
      <w:p w14:paraId="57346CFA" w14:textId="106F2AD7" w:rsidR="00D77465" w:rsidRDefault="00D77465" w:rsidP="00D77465">
        <w:pPr>
          <w:pStyle w:val="Header"/>
          <w:rPr>
            <w:rStyle w:val="PageNumber"/>
          </w:rPr>
        </w:pPr>
        <w:r>
          <w:rPr>
            <w:rStyle w:val="PageNumber"/>
          </w:rPr>
          <w:fldChar w:fldCharType="begin"/>
        </w:r>
        <w:r>
          <w:rPr>
            <w:rStyle w:val="PageNumber"/>
          </w:rPr>
          <w:instrText xml:space="preserve"> PAGE </w:instrText>
        </w:r>
        <w:r w:rsidR="00C240F1">
          <w:rPr>
            <w:rStyle w:val="PageNumber"/>
          </w:rPr>
          <w:fldChar w:fldCharType="separate"/>
        </w:r>
        <w:r w:rsidR="00C240F1">
          <w:rPr>
            <w:rStyle w:val="PageNumber"/>
            <w:noProof/>
          </w:rPr>
          <w:t>1</w:t>
        </w:r>
        <w:r>
          <w:rPr>
            <w:rStyle w:val="PageNumber"/>
          </w:rPr>
          <w:fldChar w:fldCharType="end"/>
        </w:r>
      </w:p>
    </w:sdtContent>
  </w:sdt>
  <w:p w14:paraId="377E75FE" w14:textId="77777777" w:rsidR="00D77465" w:rsidRDefault="00D77465" w:rsidP="00D774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52248482"/>
      <w:docPartObj>
        <w:docPartGallery w:val="Page Numbers (Top of Page)"/>
        <w:docPartUnique/>
      </w:docPartObj>
    </w:sdtPr>
    <w:sdtContent>
      <w:p w14:paraId="48EE402A" w14:textId="36000878" w:rsidR="00D77465" w:rsidRDefault="00D77465" w:rsidP="00D77465">
        <w:pPr>
          <w:pStyle w:val="Header"/>
          <w:ind w:firstLine="0"/>
          <w:jc w:val="righ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12B74EB" w14:textId="77777777" w:rsidR="00D77465" w:rsidRDefault="00D77465" w:rsidP="00D774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D11E5"/>
    <w:multiLevelType w:val="hybridMultilevel"/>
    <w:tmpl w:val="1FD23106"/>
    <w:lvl w:ilvl="0" w:tplc="07DE3FDA">
      <w:start w:val="1"/>
      <w:numFmt w:val="decimal"/>
      <w:lvlText w:val="%1."/>
      <w:lvlJc w:val="left"/>
      <w:pPr>
        <w:ind w:left="720" w:hanging="360"/>
      </w:pPr>
      <w:rPr>
        <w:rFonts w:hint="default"/>
      </w:rPr>
    </w:lvl>
    <w:lvl w:ilvl="1" w:tplc="EB3E7032" w:tentative="1">
      <w:start w:val="1"/>
      <w:numFmt w:val="lowerLetter"/>
      <w:lvlText w:val="%2."/>
      <w:lvlJc w:val="left"/>
      <w:pPr>
        <w:ind w:left="1440" w:hanging="360"/>
      </w:pPr>
    </w:lvl>
    <w:lvl w:ilvl="2" w:tplc="9FA4CE90" w:tentative="1">
      <w:start w:val="1"/>
      <w:numFmt w:val="lowerRoman"/>
      <w:lvlText w:val="%3."/>
      <w:lvlJc w:val="right"/>
      <w:pPr>
        <w:ind w:left="2160" w:hanging="180"/>
      </w:pPr>
    </w:lvl>
    <w:lvl w:ilvl="3" w:tplc="DF08F312" w:tentative="1">
      <w:start w:val="1"/>
      <w:numFmt w:val="decimal"/>
      <w:lvlText w:val="%4."/>
      <w:lvlJc w:val="left"/>
      <w:pPr>
        <w:ind w:left="2880" w:hanging="360"/>
      </w:pPr>
    </w:lvl>
    <w:lvl w:ilvl="4" w:tplc="B3BE16B8" w:tentative="1">
      <w:start w:val="1"/>
      <w:numFmt w:val="lowerLetter"/>
      <w:lvlText w:val="%5."/>
      <w:lvlJc w:val="left"/>
      <w:pPr>
        <w:ind w:left="3600" w:hanging="360"/>
      </w:pPr>
    </w:lvl>
    <w:lvl w:ilvl="5" w:tplc="E0ACAF48" w:tentative="1">
      <w:start w:val="1"/>
      <w:numFmt w:val="lowerRoman"/>
      <w:lvlText w:val="%6."/>
      <w:lvlJc w:val="right"/>
      <w:pPr>
        <w:ind w:left="4320" w:hanging="180"/>
      </w:pPr>
    </w:lvl>
    <w:lvl w:ilvl="6" w:tplc="DA36E7C8" w:tentative="1">
      <w:start w:val="1"/>
      <w:numFmt w:val="decimal"/>
      <w:lvlText w:val="%7."/>
      <w:lvlJc w:val="left"/>
      <w:pPr>
        <w:ind w:left="5040" w:hanging="360"/>
      </w:pPr>
    </w:lvl>
    <w:lvl w:ilvl="7" w:tplc="7C22BBAA" w:tentative="1">
      <w:start w:val="1"/>
      <w:numFmt w:val="lowerLetter"/>
      <w:lvlText w:val="%8."/>
      <w:lvlJc w:val="left"/>
      <w:pPr>
        <w:ind w:left="5760" w:hanging="360"/>
      </w:pPr>
    </w:lvl>
    <w:lvl w:ilvl="8" w:tplc="E738DF9A" w:tentative="1">
      <w:start w:val="1"/>
      <w:numFmt w:val="lowerRoman"/>
      <w:lvlText w:val="%9."/>
      <w:lvlJc w:val="right"/>
      <w:pPr>
        <w:ind w:left="6480" w:hanging="180"/>
      </w:pPr>
    </w:lvl>
  </w:abstractNum>
  <w:abstractNum w:abstractNumId="1" w15:restartNumberingAfterBreak="0">
    <w:nsid w:val="190343CC"/>
    <w:multiLevelType w:val="hybridMultilevel"/>
    <w:tmpl w:val="1F8C8082"/>
    <w:lvl w:ilvl="0" w:tplc="462A2688">
      <w:start w:val="1"/>
      <w:numFmt w:val="bullet"/>
      <w:lvlText w:val="-"/>
      <w:lvlJc w:val="left"/>
      <w:pPr>
        <w:ind w:left="1080" w:hanging="360"/>
      </w:pPr>
      <w:rPr>
        <w:rFonts w:ascii="CMU Serif Roman" w:eastAsiaTheme="minorEastAsia" w:hAnsi="CMU Serif Roman" w:cs="CMU Serif Roman" w:hint="default"/>
      </w:rPr>
    </w:lvl>
    <w:lvl w:ilvl="1" w:tplc="AE9E8228" w:tentative="1">
      <w:start w:val="1"/>
      <w:numFmt w:val="bullet"/>
      <w:lvlText w:val="o"/>
      <w:lvlJc w:val="left"/>
      <w:pPr>
        <w:ind w:left="1800" w:hanging="360"/>
      </w:pPr>
      <w:rPr>
        <w:rFonts w:ascii="Courier New" w:hAnsi="Courier New" w:cs="Courier New" w:hint="default"/>
      </w:rPr>
    </w:lvl>
    <w:lvl w:ilvl="2" w:tplc="B33EC204" w:tentative="1">
      <w:start w:val="1"/>
      <w:numFmt w:val="bullet"/>
      <w:lvlText w:val=""/>
      <w:lvlJc w:val="left"/>
      <w:pPr>
        <w:ind w:left="2520" w:hanging="360"/>
      </w:pPr>
      <w:rPr>
        <w:rFonts w:ascii="Wingdings" w:hAnsi="Wingdings" w:hint="default"/>
      </w:rPr>
    </w:lvl>
    <w:lvl w:ilvl="3" w:tplc="8B689144" w:tentative="1">
      <w:start w:val="1"/>
      <w:numFmt w:val="bullet"/>
      <w:lvlText w:val=""/>
      <w:lvlJc w:val="left"/>
      <w:pPr>
        <w:ind w:left="3240" w:hanging="360"/>
      </w:pPr>
      <w:rPr>
        <w:rFonts w:ascii="Symbol" w:hAnsi="Symbol" w:hint="default"/>
      </w:rPr>
    </w:lvl>
    <w:lvl w:ilvl="4" w:tplc="42FC282C" w:tentative="1">
      <w:start w:val="1"/>
      <w:numFmt w:val="bullet"/>
      <w:lvlText w:val="o"/>
      <w:lvlJc w:val="left"/>
      <w:pPr>
        <w:ind w:left="3960" w:hanging="360"/>
      </w:pPr>
      <w:rPr>
        <w:rFonts w:ascii="Courier New" w:hAnsi="Courier New" w:cs="Courier New" w:hint="default"/>
      </w:rPr>
    </w:lvl>
    <w:lvl w:ilvl="5" w:tplc="9AC899A8" w:tentative="1">
      <w:start w:val="1"/>
      <w:numFmt w:val="bullet"/>
      <w:lvlText w:val=""/>
      <w:lvlJc w:val="left"/>
      <w:pPr>
        <w:ind w:left="4680" w:hanging="360"/>
      </w:pPr>
      <w:rPr>
        <w:rFonts w:ascii="Wingdings" w:hAnsi="Wingdings" w:hint="default"/>
      </w:rPr>
    </w:lvl>
    <w:lvl w:ilvl="6" w:tplc="2F16CCA4" w:tentative="1">
      <w:start w:val="1"/>
      <w:numFmt w:val="bullet"/>
      <w:lvlText w:val=""/>
      <w:lvlJc w:val="left"/>
      <w:pPr>
        <w:ind w:left="5400" w:hanging="360"/>
      </w:pPr>
      <w:rPr>
        <w:rFonts w:ascii="Symbol" w:hAnsi="Symbol" w:hint="default"/>
      </w:rPr>
    </w:lvl>
    <w:lvl w:ilvl="7" w:tplc="2F7E77A4" w:tentative="1">
      <w:start w:val="1"/>
      <w:numFmt w:val="bullet"/>
      <w:lvlText w:val="o"/>
      <w:lvlJc w:val="left"/>
      <w:pPr>
        <w:ind w:left="6120" w:hanging="360"/>
      </w:pPr>
      <w:rPr>
        <w:rFonts w:ascii="Courier New" w:hAnsi="Courier New" w:cs="Courier New" w:hint="default"/>
      </w:rPr>
    </w:lvl>
    <w:lvl w:ilvl="8" w:tplc="3904A594" w:tentative="1">
      <w:start w:val="1"/>
      <w:numFmt w:val="bullet"/>
      <w:lvlText w:val=""/>
      <w:lvlJc w:val="left"/>
      <w:pPr>
        <w:ind w:left="6840" w:hanging="360"/>
      </w:pPr>
      <w:rPr>
        <w:rFonts w:ascii="Wingdings" w:hAnsi="Wingdings" w:hint="default"/>
      </w:rPr>
    </w:lvl>
  </w:abstractNum>
  <w:abstractNum w:abstractNumId="2" w15:restartNumberingAfterBreak="0">
    <w:nsid w:val="301021DF"/>
    <w:multiLevelType w:val="hybridMultilevel"/>
    <w:tmpl w:val="9CD0579A"/>
    <w:lvl w:ilvl="0" w:tplc="D0CA5836">
      <w:start w:val="30"/>
      <w:numFmt w:val="bullet"/>
      <w:lvlText w:val=""/>
      <w:lvlJc w:val="left"/>
      <w:pPr>
        <w:ind w:left="720" w:hanging="360"/>
      </w:pPr>
      <w:rPr>
        <w:rFonts w:ascii="Symbol" w:eastAsia="MS Mincho" w:hAnsi="Symbol" w:cs="CMU Serif Roman" w:hint="default"/>
      </w:rPr>
    </w:lvl>
    <w:lvl w:ilvl="1" w:tplc="9344405E" w:tentative="1">
      <w:start w:val="1"/>
      <w:numFmt w:val="bullet"/>
      <w:lvlText w:val="o"/>
      <w:lvlJc w:val="left"/>
      <w:pPr>
        <w:ind w:left="1440" w:hanging="360"/>
      </w:pPr>
      <w:rPr>
        <w:rFonts w:ascii="Courier New" w:hAnsi="Courier New" w:cs="Courier New" w:hint="default"/>
      </w:rPr>
    </w:lvl>
    <w:lvl w:ilvl="2" w:tplc="B6EAB454" w:tentative="1">
      <w:start w:val="1"/>
      <w:numFmt w:val="bullet"/>
      <w:lvlText w:val=""/>
      <w:lvlJc w:val="left"/>
      <w:pPr>
        <w:ind w:left="2160" w:hanging="360"/>
      </w:pPr>
      <w:rPr>
        <w:rFonts w:ascii="Wingdings" w:hAnsi="Wingdings" w:hint="default"/>
      </w:rPr>
    </w:lvl>
    <w:lvl w:ilvl="3" w:tplc="B0C04CBC" w:tentative="1">
      <w:start w:val="1"/>
      <w:numFmt w:val="bullet"/>
      <w:lvlText w:val=""/>
      <w:lvlJc w:val="left"/>
      <w:pPr>
        <w:ind w:left="2880" w:hanging="360"/>
      </w:pPr>
      <w:rPr>
        <w:rFonts w:ascii="Symbol" w:hAnsi="Symbol" w:hint="default"/>
      </w:rPr>
    </w:lvl>
    <w:lvl w:ilvl="4" w:tplc="2F0E7B26" w:tentative="1">
      <w:start w:val="1"/>
      <w:numFmt w:val="bullet"/>
      <w:lvlText w:val="o"/>
      <w:lvlJc w:val="left"/>
      <w:pPr>
        <w:ind w:left="3600" w:hanging="360"/>
      </w:pPr>
      <w:rPr>
        <w:rFonts w:ascii="Courier New" w:hAnsi="Courier New" w:cs="Courier New" w:hint="default"/>
      </w:rPr>
    </w:lvl>
    <w:lvl w:ilvl="5" w:tplc="C148A1EE" w:tentative="1">
      <w:start w:val="1"/>
      <w:numFmt w:val="bullet"/>
      <w:lvlText w:val=""/>
      <w:lvlJc w:val="left"/>
      <w:pPr>
        <w:ind w:left="4320" w:hanging="360"/>
      </w:pPr>
      <w:rPr>
        <w:rFonts w:ascii="Wingdings" w:hAnsi="Wingdings" w:hint="default"/>
      </w:rPr>
    </w:lvl>
    <w:lvl w:ilvl="6" w:tplc="D6BED93C" w:tentative="1">
      <w:start w:val="1"/>
      <w:numFmt w:val="bullet"/>
      <w:lvlText w:val=""/>
      <w:lvlJc w:val="left"/>
      <w:pPr>
        <w:ind w:left="5040" w:hanging="360"/>
      </w:pPr>
      <w:rPr>
        <w:rFonts w:ascii="Symbol" w:hAnsi="Symbol" w:hint="default"/>
      </w:rPr>
    </w:lvl>
    <w:lvl w:ilvl="7" w:tplc="907C83D4" w:tentative="1">
      <w:start w:val="1"/>
      <w:numFmt w:val="bullet"/>
      <w:lvlText w:val="o"/>
      <w:lvlJc w:val="left"/>
      <w:pPr>
        <w:ind w:left="5760" w:hanging="360"/>
      </w:pPr>
      <w:rPr>
        <w:rFonts w:ascii="Courier New" w:hAnsi="Courier New" w:cs="Courier New" w:hint="default"/>
      </w:rPr>
    </w:lvl>
    <w:lvl w:ilvl="8" w:tplc="D40EB47A" w:tentative="1">
      <w:start w:val="1"/>
      <w:numFmt w:val="bullet"/>
      <w:lvlText w:val=""/>
      <w:lvlJc w:val="left"/>
      <w:pPr>
        <w:ind w:left="6480" w:hanging="360"/>
      </w:pPr>
      <w:rPr>
        <w:rFonts w:ascii="Wingdings" w:hAnsi="Wingdings" w:hint="default"/>
      </w:rPr>
    </w:lvl>
  </w:abstractNum>
  <w:abstractNum w:abstractNumId="3" w15:restartNumberingAfterBreak="0">
    <w:nsid w:val="334779A3"/>
    <w:multiLevelType w:val="hybridMultilevel"/>
    <w:tmpl w:val="483443A8"/>
    <w:lvl w:ilvl="0" w:tplc="F216FBC6">
      <w:start w:val="30"/>
      <w:numFmt w:val="bullet"/>
      <w:lvlText w:val=""/>
      <w:lvlJc w:val="left"/>
      <w:pPr>
        <w:ind w:left="720" w:hanging="360"/>
      </w:pPr>
      <w:rPr>
        <w:rFonts w:ascii="Symbol" w:eastAsia="MS Mincho" w:hAnsi="Symbol" w:cs="CMU Serif Roman" w:hint="default"/>
        <w:color w:val="000000"/>
      </w:rPr>
    </w:lvl>
    <w:lvl w:ilvl="1" w:tplc="907098FC" w:tentative="1">
      <w:start w:val="1"/>
      <w:numFmt w:val="bullet"/>
      <w:lvlText w:val="o"/>
      <w:lvlJc w:val="left"/>
      <w:pPr>
        <w:ind w:left="1440" w:hanging="360"/>
      </w:pPr>
      <w:rPr>
        <w:rFonts w:ascii="Courier New" w:hAnsi="Courier New" w:cs="Courier New" w:hint="default"/>
      </w:rPr>
    </w:lvl>
    <w:lvl w:ilvl="2" w:tplc="77A46566" w:tentative="1">
      <w:start w:val="1"/>
      <w:numFmt w:val="bullet"/>
      <w:lvlText w:val=""/>
      <w:lvlJc w:val="left"/>
      <w:pPr>
        <w:ind w:left="2160" w:hanging="360"/>
      </w:pPr>
      <w:rPr>
        <w:rFonts w:ascii="Wingdings" w:hAnsi="Wingdings" w:hint="default"/>
      </w:rPr>
    </w:lvl>
    <w:lvl w:ilvl="3" w:tplc="72E66764" w:tentative="1">
      <w:start w:val="1"/>
      <w:numFmt w:val="bullet"/>
      <w:lvlText w:val=""/>
      <w:lvlJc w:val="left"/>
      <w:pPr>
        <w:ind w:left="2880" w:hanging="360"/>
      </w:pPr>
      <w:rPr>
        <w:rFonts w:ascii="Symbol" w:hAnsi="Symbol" w:hint="default"/>
      </w:rPr>
    </w:lvl>
    <w:lvl w:ilvl="4" w:tplc="EB6085FC" w:tentative="1">
      <w:start w:val="1"/>
      <w:numFmt w:val="bullet"/>
      <w:lvlText w:val="o"/>
      <w:lvlJc w:val="left"/>
      <w:pPr>
        <w:ind w:left="3600" w:hanging="360"/>
      </w:pPr>
      <w:rPr>
        <w:rFonts w:ascii="Courier New" w:hAnsi="Courier New" w:cs="Courier New" w:hint="default"/>
      </w:rPr>
    </w:lvl>
    <w:lvl w:ilvl="5" w:tplc="AD74CF1A" w:tentative="1">
      <w:start w:val="1"/>
      <w:numFmt w:val="bullet"/>
      <w:lvlText w:val=""/>
      <w:lvlJc w:val="left"/>
      <w:pPr>
        <w:ind w:left="4320" w:hanging="360"/>
      </w:pPr>
      <w:rPr>
        <w:rFonts w:ascii="Wingdings" w:hAnsi="Wingdings" w:hint="default"/>
      </w:rPr>
    </w:lvl>
    <w:lvl w:ilvl="6" w:tplc="C86A17F6" w:tentative="1">
      <w:start w:val="1"/>
      <w:numFmt w:val="bullet"/>
      <w:lvlText w:val=""/>
      <w:lvlJc w:val="left"/>
      <w:pPr>
        <w:ind w:left="5040" w:hanging="360"/>
      </w:pPr>
      <w:rPr>
        <w:rFonts w:ascii="Symbol" w:hAnsi="Symbol" w:hint="default"/>
      </w:rPr>
    </w:lvl>
    <w:lvl w:ilvl="7" w:tplc="891436A2" w:tentative="1">
      <w:start w:val="1"/>
      <w:numFmt w:val="bullet"/>
      <w:lvlText w:val="o"/>
      <w:lvlJc w:val="left"/>
      <w:pPr>
        <w:ind w:left="5760" w:hanging="360"/>
      </w:pPr>
      <w:rPr>
        <w:rFonts w:ascii="Courier New" w:hAnsi="Courier New" w:cs="Courier New" w:hint="default"/>
      </w:rPr>
    </w:lvl>
    <w:lvl w:ilvl="8" w:tplc="55CCE95C" w:tentative="1">
      <w:start w:val="1"/>
      <w:numFmt w:val="bullet"/>
      <w:lvlText w:val=""/>
      <w:lvlJc w:val="left"/>
      <w:pPr>
        <w:ind w:left="6480" w:hanging="360"/>
      </w:pPr>
      <w:rPr>
        <w:rFonts w:ascii="Wingdings" w:hAnsi="Wingdings" w:hint="default"/>
      </w:rPr>
    </w:lvl>
  </w:abstractNum>
  <w:abstractNum w:abstractNumId="4" w15:restartNumberingAfterBreak="0">
    <w:nsid w:val="37BD1029"/>
    <w:multiLevelType w:val="hybridMultilevel"/>
    <w:tmpl w:val="90802C1E"/>
    <w:lvl w:ilvl="0" w:tplc="CAB2A17E">
      <w:start w:val="30"/>
      <w:numFmt w:val="bullet"/>
      <w:lvlText w:val=""/>
      <w:lvlJc w:val="left"/>
      <w:pPr>
        <w:ind w:left="720" w:hanging="360"/>
      </w:pPr>
      <w:rPr>
        <w:rFonts w:ascii="Symbol" w:eastAsia="MS Mincho" w:hAnsi="Symbol" w:cs="CMU Serif Roman" w:hint="default"/>
      </w:rPr>
    </w:lvl>
    <w:lvl w:ilvl="1" w:tplc="D6B6A706" w:tentative="1">
      <w:start w:val="1"/>
      <w:numFmt w:val="bullet"/>
      <w:lvlText w:val="o"/>
      <w:lvlJc w:val="left"/>
      <w:pPr>
        <w:ind w:left="1440" w:hanging="360"/>
      </w:pPr>
      <w:rPr>
        <w:rFonts w:ascii="Courier New" w:hAnsi="Courier New" w:cs="Courier New" w:hint="default"/>
      </w:rPr>
    </w:lvl>
    <w:lvl w:ilvl="2" w:tplc="36B8B70C" w:tentative="1">
      <w:start w:val="1"/>
      <w:numFmt w:val="bullet"/>
      <w:lvlText w:val=""/>
      <w:lvlJc w:val="left"/>
      <w:pPr>
        <w:ind w:left="2160" w:hanging="360"/>
      </w:pPr>
      <w:rPr>
        <w:rFonts w:ascii="Wingdings" w:hAnsi="Wingdings" w:hint="default"/>
      </w:rPr>
    </w:lvl>
    <w:lvl w:ilvl="3" w:tplc="DA907084" w:tentative="1">
      <w:start w:val="1"/>
      <w:numFmt w:val="bullet"/>
      <w:lvlText w:val=""/>
      <w:lvlJc w:val="left"/>
      <w:pPr>
        <w:ind w:left="2880" w:hanging="360"/>
      </w:pPr>
      <w:rPr>
        <w:rFonts w:ascii="Symbol" w:hAnsi="Symbol" w:hint="default"/>
      </w:rPr>
    </w:lvl>
    <w:lvl w:ilvl="4" w:tplc="FFBEA91A" w:tentative="1">
      <w:start w:val="1"/>
      <w:numFmt w:val="bullet"/>
      <w:lvlText w:val="o"/>
      <w:lvlJc w:val="left"/>
      <w:pPr>
        <w:ind w:left="3600" w:hanging="360"/>
      </w:pPr>
      <w:rPr>
        <w:rFonts w:ascii="Courier New" w:hAnsi="Courier New" w:cs="Courier New" w:hint="default"/>
      </w:rPr>
    </w:lvl>
    <w:lvl w:ilvl="5" w:tplc="D8B4074C" w:tentative="1">
      <w:start w:val="1"/>
      <w:numFmt w:val="bullet"/>
      <w:lvlText w:val=""/>
      <w:lvlJc w:val="left"/>
      <w:pPr>
        <w:ind w:left="4320" w:hanging="360"/>
      </w:pPr>
      <w:rPr>
        <w:rFonts w:ascii="Wingdings" w:hAnsi="Wingdings" w:hint="default"/>
      </w:rPr>
    </w:lvl>
    <w:lvl w:ilvl="6" w:tplc="50F06C44" w:tentative="1">
      <w:start w:val="1"/>
      <w:numFmt w:val="bullet"/>
      <w:lvlText w:val=""/>
      <w:lvlJc w:val="left"/>
      <w:pPr>
        <w:ind w:left="5040" w:hanging="360"/>
      </w:pPr>
      <w:rPr>
        <w:rFonts w:ascii="Symbol" w:hAnsi="Symbol" w:hint="default"/>
      </w:rPr>
    </w:lvl>
    <w:lvl w:ilvl="7" w:tplc="D83C28A4" w:tentative="1">
      <w:start w:val="1"/>
      <w:numFmt w:val="bullet"/>
      <w:lvlText w:val="o"/>
      <w:lvlJc w:val="left"/>
      <w:pPr>
        <w:ind w:left="5760" w:hanging="360"/>
      </w:pPr>
      <w:rPr>
        <w:rFonts w:ascii="Courier New" w:hAnsi="Courier New" w:cs="Courier New" w:hint="default"/>
      </w:rPr>
    </w:lvl>
    <w:lvl w:ilvl="8" w:tplc="761808FE" w:tentative="1">
      <w:start w:val="1"/>
      <w:numFmt w:val="bullet"/>
      <w:lvlText w:val=""/>
      <w:lvlJc w:val="left"/>
      <w:pPr>
        <w:ind w:left="6480" w:hanging="360"/>
      </w:pPr>
      <w:rPr>
        <w:rFonts w:ascii="Wingdings" w:hAnsi="Wingdings" w:hint="default"/>
      </w:rPr>
    </w:lvl>
  </w:abstractNum>
  <w:abstractNum w:abstractNumId="5" w15:restartNumberingAfterBreak="0">
    <w:nsid w:val="46DA6860"/>
    <w:multiLevelType w:val="hybridMultilevel"/>
    <w:tmpl w:val="C45C7218"/>
    <w:lvl w:ilvl="0" w:tplc="2736C232">
      <w:start w:val="5"/>
      <w:numFmt w:val="bullet"/>
      <w:lvlText w:val=""/>
      <w:lvlJc w:val="left"/>
      <w:pPr>
        <w:ind w:left="720" w:hanging="360"/>
      </w:pPr>
      <w:rPr>
        <w:rFonts w:ascii="Symbol" w:eastAsia="Times New Roman" w:hAnsi="Symbol" w:cstheme="majorHAnsi" w:hint="default"/>
      </w:rPr>
    </w:lvl>
    <w:lvl w:ilvl="1" w:tplc="91D8726C" w:tentative="1">
      <w:start w:val="1"/>
      <w:numFmt w:val="bullet"/>
      <w:lvlText w:val="o"/>
      <w:lvlJc w:val="left"/>
      <w:pPr>
        <w:ind w:left="1440" w:hanging="360"/>
      </w:pPr>
      <w:rPr>
        <w:rFonts w:ascii="Courier New" w:hAnsi="Courier New" w:hint="default"/>
      </w:rPr>
    </w:lvl>
    <w:lvl w:ilvl="2" w:tplc="10BEA4EC" w:tentative="1">
      <w:start w:val="1"/>
      <w:numFmt w:val="bullet"/>
      <w:lvlText w:val=""/>
      <w:lvlJc w:val="left"/>
      <w:pPr>
        <w:ind w:left="2160" w:hanging="360"/>
      </w:pPr>
      <w:rPr>
        <w:rFonts w:ascii="Wingdings" w:hAnsi="Wingdings" w:hint="default"/>
      </w:rPr>
    </w:lvl>
    <w:lvl w:ilvl="3" w:tplc="8FC4BAE6" w:tentative="1">
      <w:start w:val="1"/>
      <w:numFmt w:val="bullet"/>
      <w:lvlText w:val=""/>
      <w:lvlJc w:val="left"/>
      <w:pPr>
        <w:ind w:left="2880" w:hanging="360"/>
      </w:pPr>
      <w:rPr>
        <w:rFonts w:ascii="Symbol" w:hAnsi="Symbol" w:hint="default"/>
      </w:rPr>
    </w:lvl>
    <w:lvl w:ilvl="4" w:tplc="874E3ABA" w:tentative="1">
      <w:start w:val="1"/>
      <w:numFmt w:val="bullet"/>
      <w:lvlText w:val="o"/>
      <w:lvlJc w:val="left"/>
      <w:pPr>
        <w:ind w:left="3600" w:hanging="360"/>
      </w:pPr>
      <w:rPr>
        <w:rFonts w:ascii="Courier New" w:hAnsi="Courier New" w:hint="default"/>
      </w:rPr>
    </w:lvl>
    <w:lvl w:ilvl="5" w:tplc="735274D8" w:tentative="1">
      <w:start w:val="1"/>
      <w:numFmt w:val="bullet"/>
      <w:lvlText w:val=""/>
      <w:lvlJc w:val="left"/>
      <w:pPr>
        <w:ind w:left="4320" w:hanging="360"/>
      </w:pPr>
      <w:rPr>
        <w:rFonts w:ascii="Wingdings" w:hAnsi="Wingdings" w:hint="default"/>
      </w:rPr>
    </w:lvl>
    <w:lvl w:ilvl="6" w:tplc="E9C6E332" w:tentative="1">
      <w:start w:val="1"/>
      <w:numFmt w:val="bullet"/>
      <w:lvlText w:val=""/>
      <w:lvlJc w:val="left"/>
      <w:pPr>
        <w:ind w:left="5040" w:hanging="360"/>
      </w:pPr>
      <w:rPr>
        <w:rFonts w:ascii="Symbol" w:hAnsi="Symbol" w:hint="default"/>
      </w:rPr>
    </w:lvl>
    <w:lvl w:ilvl="7" w:tplc="B8E01B0C" w:tentative="1">
      <w:start w:val="1"/>
      <w:numFmt w:val="bullet"/>
      <w:lvlText w:val="o"/>
      <w:lvlJc w:val="left"/>
      <w:pPr>
        <w:ind w:left="5760" w:hanging="360"/>
      </w:pPr>
      <w:rPr>
        <w:rFonts w:ascii="Courier New" w:hAnsi="Courier New" w:hint="default"/>
      </w:rPr>
    </w:lvl>
    <w:lvl w:ilvl="8" w:tplc="06924CD4" w:tentative="1">
      <w:start w:val="1"/>
      <w:numFmt w:val="bullet"/>
      <w:lvlText w:val=""/>
      <w:lvlJc w:val="left"/>
      <w:pPr>
        <w:ind w:left="6480" w:hanging="360"/>
      </w:pPr>
      <w:rPr>
        <w:rFonts w:ascii="Wingdings" w:hAnsi="Wingdings" w:hint="default"/>
      </w:rPr>
    </w:lvl>
  </w:abstractNum>
  <w:abstractNum w:abstractNumId="6" w15:restartNumberingAfterBreak="0">
    <w:nsid w:val="5CFD233D"/>
    <w:multiLevelType w:val="hybridMultilevel"/>
    <w:tmpl w:val="370C3190"/>
    <w:lvl w:ilvl="0" w:tplc="26725912">
      <w:start w:val="5"/>
      <w:numFmt w:val="bullet"/>
      <w:lvlText w:val=""/>
      <w:lvlJc w:val="left"/>
      <w:pPr>
        <w:ind w:left="720" w:hanging="360"/>
      </w:pPr>
      <w:rPr>
        <w:rFonts w:ascii="Symbol" w:eastAsia="Times New Roman" w:hAnsi="Symbol" w:cstheme="majorHAnsi" w:hint="default"/>
      </w:rPr>
    </w:lvl>
    <w:lvl w:ilvl="1" w:tplc="8BDE5A1E" w:tentative="1">
      <w:start w:val="1"/>
      <w:numFmt w:val="bullet"/>
      <w:lvlText w:val="o"/>
      <w:lvlJc w:val="left"/>
      <w:pPr>
        <w:ind w:left="1440" w:hanging="360"/>
      </w:pPr>
      <w:rPr>
        <w:rFonts w:ascii="Courier New" w:hAnsi="Courier New" w:hint="default"/>
      </w:rPr>
    </w:lvl>
    <w:lvl w:ilvl="2" w:tplc="917EF52E" w:tentative="1">
      <w:start w:val="1"/>
      <w:numFmt w:val="bullet"/>
      <w:lvlText w:val=""/>
      <w:lvlJc w:val="left"/>
      <w:pPr>
        <w:ind w:left="2160" w:hanging="360"/>
      </w:pPr>
      <w:rPr>
        <w:rFonts w:ascii="Wingdings" w:hAnsi="Wingdings" w:hint="default"/>
      </w:rPr>
    </w:lvl>
    <w:lvl w:ilvl="3" w:tplc="6F405C54" w:tentative="1">
      <w:start w:val="1"/>
      <w:numFmt w:val="bullet"/>
      <w:lvlText w:val=""/>
      <w:lvlJc w:val="left"/>
      <w:pPr>
        <w:ind w:left="2880" w:hanging="360"/>
      </w:pPr>
      <w:rPr>
        <w:rFonts w:ascii="Symbol" w:hAnsi="Symbol" w:hint="default"/>
      </w:rPr>
    </w:lvl>
    <w:lvl w:ilvl="4" w:tplc="69401CC2" w:tentative="1">
      <w:start w:val="1"/>
      <w:numFmt w:val="bullet"/>
      <w:lvlText w:val="o"/>
      <w:lvlJc w:val="left"/>
      <w:pPr>
        <w:ind w:left="3600" w:hanging="360"/>
      </w:pPr>
      <w:rPr>
        <w:rFonts w:ascii="Courier New" w:hAnsi="Courier New" w:hint="default"/>
      </w:rPr>
    </w:lvl>
    <w:lvl w:ilvl="5" w:tplc="98186F40" w:tentative="1">
      <w:start w:val="1"/>
      <w:numFmt w:val="bullet"/>
      <w:lvlText w:val=""/>
      <w:lvlJc w:val="left"/>
      <w:pPr>
        <w:ind w:left="4320" w:hanging="360"/>
      </w:pPr>
      <w:rPr>
        <w:rFonts w:ascii="Wingdings" w:hAnsi="Wingdings" w:hint="default"/>
      </w:rPr>
    </w:lvl>
    <w:lvl w:ilvl="6" w:tplc="5AF4BEF2" w:tentative="1">
      <w:start w:val="1"/>
      <w:numFmt w:val="bullet"/>
      <w:lvlText w:val=""/>
      <w:lvlJc w:val="left"/>
      <w:pPr>
        <w:ind w:left="5040" w:hanging="360"/>
      </w:pPr>
      <w:rPr>
        <w:rFonts w:ascii="Symbol" w:hAnsi="Symbol" w:hint="default"/>
      </w:rPr>
    </w:lvl>
    <w:lvl w:ilvl="7" w:tplc="CA407450" w:tentative="1">
      <w:start w:val="1"/>
      <w:numFmt w:val="bullet"/>
      <w:lvlText w:val="o"/>
      <w:lvlJc w:val="left"/>
      <w:pPr>
        <w:ind w:left="5760" w:hanging="360"/>
      </w:pPr>
      <w:rPr>
        <w:rFonts w:ascii="Courier New" w:hAnsi="Courier New" w:hint="default"/>
      </w:rPr>
    </w:lvl>
    <w:lvl w:ilvl="8" w:tplc="A61AB472" w:tentative="1">
      <w:start w:val="1"/>
      <w:numFmt w:val="bullet"/>
      <w:lvlText w:val=""/>
      <w:lvlJc w:val="left"/>
      <w:pPr>
        <w:ind w:left="6480" w:hanging="360"/>
      </w:pPr>
      <w:rPr>
        <w:rFonts w:ascii="Wingdings" w:hAnsi="Wingdings" w:hint="default"/>
      </w:rPr>
    </w:lvl>
  </w:abstractNum>
  <w:abstractNum w:abstractNumId="7" w15:restartNumberingAfterBreak="0">
    <w:nsid w:val="5FF631D9"/>
    <w:multiLevelType w:val="hybridMultilevel"/>
    <w:tmpl w:val="EFCA9C06"/>
    <w:lvl w:ilvl="0" w:tplc="71623ABE">
      <w:start w:val="30"/>
      <w:numFmt w:val="bullet"/>
      <w:lvlText w:val=""/>
      <w:lvlJc w:val="left"/>
      <w:pPr>
        <w:ind w:left="720" w:hanging="360"/>
      </w:pPr>
      <w:rPr>
        <w:rFonts w:ascii="Symbol" w:eastAsia="MS Mincho" w:hAnsi="Symbol" w:cs="CMU Serif Roman" w:hint="default"/>
      </w:rPr>
    </w:lvl>
    <w:lvl w:ilvl="1" w:tplc="F89AD234" w:tentative="1">
      <w:start w:val="1"/>
      <w:numFmt w:val="bullet"/>
      <w:lvlText w:val="o"/>
      <w:lvlJc w:val="left"/>
      <w:pPr>
        <w:ind w:left="1440" w:hanging="360"/>
      </w:pPr>
      <w:rPr>
        <w:rFonts w:ascii="Courier New" w:hAnsi="Courier New" w:cs="Courier New" w:hint="default"/>
      </w:rPr>
    </w:lvl>
    <w:lvl w:ilvl="2" w:tplc="91BA066C" w:tentative="1">
      <w:start w:val="1"/>
      <w:numFmt w:val="bullet"/>
      <w:lvlText w:val=""/>
      <w:lvlJc w:val="left"/>
      <w:pPr>
        <w:ind w:left="2160" w:hanging="360"/>
      </w:pPr>
      <w:rPr>
        <w:rFonts w:ascii="Wingdings" w:hAnsi="Wingdings" w:hint="default"/>
      </w:rPr>
    </w:lvl>
    <w:lvl w:ilvl="3" w:tplc="C748970A" w:tentative="1">
      <w:start w:val="1"/>
      <w:numFmt w:val="bullet"/>
      <w:lvlText w:val=""/>
      <w:lvlJc w:val="left"/>
      <w:pPr>
        <w:ind w:left="2880" w:hanging="360"/>
      </w:pPr>
      <w:rPr>
        <w:rFonts w:ascii="Symbol" w:hAnsi="Symbol" w:hint="default"/>
      </w:rPr>
    </w:lvl>
    <w:lvl w:ilvl="4" w:tplc="F1CA7AC6" w:tentative="1">
      <w:start w:val="1"/>
      <w:numFmt w:val="bullet"/>
      <w:lvlText w:val="o"/>
      <w:lvlJc w:val="left"/>
      <w:pPr>
        <w:ind w:left="3600" w:hanging="360"/>
      </w:pPr>
      <w:rPr>
        <w:rFonts w:ascii="Courier New" w:hAnsi="Courier New" w:cs="Courier New" w:hint="default"/>
      </w:rPr>
    </w:lvl>
    <w:lvl w:ilvl="5" w:tplc="7750959A" w:tentative="1">
      <w:start w:val="1"/>
      <w:numFmt w:val="bullet"/>
      <w:lvlText w:val=""/>
      <w:lvlJc w:val="left"/>
      <w:pPr>
        <w:ind w:left="4320" w:hanging="360"/>
      </w:pPr>
      <w:rPr>
        <w:rFonts w:ascii="Wingdings" w:hAnsi="Wingdings" w:hint="default"/>
      </w:rPr>
    </w:lvl>
    <w:lvl w:ilvl="6" w:tplc="B43AAC62" w:tentative="1">
      <w:start w:val="1"/>
      <w:numFmt w:val="bullet"/>
      <w:lvlText w:val=""/>
      <w:lvlJc w:val="left"/>
      <w:pPr>
        <w:ind w:left="5040" w:hanging="360"/>
      </w:pPr>
      <w:rPr>
        <w:rFonts w:ascii="Symbol" w:hAnsi="Symbol" w:hint="default"/>
      </w:rPr>
    </w:lvl>
    <w:lvl w:ilvl="7" w:tplc="C3BA70DA" w:tentative="1">
      <w:start w:val="1"/>
      <w:numFmt w:val="bullet"/>
      <w:lvlText w:val="o"/>
      <w:lvlJc w:val="left"/>
      <w:pPr>
        <w:ind w:left="5760" w:hanging="360"/>
      </w:pPr>
      <w:rPr>
        <w:rFonts w:ascii="Courier New" w:hAnsi="Courier New" w:cs="Courier New" w:hint="default"/>
      </w:rPr>
    </w:lvl>
    <w:lvl w:ilvl="8" w:tplc="BD7E177A" w:tentative="1">
      <w:start w:val="1"/>
      <w:numFmt w:val="bullet"/>
      <w:lvlText w:val=""/>
      <w:lvlJc w:val="left"/>
      <w:pPr>
        <w:ind w:left="6480" w:hanging="360"/>
      </w:pPr>
      <w:rPr>
        <w:rFonts w:ascii="Wingdings" w:hAnsi="Wingdings" w:hint="default"/>
      </w:rPr>
    </w:lvl>
  </w:abstractNum>
  <w:abstractNum w:abstractNumId="8" w15:restartNumberingAfterBreak="0">
    <w:nsid w:val="665046E9"/>
    <w:multiLevelType w:val="hybridMultilevel"/>
    <w:tmpl w:val="19564406"/>
    <w:lvl w:ilvl="0" w:tplc="18FCD50E">
      <w:start w:val="1"/>
      <w:numFmt w:val="decimal"/>
      <w:lvlText w:val="%1."/>
      <w:lvlJc w:val="left"/>
      <w:pPr>
        <w:ind w:left="720" w:hanging="360"/>
      </w:pPr>
    </w:lvl>
    <w:lvl w:ilvl="1" w:tplc="2B5CB22E" w:tentative="1">
      <w:start w:val="1"/>
      <w:numFmt w:val="lowerLetter"/>
      <w:lvlText w:val="%2."/>
      <w:lvlJc w:val="left"/>
      <w:pPr>
        <w:ind w:left="1440" w:hanging="360"/>
      </w:pPr>
    </w:lvl>
    <w:lvl w:ilvl="2" w:tplc="08342B8E" w:tentative="1">
      <w:start w:val="1"/>
      <w:numFmt w:val="lowerRoman"/>
      <w:lvlText w:val="%3."/>
      <w:lvlJc w:val="right"/>
      <w:pPr>
        <w:ind w:left="2160" w:hanging="180"/>
      </w:pPr>
    </w:lvl>
    <w:lvl w:ilvl="3" w:tplc="2A7C55D2" w:tentative="1">
      <w:start w:val="1"/>
      <w:numFmt w:val="decimal"/>
      <w:lvlText w:val="%4."/>
      <w:lvlJc w:val="left"/>
      <w:pPr>
        <w:ind w:left="2880" w:hanging="360"/>
      </w:pPr>
    </w:lvl>
    <w:lvl w:ilvl="4" w:tplc="E55464E2" w:tentative="1">
      <w:start w:val="1"/>
      <w:numFmt w:val="lowerLetter"/>
      <w:lvlText w:val="%5."/>
      <w:lvlJc w:val="left"/>
      <w:pPr>
        <w:ind w:left="3600" w:hanging="360"/>
      </w:pPr>
    </w:lvl>
    <w:lvl w:ilvl="5" w:tplc="CF18858C" w:tentative="1">
      <w:start w:val="1"/>
      <w:numFmt w:val="lowerRoman"/>
      <w:lvlText w:val="%6."/>
      <w:lvlJc w:val="right"/>
      <w:pPr>
        <w:ind w:left="4320" w:hanging="180"/>
      </w:pPr>
    </w:lvl>
    <w:lvl w:ilvl="6" w:tplc="D1D68FAA" w:tentative="1">
      <w:start w:val="1"/>
      <w:numFmt w:val="decimal"/>
      <w:lvlText w:val="%7."/>
      <w:lvlJc w:val="left"/>
      <w:pPr>
        <w:ind w:left="5040" w:hanging="360"/>
      </w:pPr>
    </w:lvl>
    <w:lvl w:ilvl="7" w:tplc="15721028" w:tentative="1">
      <w:start w:val="1"/>
      <w:numFmt w:val="lowerLetter"/>
      <w:lvlText w:val="%8."/>
      <w:lvlJc w:val="left"/>
      <w:pPr>
        <w:ind w:left="5760" w:hanging="360"/>
      </w:pPr>
    </w:lvl>
    <w:lvl w:ilvl="8" w:tplc="48BCD470" w:tentative="1">
      <w:start w:val="1"/>
      <w:numFmt w:val="lowerRoman"/>
      <w:lvlText w:val="%9."/>
      <w:lvlJc w:val="right"/>
      <w:pPr>
        <w:ind w:left="6480" w:hanging="180"/>
      </w:pPr>
    </w:lvl>
  </w:abstractNum>
  <w:num w:numId="1" w16cid:durableId="614214778">
    <w:abstractNumId w:val="8"/>
  </w:num>
  <w:num w:numId="2" w16cid:durableId="2050379569">
    <w:abstractNumId w:val="1"/>
  </w:num>
  <w:num w:numId="3" w16cid:durableId="208222507">
    <w:abstractNumId w:val="5"/>
  </w:num>
  <w:num w:numId="4" w16cid:durableId="643656210">
    <w:abstractNumId w:val="6"/>
  </w:num>
  <w:num w:numId="5" w16cid:durableId="1759593516">
    <w:abstractNumId w:val="0"/>
  </w:num>
  <w:num w:numId="6" w16cid:durableId="1606109854">
    <w:abstractNumId w:val="3"/>
  </w:num>
  <w:num w:numId="7" w16cid:durableId="911041080">
    <w:abstractNumId w:val="7"/>
  </w:num>
  <w:num w:numId="8" w16cid:durableId="108866411">
    <w:abstractNumId w:val="4"/>
  </w:num>
  <w:num w:numId="9" w16cid:durableId="872570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923"/>
    <w:rsid w:val="000018F7"/>
    <w:rsid w:val="00001C53"/>
    <w:rsid w:val="00001EE5"/>
    <w:rsid w:val="00002C55"/>
    <w:rsid w:val="000034B3"/>
    <w:rsid w:val="00003F3D"/>
    <w:rsid w:val="00005851"/>
    <w:rsid w:val="00006528"/>
    <w:rsid w:val="000067D6"/>
    <w:rsid w:val="00006A5B"/>
    <w:rsid w:val="000111B2"/>
    <w:rsid w:val="00011913"/>
    <w:rsid w:val="000119D0"/>
    <w:rsid w:val="00011BAA"/>
    <w:rsid w:val="000128DF"/>
    <w:rsid w:val="00013124"/>
    <w:rsid w:val="00013508"/>
    <w:rsid w:val="0001350A"/>
    <w:rsid w:val="00013AE4"/>
    <w:rsid w:val="00013F4A"/>
    <w:rsid w:val="00017296"/>
    <w:rsid w:val="0002030D"/>
    <w:rsid w:val="000209D5"/>
    <w:rsid w:val="00020A4F"/>
    <w:rsid w:val="00021197"/>
    <w:rsid w:val="000218F8"/>
    <w:rsid w:val="00021C43"/>
    <w:rsid w:val="00021E37"/>
    <w:rsid w:val="00021F72"/>
    <w:rsid w:val="00023292"/>
    <w:rsid w:val="000239E6"/>
    <w:rsid w:val="00026A25"/>
    <w:rsid w:val="00027CD4"/>
    <w:rsid w:val="00030218"/>
    <w:rsid w:val="000314B2"/>
    <w:rsid w:val="000323B2"/>
    <w:rsid w:val="00032ADB"/>
    <w:rsid w:val="00034410"/>
    <w:rsid w:val="000351E4"/>
    <w:rsid w:val="00035BB1"/>
    <w:rsid w:val="0003712A"/>
    <w:rsid w:val="000374D3"/>
    <w:rsid w:val="000377F3"/>
    <w:rsid w:val="000377F9"/>
    <w:rsid w:val="0004010A"/>
    <w:rsid w:val="000415FA"/>
    <w:rsid w:val="000416BA"/>
    <w:rsid w:val="00043D43"/>
    <w:rsid w:val="0004418F"/>
    <w:rsid w:val="0004447F"/>
    <w:rsid w:val="0004452B"/>
    <w:rsid w:val="00045544"/>
    <w:rsid w:val="000463AA"/>
    <w:rsid w:val="00050D9B"/>
    <w:rsid w:val="000521C2"/>
    <w:rsid w:val="00052449"/>
    <w:rsid w:val="000525B9"/>
    <w:rsid w:val="000532FD"/>
    <w:rsid w:val="00053DFD"/>
    <w:rsid w:val="0005400B"/>
    <w:rsid w:val="00055607"/>
    <w:rsid w:val="00056983"/>
    <w:rsid w:val="00057A7F"/>
    <w:rsid w:val="00061F2B"/>
    <w:rsid w:val="00062730"/>
    <w:rsid w:val="00064BCC"/>
    <w:rsid w:val="00064C50"/>
    <w:rsid w:val="0006572D"/>
    <w:rsid w:val="0006583B"/>
    <w:rsid w:val="00066346"/>
    <w:rsid w:val="00067C1A"/>
    <w:rsid w:val="000713C8"/>
    <w:rsid w:val="0007173C"/>
    <w:rsid w:val="00072B87"/>
    <w:rsid w:val="00072B9F"/>
    <w:rsid w:val="000735A8"/>
    <w:rsid w:val="00073AA3"/>
    <w:rsid w:val="00073C53"/>
    <w:rsid w:val="0007490C"/>
    <w:rsid w:val="000756C6"/>
    <w:rsid w:val="00076F33"/>
    <w:rsid w:val="0008043F"/>
    <w:rsid w:val="000805A0"/>
    <w:rsid w:val="00080D76"/>
    <w:rsid w:val="000810BE"/>
    <w:rsid w:val="000819D9"/>
    <w:rsid w:val="000831AD"/>
    <w:rsid w:val="000838C2"/>
    <w:rsid w:val="000839C3"/>
    <w:rsid w:val="00083EC4"/>
    <w:rsid w:val="00084AD6"/>
    <w:rsid w:val="000879BA"/>
    <w:rsid w:val="0009015C"/>
    <w:rsid w:val="00091761"/>
    <w:rsid w:val="00093F1F"/>
    <w:rsid w:val="00094126"/>
    <w:rsid w:val="00094699"/>
    <w:rsid w:val="000954F4"/>
    <w:rsid w:val="00095EF1"/>
    <w:rsid w:val="00096798"/>
    <w:rsid w:val="000967B0"/>
    <w:rsid w:val="000973EE"/>
    <w:rsid w:val="000A1DC4"/>
    <w:rsid w:val="000A23D1"/>
    <w:rsid w:val="000A2AE2"/>
    <w:rsid w:val="000A6136"/>
    <w:rsid w:val="000A6649"/>
    <w:rsid w:val="000A6CD5"/>
    <w:rsid w:val="000A6E4B"/>
    <w:rsid w:val="000B0C9B"/>
    <w:rsid w:val="000B1677"/>
    <w:rsid w:val="000B19C6"/>
    <w:rsid w:val="000B1ABC"/>
    <w:rsid w:val="000B2144"/>
    <w:rsid w:val="000B270B"/>
    <w:rsid w:val="000B2EE3"/>
    <w:rsid w:val="000B4933"/>
    <w:rsid w:val="000B4D42"/>
    <w:rsid w:val="000B51B2"/>
    <w:rsid w:val="000B6252"/>
    <w:rsid w:val="000B6E3E"/>
    <w:rsid w:val="000B7BA9"/>
    <w:rsid w:val="000C0492"/>
    <w:rsid w:val="000C0C37"/>
    <w:rsid w:val="000C1E96"/>
    <w:rsid w:val="000C322F"/>
    <w:rsid w:val="000C3762"/>
    <w:rsid w:val="000C4DB7"/>
    <w:rsid w:val="000C5051"/>
    <w:rsid w:val="000C5BDB"/>
    <w:rsid w:val="000C749A"/>
    <w:rsid w:val="000C7F5A"/>
    <w:rsid w:val="000D0203"/>
    <w:rsid w:val="000D085A"/>
    <w:rsid w:val="000D1059"/>
    <w:rsid w:val="000D11A2"/>
    <w:rsid w:val="000D2430"/>
    <w:rsid w:val="000D2622"/>
    <w:rsid w:val="000D2676"/>
    <w:rsid w:val="000D2F24"/>
    <w:rsid w:val="000D4325"/>
    <w:rsid w:val="000D68CF"/>
    <w:rsid w:val="000D6DA5"/>
    <w:rsid w:val="000D76D4"/>
    <w:rsid w:val="000D7837"/>
    <w:rsid w:val="000D7C57"/>
    <w:rsid w:val="000D7CEC"/>
    <w:rsid w:val="000E02ED"/>
    <w:rsid w:val="000E0890"/>
    <w:rsid w:val="000E2434"/>
    <w:rsid w:val="000E24E4"/>
    <w:rsid w:val="000E284E"/>
    <w:rsid w:val="000E29C2"/>
    <w:rsid w:val="000E3572"/>
    <w:rsid w:val="000E5C0F"/>
    <w:rsid w:val="000F12D8"/>
    <w:rsid w:val="000F14E7"/>
    <w:rsid w:val="000F1AA0"/>
    <w:rsid w:val="000F1DBE"/>
    <w:rsid w:val="000F2C73"/>
    <w:rsid w:val="000F3D9D"/>
    <w:rsid w:val="000F43B1"/>
    <w:rsid w:val="000F449B"/>
    <w:rsid w:val="000F4E35"/>
    <w:rsid w:val="000F4ECD"/>
    <w:rsid w:val="000F5299"/>
    <w:rsid w:val="000F542A"/>
    <w:rsid w:val="000F5F5C"/>
    <w:rsid w:val="000F6427"/>
    <w:rsid w:val="001011B7"/>
    <w:rsid w:val="00103A1D"/>
    <w:rsid w:val="00104D58"/>
    <w:rsid w:val="001058C6"/>
    <w:rsid w:val="001066D4"/>
    <w:rsid w:val="0010680E"/>
    <w:rsid w:val="00107FDA"/>
    <w:rsid w:val="00110490"/>
    <w:rsid w:val="001104F8"/>
    <w:rsid w:val="0011130B"/>
    <w:rsid w:val="00111F08"/>
    <w:rsid w:val="0011275B"/>
    <w:rsid w:val="00113C79"/>
    <w:rsid w:val="00114258"/>
    <w:rsid w:val="00116220"/>
    <w:rsid w:val="001165DC"/>
    <w:rsid w:val="00116ADA"/>
    <w:rsid w:val="001175AC"/>
    <w:rsid w:val="0012052E"/>
    <w:rsid w:val="001206E0"/>
    <w:rsid w:val="00122EDC"/>
    <w:rsid w:val="00123A38"/>
    <w:rsid w:val="00123ACA"/>
    <w:rsid w:val="0012469C"/>
    <w:rsid w:val="00124C89"/>
    <w:rsid w:val="00125897"/>
    <w:rsid w:val="00126622"/>
    <w:rsid w:val="001273F6"/>
    <w:rsid w:val="00130820"/>
    <w:rsid w:val="00130A52"/>
    <w:rsid w:val="00130E5B"/>
    <w:rsid w:val="00131382"/>
    <w:rsid w:val="00131E06"/>
    <w:rsid w:val="001325C5"/>
    <w:rsid w:val="001326F7"/>
    <w:rsid w:val="00133C1B"/>
    <w:rsid w:val="00136B0D"/>
    <w:rsid w:val="00142196"/>
    <w:rsid w:val="001431F4"/>
    <w:rsid w:val="001432AC"/>
    <w:rsid w:val="00144382"/>
    <w:rsid w:val="00144468"/>
    <w:rsid w:val="001449AE"/>
    <w:rsid w:val="00144E52"/>
    <w:rsid w:val="00146175"/>
    <w:rsid w:val="0014685A"/>
    <w:rsid w:val="001475A1"/>
    <w:rsid w:val="001475A4"/>
    <w:rsid w:val="0014779F"/>
    <w:rsid w:val="00150219"/>
    <w:rsid w:val="00150CC4"/>
    <w:rsid w:val="00151B5F"/>
    <w:rsid w:val="0015221A"/>
    <w:rsid w:val="00153513"/>
    <w:rsid w:val="001537F8"/>
    <w:rsid w:val="00154563"/>
    <w:rsid w:val="001556FB"/>
    <w:rsid w:val="00157B0C"/>
    <w:rsid w:val="00157C1E"/>
    <w:rsid w:val="0016193C"/>
    <w:rsid w:val="00163914"/>
    <w:rsid w:val="00163E3E"/>
    <w:rsid w:val="00164FDF"/>
    <w:rsid w:val="001652A7"/>
    <w:rsid w:val="00166356"/>
    <w:rsid w:val="0016681A"/>
    <w:rsid w:val="00167193"/>
    <w:rsid w:val="00167923"/>
    <w:rsid w:val="00167DAE"/>
    <w:rsid w:val="00170C4C"/>
    <w:rsid w:val="00171EBC"/>
    <w:rsid w:val="001721B4"/>
    <w:rsid w:val="0017243A"/>
    <w:rsid w:val="0017266A"/>
    <w:rsid w:val="00172C84"/>
    <w:rsid w:val="00174134"/>
    <w:rsid w:val="00176601"/>
    <w:rsid w:val="00177875"/>
    <w:rsid w:val="001813FF"/>
    <w:rsid w:val="00182CB6"/>
    <w:rsid w:val="00183655"/>
    <w:rsid w:val="00183AF3"/>
    <w:rsid w:val="00186FE5"/>
    <w:rsid w:val="00192DDC"/>
    <w:rsid w:val="001930F6"/>
    <w:rsid w:val="0019313A"/>
    <w:rsid w:val="00194485"/>
    <w:rsid w:val="001949BE"/>
    <w:rsid w:val="001951D7"/>
    <w:rsid w:val="0019784B"/>
    <w:rsid w:val="001A187C"/>
    <w:rsid w:val="001A2DD8"/>
    <w:rsid w:val="001A36AD"/>
    <w:rsid w:val="001A407A"/>
    <w:rsid w:val="001A4627"/>
    <w:rsid w:val="001A582F"/>
    <w:rsid w:val="001A77BB"/>
    <w:rsid w:val="001A7C9D"/>
    <w:rsid w:val="001B1E91"/>
    <w:rsid w:val="001B1ED8"/>
    <w:rsid w:val="001B25E1"/>
    <w:rsid w:val="001B27B2"/>
    <w:rsid w:val="001B3064"/>
    <w:rsid w:val="001B48EB"/>
    <w:rsid w:val="001B4ACA"/>
    <w:rsid w:val="001B570D"/>
    <w:rsid w:val="001B6144"/>
    <w:rsid w:val="001B6334"/>
    <w:rsid w:val="001B6416"/>
    <w:rsid w:val="001B6961"/>
    <w:rsid w:val="001B7BBE"/>
    <w:rsid w:val="001B7C79"/>
    <w:rsid w:val="001B7D5B"/>
    <w:rsid w:val="001C175E"/>
    <w:rsid w:val="001C1A84"/>
    <w:rsid w:val="001C1DCA"/>
    <w:rsid w:val="001C29F6"/>
    <w:rsid w:val="001C36E5"/>
    <w:rsid w:val="001C378E"/>
    <w:rsid w:val="001C589F"/>
    <w:rsid w:val="001C5EFE"/>
    <w:rsid w:val="001C7252"/>
    <w:rsid w:val="001D02E4"/>
    <w:rsid w:val="001D10AC"/>
    <w:rsid w:val="001D11EA"/>
    <w:rsid w:val="001D2EEC"/>
    <w:rsid w:val="001D325F"/>
    <w:rsid w:val="001D3517"/>
    <w:rsid w:val="001D38D7"/>
    <w:rsid w:val="001D4143"/>
    <w:rsid w:val="001D4C34"/>
    <w:rsid w:val="001D6A74"/>
    <w:rsid w:val="001D6B18"/>
    <w:rsid w:val="001D797F"/>
    <w:rsid w:val="001E11B0"/>
    <w:rsid w:val="001E1496"/>
    <w:rsid w:val="001E19B4"/>
    <w:rsid w:val="001E1E17"/>
    <w:rsid w:val="001E4E33"/>
    <w:rsid w:val="001E6578"/>
    <w:rsid w:val="001E78CC"/>
    <w:rsid w:val="001F0E8B"/>
    <w:rsid w:val="001F31EF"/>
    <w:rsid w:val="001F4118"/>
    <w:rsid w:val="001F4B6A"/>
    <w:rsid w:val="001F6779"/>
    <w:rsid w:val="002001D3"/>
    <w:rsid w:val="00200475"/>
    <w:rsid w:val="0020136D"/>
    <w:rsid w:val="00202091"/>
    <w:rsid w:val="00203362"/>
    <w:rsid w:val="00204843"/>
    <w:rsid w:val="002048B7"/>
    <w:rsid w:val="00204DC1"/>
    <w:rsid w:val="00205706"/>
    <w:rsid w:val="00205F41"/>
    <w:rsid w:val="00206610"/>
    <w:rsid w:val="00206637"/>
    <w:rsid w:val="00206A65"/>
    <w:rsid w:val="002100B8"/>
    <w:rsid w:val="00210D84"/>
    <w:rsid w:val="00210DF2"/>
    <w:rsid w:val="002111AA"/>
    <w:rsid w:val="002119C3"/>
    <w:rsid w:val="00212601"/>
    <w:rsid w:val="00213DFC"/>
    <w:rsid w:val="00214168"/>
    <w:rsid w:val="00214D48"/>
    <w:rsid w:val="002164E2"/>
    <w:rsid w:val="00216896"/>
    <w:rsid w:val="00216DC9"/>
    <w:rsid w:val="00217015"/>
    <w:rsid w:val="00217153"/>
    <w:rsid w:val="00220759"/>
    <w:rsid w:val="00220BAE"/>
    <w:rsid w:val="00220BB9"/>
    <w:rsid w:val="0022221C"/>
    <w:rsid w:val="002224CC"/>
    <w:rsid w:val="00222A14"/>
    <w:rsid w:val="00223420"/>
    <w:rsid w:val="00224408"/>
    <w:rsid w:val="00224644"/>
    <w:rsid w:val="00224679"/>
    <w:rsid w:val="00224DDA"/>
    <w:rsid w:val="002255F0"/>
    <w:rsid w:val="00225AFE"/>
    <w:rsid w:val="00226E49"/>
    <w:rsid w:val="00231171"/>
    <w:rsid w:val="00231610"/>
    <w:rsid w:val="00232667"/>
    <w:rsid w:val="0023388C"/>
    <w:rsid w:val="0023425A"/>
    <w:rsid w:val="002353CA"/>
    <w:rsid w:val="00235562"/>
    <w:rsid w:val="00235649"/>
    <w:rsid w:val="00235B77"/>
    <w:rsid w:val="00235EAA"/>
    <w:rsid w:val="00236F94"/>
    <w:rsid w:val="0023725A"/>
    <w:rsid w:val="00240F20"/>
    <w:rsid w:val="00241488"/>
    <w:rsid w:val="0024266C"/>
    <w:rsid w:val="00242FCC"/>
    <w:rsid w:val="00243714"/>
    <w:rsid w:val="00243840"/>
    <w:rsid w:val="0025012C"/>
    <w:rsid w:val="002506A8"/>
    <w:rsid w:val="002513CA"/>
    <w:rsid w:val="002514D5"/>
    <w:rsid w:val="00251D2E"/>
    <w:rsid w:val="00253397"/>
    <w:rsid w:val="00254E71"/>
    <w:rsid w:val="00255A28"/>
    <w:rsid w:val="00257BD3"/>
    <w:rsid w:val="002601DC"/>
    <w:rsid w:val="0026116A"/>
    <w:rsid w:val="002616D0"/>
    <w:rsid w:val="00261AE1"/>
    <w:rsid w:val="00261AE7"/>
    <w:rsid w:val="0026226A"/>
    <w:rsid w:val="00262FB5"/>
    <w:rsid w:val="0026327E"/>
    <w:rsid w:val="00267892"/>
    <w:rsid w:val="00270AEF"/>
    <w:rsid w:val="002716EC"/>
    <w:rsid w:val="00271DC8"/>
    <w:rsid w:val="00271DCF"/>
    <w:rsid w:val="00271F97"/>
    <w:rsid w:val="00272422"/>
    <w:rsid w:val="00272A3F"/>
    <w:rsid w:val="00273625"/>
    <w:rsid w:val="00273E29"/>
    <w:rsid w:val="0027409C"/>
    <w:rsid w:val="00275020"/>
    <w:rsid w:val="00275A04"/>
    <w:rsid w:val="002760FA"/>
    <w:rsid w:val="00276268"/>
    <w:rsid w:val="00276883"/>
    <w:rsid w:val="00282BA3"/>
    <w:rsid w:val="00282FBB"/>
    <w:rsid w:val="00284576"/>
    <w:rsid w:val="002850DA"/>
    <w:rsid w:val="0028714C"/>
    <w:rsid w:val="002874E7"/>
    <w:rsid w:val="00287689"/>
    <w:rsid w:val="002900B2"/>
    <w:rsid w:val="002913A6"/>
    <w:rsid w:val="0029220C"/>
    <w:rsid w:val="002928AB"/>
    <w:rsid w:val="00292B1C"/>
    <w:rsid w:val="00293E80"/>
    <w:rsid w:val="0029623A"/>
    <w:rsid w:val="00296320"/>
    <w:rsid w:val="00297052"/>
    <w:rsid w:val="00297066"/>
    <w:rsid w:val="0029741A"/>
    <w:rsid w:val="002A028E"/>
    <w:rsid w:val="002A0921"/>
    <w:rsid w:val="002A1989"/>
    <w:rsid w:val="002A2A64"/>
    <w:rsid w:val="002A329B"/>
    <w:rsid w:val="002A4524"/>
    <w:rsid w:val="002A592F"/>
    <w:rsid w:val="002A6DBB"/>
    <w:rsid w:val="002A781F"/>
    <w:rsid w:val="002B034D"/>
    <w:rsid w:val="002B214D"/>
    <w:rsid w:val="002B3973"/>
    <w:rsid w:val="002B3C8A"/>
    <w:rsid w:val="002B642C"/>
    <w:rsid w:val="002B663E"/>
    <w:rsid w:val="002B6911"/>
    <w:rsid w:val="002B6DB3"/>
    <w:rsid w:val="002B6F51"/>
    <w:rsid w:val="002B72D1"/>
    <w:rsid w:val="002B790E"/>
    <w:rsid w:val="002B7DC4"/>
    <w:rsid w:val="002B7E60"/>
    <w:rsid w:val="002C0916"/>
    <w:rsid w:val="002C0DD4"/>
    <w:rsid w:val="002C1363"/>
    <w:rsid w:val="002C28D0"/>
    <w:rsid w:val="002C31EF"/>
    <w:rsid w:val="002C36CC"/>
    <w:rsid w:val="002C4B4F"/>
    <w:rsid w:val="002C4F69"/>
    <w:rsid w:val="002C5358"/>
    <w:rsid w:val="002C57B0"/>
    <w:rsid w:val="002D0D8F"/>
    <w:rsid w:val="002D0DC0"/>
    <w:rsid w:val="002D10F0"/>
    <w:rsid w:val="002D1462"/>
    <w:rsid w:val="002D1BB7"/>
    <w:rsid w:val="002D233D"/>
    <w:rsid w:val="002D2539"/>
    <w:rsid w:val="002D2566"/>
    <w:rsid w:val="002D29C7"/>
    <w:rsid w:val="002D2CD5"/>
    <w:rsid w:val="002D34A9"/>
    <w:rsid w:val="002D4F5B"/>
    <w:rsid w:val="002D5E0C"/>
    <w:rsid w:val="002D63BA"/>
    <w:rsid w:val="002D69CC"/>
    <w:rsid w:val="002D765F"/>
    <w:rsid w:val="002D7954"/>
    <w:rsid w:val="002D7CFE"/>
    <w:rsid w:val="002E0A95"/>
    <w:rsid w:val="002E2196"/>
    <w:rsid w:val="002E34D5"/>
    <w:rsid w:val="002E3735"/>
    <w:rsid w:val="002E378F"/>
    <w:rsid w:val="002E558B"/>
    <w:rsid w:val="002E6130"/>
    <w:rsid w:val="002E69B0"/>
    <w:rsid w:val="002F018F"/>
    <w:rsid w:val="002F0273"/>
    <w:rsid w:val="002F06BD"/>
    <w:rsid w:val="002F0D31"/>
    <w:rsid w:val="002F1558"/>
    <w:rsid w:val="002F1FF1"/>
    <w:rsid w:val="002F2881"/>
    <w:rsid w:val="002F3183"/>
    <w:rsid w:val="002F3892"/>
    <w:rsid w:val="002F45F0"/>
    <w:rsid w:val="002F4A2E"/>
    <w:rsid w:val="002F7402"/>
    <w:rsid w:val="00300368"/>
    <w:rsid w:val="00300E5D"/>
    <w:rsid w:val="00302570"/>
    <w:rsid w:val="0030349F"/>
    <w:rsid w:val="00303C97"/>
    <w:rsid w:val="00305082"/>
    <w:rsid w:val="00305BC4"/>
    <w:rsid w:val="00306549"/>
    <w:rsid w:val="00306D45"/>
    <w:rsid w:val="00306F43"/>
    <w:rsid w:val="0030705A"/>
    <w:rsid w:val="00307F56"/>
    <w:rsid w:val="00311064"/>
    <w:rsid w:val="003113BF"/>
    <w:rsid w:val="003117BB"/>
    <w:rsid w:val="00312336"/>
    <w:rsid w:val="003124FF"/>
    <w:rsid w:val="003126E0"/>
    <w:rsid w:val="00312C6B"/>
    <w:rsid w:val="003134CD"/>
    <w:rsid w:val="003147BE"/>
    <w:rsid w:val="00317988"/>
    <w:rsid w:val="00317D16"/>
    <w:rsid w:val="003221C9"/>
    <w:rsid w:val="00323377"/>
    <w:rsid w:val="003241A0"/>
    <w:rsid w:val="00325F71"/>
    <w:rsid w:val="003264B6"/>
    <w:rsid w:val="00326B00"/>
    <w:rsid w:val="00326B56"/>
    <w:rsid w:val="00326F0A"/>
    <w:rsid w:val="0033061C"/>
    <w:rsid w:val="00332DED"/>
    <w:rsid w:val="0033320A"/>
    <w:rsid w:val="00333DE7"/>
    <w:rsid w:val="00334497"/>
    <w:rsid w:val="00334AE1"/>
    <w:rsid w:val="003351C0"/>
    <w:rsid w:val="00340BCF"/>
    <w:rsid w:val="003441E3"/>
    <w:rsid w:val="00344F3C"/>
    <w:rsid w:val="003457D0"/>
    <w:rsid w:val="00345876"/>
    <w:rsid w:val="00345998"/>
    <w:rsid w:val="003469FC"/>
    <w:rsid w:val="00347726"/>
    <w:rsid w:val="0035022A"/>
    <w:rsid w:val="003514C3"/>
    <w:rsid w:val="0035173C"/>
    <w:rsid w:val="00355181"/>
    <w:rsid w:val="0035720E"/>
    <w:rsid w:val="00360494"/>
    <w:rsid w:val="00362596"/>
    <w:rsid w:val="003628F7"/>
    <w:rsid w:val="0036441B"/>
    <w:rsid w:val="00364AB9"/>
    <w:rsid w:val="003665AD"/>
    <w:rsid w:val="00366912"/>
    <w:rsid w:val="00367018"/>
    <w:rsid w:val="00372AE6"/>
    <w:rsid w:val="00372F8A"/>
    <w:rsid w:val="00373736"/>
    <w:rsid w:val="003737C4"/>
    <w:rsid w:val="00374ED6"/>
    <w:rsid w:val="00375A1A"/>
    <w:rsid w:val="00375AA0"/>
    <w:rsid w:val="00380AE1"/>
    <w:rsid w:val="00380E3E"/>
    <w:rsid w:val="00381AD6"/>
    <w:rsid w:val="00381B75"/>
    <w:rsid w:val="00383573"/>
    <w:rsid w:val="00383AAD"/>
    <w:rsid w:val="0038777F"/>
    <w:rsid w:val="003902DF"/>
    <w:rsid w:val="00391970"/>
    <w:rsid w:val="00391E0E"/>
    <w:rsid w:val="003920AD"/>
    <w:rsid w:val="003924CA"/>
    <w:rsid w:val="003925E1"/>
    <w:rsid w:val="00393159"/>
    <w:rsid w:val="003932AB"/>
    <w:rsid w:val="003941BE"/>
    <w:rsid w:val="00394280"/>
    <w:rsid w:val="003948BE"/>
    <w:rsid w:val="00394EB2"/>
    <w:rsid w:val="00395801"/>
    <w:rsid w:val="00397BF5"/>
    <w:rsid w:val="003A00C2"/>
    <w:rsid w:val="003A056A"/>
    <w:rsid w:val="003A109B"/>
    <w:rsid w:val="003A2CB1"/>
    <w:rsid w:val="003A2E5D"/>
    <w:rsid w:val="003A34D6"/>
    <w:rsid w:val="003A45E9"/>
    <w:rsid w:val="003A49F2"/>
    <w:rsid w:val="003A52F0"/>
    <w:rsid w:val="003A54A1"/>
    <w:rsid w:val="003A573F"/>
    <w:rsid w:val="003A5892"/>
    <w:rsid w:val="003A6E0A"/>
    <w:rsid w:val="003A78E5"/>
    <w:rsid w:val="003A7B3D"/>
    <w:rsid w:val="003A7DFC"/>
    <w:rsid w:val="003B04DD"/>
    <w:rsid w:val="003B0581"/>
    <w:rsid w:val="003B092A"/>
    <w:rsid w:val="003B0A2B"/>
    <w:rsid w:val="003B1032"/>
    <w:rsid w:val="003B26FD"/>
    <w:rsid w:val="003B2E5A"/>
    <w:rsid w:val="003B349D"/>
    <w:rsid w:val="003B3733"/>
    <w:rsid w:val="003B38A6"/>
    <w:rsid w:val="003B4E92"/>
    <w:rsid w:val="003B6603"/>
    <w:rsid w:val="003B6A41"/>
    <w:rsid w:val="003B75A5"/>
    <w:rsid w:val="003B7810"/>
    <w:rsid w:val="003B79C2"/>
    <w:rsid w:val="003C0631"/>
    <w:rsid w:val="003C0B7B"/>
    <w:rsid w:val="003C23DE"/>
    <w:rsid w:val="003C334C"/>
    <w:rsid w:val="003C3CC1"/>
    <w:rsid w:val="003C4274"/>
    <w:rsid w:val="003C4781"/>
    <w:rsid w:val="003C6701"/>
    <w:rsid w:val="003C6E44"/>
    <w:rsid w:val="003C75F1"/>
    <w:rsid w:val="003D01B6"/>
    <w:rsid w:val="003D060A"/>
    <w:rsid w:val="003D0A83"/>
    <w:rsid w:val="003D0F3F"/>
    <w:rsid w:val="003D1432"/>
    <w:rsid w:val="003D2B38"/>
    <w:rsid w:val="003D2BCC"/>
    <w:rsid w:val="003D3B8B"/>
    <w:rsid w:val="003D44EB"/>
    <w:rsid w:val="003D4EA3"/>
    <w:rsid w:val="003D54FA"/>
    <w:rsid w:val="003E1282"/>
    <w:rsid w:val="003E33AA"/>
    <w:rsid w:val="003E441F"/>
    <w:rsid w:val="003E61AA"/>
    <w:rsid w:val="003E6461"/>
    <w:rsid w:val="003E6973"/>
    <w:rsid w:val="003E7022"/>
    <w:rsid w:val="003E7272"/>
    <w:rsid w:val="003E7C6F"/>
    <w:rsid w:val="003F13D2"/>
    <w:rsid w:val="003F36BD"/>
    <w:rsid w:val="003F3B4B"/>
    <w:rsid w:val="003F66BA"/>
    <w:rsid w:val="003F6D28"/>
    <w:rsid w:val="003F7011"/>
    <w:rsid w:val="003F79F2"/>
    <w:rsid w:val="00401994"/>
    <w:rsid w:val="00402418"/>
    <w:rsid w:val="00403FF3"/>
    <w:rsid w:val="00404694"/>
    <w:rsid w:val="00404F5B"/>
    <w:rsid w:val="0040770F"/>
    <w:rsid w:val="004102E1"/>
    <w:rsid w:val="00411062"/>
    <w:rsid w:val="004112F6"/>
    <w:rsid w:val="00414539"/>
    <w:rsid w:val="004145BC"/>
    <w:rsid w:val="00415155"/>
    <w:rsid w:val="00415222"/>
    <w:rsid w:val="00416594"/>
    <w:rsid w:val="00417B51"/>
    <w:rsid w:val="004205E5"/>
    <w:rsid w:val="00420FBC"/>
    <w:rsid w:val="004211C3"/>
    <w:rsid w:val="004219D9"/>
    <w:rsid w:val="004227BF"/>
    <w:rsid w:val="0042288E"/>
    <w:rsid w:val="00422A4A"/>
    <w:rsid w:val="0042536D"/>
    <w:rsid w:val="004259E7"/>
    <w:rsid w:val="00427F19"/>
    <w:rsid w:val="004301B0"/>
    <w:rsid w:val="004301FD"/>
    <w:rsid w:val="0043058B"/>
    <w:rsid w:val="004312D7"/>
    <w:rsid w:val="00432A18"/>
    <w:rsid w:val="004330C0"/>
    <w:rsid w:val="004331D7"/>
    <w:rsid w:val="004354F4"/>
    <w:rsid w:val="00435AF2"/>
    <w:rsid w:val="004374E1"/>
    <w:rsid w:val="004375D6"/>
    <w:rsid w:val="00437B90"/>
    <w:rsid w:val="00437ED7"/>
    <w:rsid w:val="0044114F"/>
    <w:rsid w:val="004423C2"/>
    <w:rsid w:val="00442CE7"/>
    <w:rsid w:val="0044345C"/>
    <w:rsid w:val="00443584"/>
    <w:rsid w:val="0044409A"/>
    <w:rsid w:val="00445ADC"/>
    <w:rsid w:val="00447A69"/>
    <w:rsid w:val="00451AA2"/>
    <w:rsid w:val="00453810"/>
    <w:rsid w:val="00453EBE"/>
    <w:rsid w:val="00454184"/>
    <w:rsid w:val="00454A33"/>
    <w:rsid w:val="00455DB6"/>
    <w:rsid w:val="00455E14"/>
    <w:rsid w:val="00456A76"/>
    <w:rsid w:val="00457050"/>
    <w:rsid w:val="00457274"/>
    <w:rsid w:val="004575C8"/>
    <w:rsid w:val="004578CA"/>
    <w:rsid w:val="00460018"/>
    <w:rsid w:val="00460206"/>
    <w:rsid w:val="00460692"/>
    <w:rsid w:val="004616ED"/>
    <w:rsid w:val="00461B7E"/>
    <w:rsid w:val="0046347C"/>
    <w:rsid w:val="00464289"/>
    <w:rsid w:val="004659A5"/>
    <w:rsid w:val="00465B61"/>
    <w:rsid w:val="00465E45"/>
    <w:rsid w:val="00465FF2"/>
    <w:rsid w:val="00466231"/>
    <w:rsid w:val="0046629A"/>
    <w:rsid w:val="004666D2"/>
    <w:rsid w:val="00466ED9"/>
    <w:rsid w:val="0046744E"/>
    <w:rsid w:val="00472403"/>
    <w:rsid w:val="004730DE"/>
    <w:rsid w:val="0047312C"/>
    <w:rsid w:val="004731E8"/>
    <w:rsid w:val="004735A6"/>
    <w:rsid w:val="004755E3"/>
    <w:rsid w:val="00475EDA"/>
    <w:rsid w:val="004768DA"/>
    <w:rsid w:val="0047723B"/>
    <w:rsid w:val="00477EC4"/>
    <w:rsid w:val="00480D03"/>
    <w:rsid w:val="004823A4"/>
    <w:rsid w:val="00482726"/>
    <w:rsid w:val="00483AAB"/>
    <w:rsid w:val="004850D0"/>
    <w:rsid w:val="00486207"/>
    <w:rsid w:val="00486873"/>
    <w:rsid w:val="00487021"/>
    <w:rsid w:val="00487E59"/>
    <w:rsid w:val="004901AB"/>
    <w:rsid w:val="004901AE"/>
    <w:rsid w:val="00490210"/>
    <w:rsid w:val="00490301"/>
    <w:rsid w:val="00490321"/>
    <w:rsid w:val="00491250"/>
    <w:rsid w:val="00492C3D"/>
    <w:rsid w:val="00492EF7"/>
    <w:rsid w:val="004931BD"/>
    <w:rsid w:val="00493B58"/>
    <w:rsid w:val="00494EFE"/>
    <w:rsid w:val="00495BA1"/>
    <w:rsid w:val="00496C5A"/>
    <w:rsid w:val="004A0544"/>
    <w:rsid w:val="004A0CBE"/>
    <w:rsid w:val="004A11E5"/>
    <w:rsid w:val="004A2319"/>
    <w:rsid w:val="004A2544"/>
    <w:rsid w:val="004A3084"/>
    <w:rsid w:val="004A3D2E"/>
    <w:rsid w:val="004A475C"/>
    <w:rsid w:val="004A4C07"/>
    <w:rsid w:val="004A569C"/>
    <w:rsid w:val="004A5A51"/>
    <w:rsid w:val="004A61B6"/>
    <w:rsid w:val="004A7DDE"/>
    <w:rsid w:val="004B0A68"/>
    <w:rsid w:val="004B1253"/>
    <w:rsid w:val="004B19F2"/>
    <w:rsid w:val="004B1B2B"/>
    <w:rsid w:val="004B1DFC"/>
    <w:rsid w:val="004B2EAD"/>
    <w:rsid w:val="004B436E"/>
    <w:rsid w:val="004B4AB4"/>
    <w:rsid w:val="004B6D0F"/>
    <w:rsid w:val="004B71C5"/>
    <w:rsid w:val="004C14B7"/>
    <w:rsid w:val="004C1702"/>
    <w:rsid w:val="004C194F"/>
    <w:rsid w:val="004C350B"/>
    <w:rsid w:val="004C3A8E"/>
    <w:rsid w:val="004C4605"/>
    <w:rsid w:val="004C46EB"/>
    <w:rsid w:val="004C54EA"/>
    <w:rsid w:val="004C65A2"/>
    <w:rsid w:val="004C7530"/>
    <w:rsid w:val="004D065E"/>
    <w:rsid w:val="004D304F"/>
    <w:rsid w:val="004D4AD0"/>
    <w:rsid w:val="004D5535"/>
    <w:rsid w:val="004D58F5"/>
    <w:rsid w:val="004D6BA4"/>
    <w:rsid w:val="004D761B"/>
    <w:rsid w:val="004E221B"/>
    <w:rsid w:val="004E3489"/>
    <w:rsid w:val="004E3ACE"/>
    <w:rsid w:val="004E3B23"/>
    <w:rsid w:val="004E47BB"/>
    <w:rsid w:val="004E50FB"/>
    <w:rsid w:val="004E6040"/>
    <w:rsid w:val="004F0E14"/>
    <w:rsid w:val="004F1AC7"/>
    <w:rsid w:val="004F3E34"/>
    <w:rsid w:val="004F4142"/>
    <w:rsid w:val="004F49B0"/>
    <w:rsid w:val="00500B88"/>
    <w:rsid w:val="00500BC6"/>
    <w:rsid w:val="005030F2"/>
    <w:rsid w:val="005035C5"/>
    <w:rsid w:val="00505E66"/>
    <w:rsid w:val="005073CF"/>
    <w:rsid w:val="00510869"/>
    <w:rsid w:val="00510D7E"/>
    <w:rsid w:val="00511881"/>
    <w:rsid w:val="00512AE5"/>
    <w:rsid w:val="00513331"/>
    <w:rsid w:val="005151B9"/>
    <w:rsid w:val="00515B86"/>
    <w:rsid w:val="00515CD9"/>
    <w:rsid w:val="00516B5D"/>
    <w:rsid w:val="005202F0"/>
    <w:rsid w:val="00520CC2"/>
    <w:rsid w:val="00520D65"/>
    <w:rsid w:val="00521BF2"/>
    <w:rsid w:val="0052228E"/>
    <w:rsid w:val="00523370"/>
    <w:rsid w:val="00524107"/>
    <w:rsid w:val="005244FD"/>
    <w:rsid w:val="00525523"/>
    <w:rsid w:val="00526746"/>
    <w:rsid w:val="005269CF"/>
    <w:rsid w:val="00530682"/>
    <w:rsid w:val="0053116E"/>
    <w:rsid w:val="00531672"/>
    <w:rsid w:val="005328E2"/>
    <w:rsid w:val="00532F48"/>
    <w:rsid w:val="005339BC"/>
    <w:rsid w:val="005354BD"/>
    <w:rsid w:val="005357A0"/>
    <w:rsid w:val="00536F23"/>
    <w:rsid w:val="00543F56"/>
    <w:rsid w:val="00544C3D"/>
    <w:rsid w:val="0054545F"/>
    <w:rsid w:val="0054551E"/>
    <w:rsid w:val="0054637F"/>
    <w:rsid w:val="005478B2"/>
    <w:rsid w:val="00550D8B"/>
    <w:rsid w:val="00551936"/>
    <w:rsid w:val="005530CB"/>
    <w:rsid w:val="00553BC6"/>
    <w:rsid w:val="005544D1"/>
    <w:rsid w:val="00557125"/>
    <w:rsid w:val="00560081"/>
    <w:rsid w:val="0056262E"/>
    <w:rsid w:val="00563200"/>
    <w:rsid w:val="005638F3"/>
    <w:rsid w:val="00563A2F"/>
    <w:rsid w:val="00564C7B"/>
    <w:rsid w:val="005650AA"/>
    <w:rsid w:val="0056553D"/>
    <w:rsid w:val="00565B71"/>
    <w:rsid w:val="005661DE"/>
    <w:rsid w:val="0057083E"/>
    <w:rsid w:val="00573174"/>
    <w:rsid w:val="00573927"/>
    <w:rsid w:val="00574FA1"/>
    <w:rsid w:val="0057514F"/>
    <w:rsid w:val="0057586C"/>
    <w:rsid w:val="0057798E"/>
    <w:rsid w:val="005808FD"/>
    <w:rsid w:val="00580926"/>
    <w:rsid w:val="00581E9D"/>
    <w:rsid w:val="00583E34"/>
    <w:rsid w:val="0058661B"/>
    <w:rsid w:val="00586929"/>
    <w:rsid w:val="00586996"/>
    <w:rsid w:val="00591D4B"/>
    <w:rsid w:val="00592128"/>
    <w:rsid w:val="0059237F"/>
    <w:rsid w:val="005924D8"/>
    <w:rsid w:val="00592848"/>
    <w:rsid w:val="00596029"/>
    <w:rsid w:val="00597A62"/>
    <w:rsid w:val="005A0311"/>
    <w:rsid w:val="005A1B7F"/>
    <w:rsid w:val="005A2176"/>
    <w:rsid w:val="005A225A"/>
    <w:rsid w:val="005A30EB"/>
    <w:rsid w:val="005A34DF"/>
    <w:rsid w:val="005A385D"/>
    <w:rsid w:val="005A4235"/>
    <w:rsid w:val="005A5375"/>
    <w:rsid w:val="005A6A59"/>
    <w:rsid w:val="005B1640"/>
    <w:rsid w:val="005B25A9"/>
    <w:rsid w:val="005B2B9F"/>
    <w:rsid w:val="005B3F58"/>
    <w:rsid w:val="005B4FE4"/>
    <w:rsid w:val="005B7D3D"/>
    <w:rsid w:val="005C1237"/>
    <w:rsid w:val="005C3626"/>
    <w:rsid w:val="005C408F"/>
    <w:rsid w:val="005C65F3"/>
    <w:rsid w:val="005C6FA5"/>
    <w:rsid w:val="005C7269"/>
    <w:rsid w:val="005C7766"/>
    <w:rsid w:val="005D1409"/>
    <w:rsid w:val="005D2649"/>
    <w:rsid w:val="005D27AC"/>
    <w:rsid w:val="005D3307"/>
    <w:rsid w:val="005D3369"/>
    <w:rsid w:val="005D3955"/>
    <w:rsid w:val="005D3B72"/>
    <w:rsid w:val="005D4060"/>
    <w:rsid w:val="005D57C4"/>
    <w:rsid w:val="005D591A"/>
    <w:rsid w:val="005E17B2"/>
    <w:rsid w:val="005E19E7"/>
    <w:rsid w:val="005E3ABB"/>
    <w:rsid w:val="005E5819"/>
    <w:rsid w:val="005E599F"/>
    <w:rsid w:val="005E5F32"/>
    <w:rsid w:val="005E6648"/>
    <w:rsid w:val="005E6726"/>
    <w:rsid w:val="005E75C5"/>
    <w:rsid w:val="005E7FA4"/>
    <w:rsid w:val="005F0161"/>
    <w:rsid w:val="005F0E8D"/>
    <w:rsid w:val="005F1938"/>
    <w:rsid w:val="005F4C5E"/>
    <w:rsid w:val="005F6D89"/>
    <w:rsid w:val="005F6EE0"/>
    <w:rsid w:val="005F7B10"/>
    <w:rsid w:val="00601B7B"/>
    <w:rsid w:val="00601BAA"/>
    <w:rsid w:val="00601C98"/>
    <w:rsid w:val="00602A37"/>
    <w:rsid w:val="00602C65"/>
    <w:rsid w:val="00604270"/>
    <w:rsid w:val="00604B70"/>
    <w:rsid w:val="00605CE0"/>
    <w:rsid w:val="00606235"/>
    <w:rsid w:val="006063EA"/>
    <w:rsid w:val="00606670"/>
    <w:rsid w:val="00606D68"/>
    <w:rsid w:val="00606E15"/>
    <w:rsid w:val="0060701E"/>
    <w:rsid w:val="006079D2"/>
    <w:rsid w:val="00610055"/>
    <w:rsid w:val="006104D7"/>
    <w:rsid w:val="006105E4"/>
    <w:rsid w:val="00612B35"/>
    <w:rsid w:val="00612DC2"/>
    <w:rsid w:val="006141C3"/>
    <w:rsid w:val="0061553F"/>
    <w:rsid w:val="00615B6A"/>
    <w:rsid w:val="00615C43"/>
    <w:rsid w:val="00620486"/>
    <w:rsid w:val="006208C6"/>
    <w:rsid w:val="00620B60"/>
    <w:rsid w:val="006211BC"/>
    <w:rsid w:val="00622260"/>
    <w:rsid w:val="00622956"/>
    <w:rsid w:val="00623786"/>
    <w:rsid w:val="0062422E"/>
    <w:rsid w:val="00624CF0"/>
    <w:rsid w:val="00625E20"/>
    <w:rsid w:val="00631636"/>
    <w:rsid w:val="00632186"/>
    <w:rsid w:val="006324D7"/>
    <w:rsid w:val="006379D2"/>
    <w:rsid w:val="00637EF6"/>
    <w:rsid w:val="00637F39"/>
    <w:rsid w:val="006406FE"/>
    <w:rsid w:val="00641FF6"/>
    <w:rsid w:val="00642451"/>
    <w:rsid w:val="0064245C"/>
    <w:rsid w:val="00645316"/>
    <w:rsid w:val="00646821"/>
    <w:rsid w:val="00650505"/>
    <w:rsid w:val="00652A9A"/>
    <w:rsid w:val="00653769"/>
    <w:rsid w:val="0065383A"/>
    <w:rsid w:val="00653A17"/>
    <w:rsid w:val="00654789"/>
    <w:rsid w:val="00655830"/>
    <w:rsid w:val="00661354"/>
    <w:rsid w:val="00662345"/>
    <w:rsid w:val="00663882"/>
    <w:rsid w:val="00663892"/>
    <w:rsid w:val="006645B6"/>
    <w:rsid w:val="00664B6B"/>
    <w:rsid w:val="00666D6B"/>
    <w:rsid w:val="00666D92"/>
    <w:rsid w:val="006703BA"/>
    <w:rsid w:val="0067061C"/>
    <w:rsid w:val="00671988"/>
    <w:rsid w:val="00672384"/>
    <w:rsid w:val="00672A84"/>
    <w:rsid w:val="00672B4A"/>
    <w:rsid w:val="006732C1"/>
    <w:rsid w:val="00673B89"/>
    <w:rsid w:val="00673CE6"/>
    <w:rsid w:val="00676B55"/>
    <w:rsid w:val="00676CEF"/>
    <w:rsid w:val="006805ED"/>
    <w:rsid w:val="006827FB"/>
    <w:rsid w:val="006840A1"/>
    <w:rsid w:val="00684549"/>
    <w:rsid w:val="006857B5"/>
    <w:rsid w:val="00687B9D"/>
    <w:rsid w:val="006900B7"/>
    <w:rsid w:val="00690F5B"/>
    <w:rsid w:val="00691465"/>
    <w:rsid w:val="0069174C"/>
    <w:rsid w:val="00692B30"/>
    <w:rsid w:val="00693926"/>
    <w:rsid w:val="00694410"/>
    <w:rsid w:val="00696029"/>
    <w:rsid w:val="0069675F"/>
    <w:rsid w:val="00696B83"/>
    <w:rsid w:val="00697598"/>
    <w:rsid w:val="006975DC"/>
    <w:rsid w:val="00697E83"/>
    <w:rsid w:val="006A0C5C"/>
    <w:rsid w:val="006A0F98"/>
    <w:rsid w:val="006A215D"/>
    <w:rsid w:val="006A26DB"/>
    <w:rsid w:val="006A37FD"/>
    <w:rsid w:val="006A4F99"/>
    <w:rsid w:val="006A5A3B"/>
    <w:rsid w:val="006A671B"/>
    <w:rsid w:val="006B0292"/>
    <w:rsid w:val="006B085F"/>
    <w:rsid w:val="006B0B70"/>
    <w:rsid w:val="006B2E43"/>
    <w:rsid w:val="006B4B14"/>
    <w:rsid w:val="006B7517"/>
    <w:rsid w:val="006B7744"/>
    <w:rsid w:val="006B7A30"/>
    <w:rsid w:val="006C086F"/>
    <w:rsid w:val="006C0A05"/>
    <w:rsid w:val="006C0CEE"/>
    <w:rsid w:val="006C0D10"/>
    <w:rsid w:val="006C17C8"/>
    <w:rsid w:val="006C1CF5"/>
    <w:rsid w:val="006C21CF"/>
    <w:rsid w:val="006C452F"/>
    <w:rsid w:val="006C531E"/>
    <w:rsid w:val="006C5878"/>
    <w:rsid w:val="006C5DE1"/>
    <w:rsid w:val="006D07A4"/>
    <w:rsid w:val="006D22AB"/>
    <w:rsid w:val="006D2D19"/>
    <w:rsid w:val="006D3397"/>
    <w:rsid w:val="006D38BA"/>
    <w:rsid w:val="006D38F0"/>
    <w:rsid w:val="006D4545"/>
    <w:rsid w:val="006D4DF0"/>
    <w:rsid w:val="006D5448"/>
    <w:rsid w:val="006D618B"/>
    <w:rsid w:val="006D6D3F"/>
    <w:rsid w:val="006E24B0"/>
    <w:rsid w:val="006E32C1"/>
    <w:rsid w:val="006E335D"/>
    <w:rsid w:val="006E540C"/>
    <w:rsid w:val="006E5856"/>
    <w:rsid w:val="006E5963"/>
    <w:rsid w:val="006E596E"/>
    <w:rsid w:val="006E59F2"/>
    <w:rsid w:val="006E5A7A"/>
    <w:rsid w:val="006F0BC6"/>
    <w:rsid w:val="006F0BE0"/>
    <w:rsid w:val="006F4262"/>
    <w:rsid w:val="006F6671"/>
    <w:rsid w:val="006F7859"/>
    <w:rsid w:val="00701180"/>
    <w:rsid w:val="0070182A"/>
    <w:rsid w:val="00702047"/>
    <w:rsid w:val="00702CFF"/>
    <w:rsid w:val="007035D9"/>
    <w:rsid w:val="007044F6"/>
    <w:rsid w:val="0070457C"/>
    <w:rsid w:val="00704BD7"/>
    <w:rsid w:val="007057F7"/>
    <w:rsid w:val="00705971"/>
    <w:rsid w:val="007063C6"/>
    <w:rsid w:val="00707292"/>
    <w:rsid w:val="00710E09"/>
    <w:rsid w:val="00712BB7"/>
    <w:rsid w:val="007136E0"/>
    <w:rsid w:val="007144C4"/>
    <w:rsid w:val="007144E9"/>
    <w:rsid w:val="0071506B"/>
    <w:rsid w:val="00716DB3"/>
    <w:rsid w:val="007170F9"/>
    <w:rsid w:val="007207F8"/>
    <w:rsid w:val="0072155C"/>
    <w:rsid w:val="00721C67"/>
    <w:rsid w:val="0072260D"/>
    <w:rsid w:val="00722985"/>
    <w:rsid w:val="00723013"/>
    <w:rsid w:val="0072393D"/>
    <w:rsid w:val="00724392"/>
    <w:rsid w:val="00724811"/>
    <w:rsid w:val="00724C09"/>
    <w:rsid w:val="00725437"/>
    <w:rsid w:val="007254C2"/>
    <w:rsid w:val="00726FCA"/>
    <w:rsid w:val="007272CD"/>
    <w:rsid w:val="00727FE9"/>
    <w:rsid w:val="00730D26"/>
    <w:rsid w:val="00731736"/>
    <w:rsid w:val="007321DA"/>
    <w:rsid w:val="007325AD"/>
    <w:rsid w:val="007325F0"/>
    <w:rsid w:val="00733D19"/>
    <w:rsid w:val="00734234"/>
    <w:rsid w:val="0073469D"/>
    <w:rsid w:val="007347D5"/>
    <w:rsid w:val="00734E0B"/>
    <w:rsid w:val="00735A73"/>
    <w:rsid w:val="007362CE"/>
    <w:rsid w:val="00737580"/>
    <w:rsid w:val="0074028C"/>
    <w:rsid w:val="007416FB"/>
    <w:rsid w:val="0074245E"/>
    <w:rsid w:val="00744B57"/>
    <w:rsid w:val="0074529F"/>
    <w:rsid w:val="007453D1"/>
    <w:rsid w:val="00745EFD"/>
    <w:rsid w:val="007460BD"/>
    <w:rsid w:val="00746A01"/>
    <w:rsid w:val="00747028"/>
    <w:rsid w:val="00747B00"/>
    <w:rsid w:val="00747B22"/>
    <w:rsid w:val="00747CBF"/>
    <w:rsid w:val="00750F28"/>
    <w:rsid w:val="0075176B"/>
    <w:rsid w:val="00751E40"/>
    <w:rsid w:val="0075256B"/>
    <w:rsid w:val="00753BD5"/>
    <w:rsid w:val="00754982"/>
    <w:rsid w:val="007566FE"/>
    <w:rsid w:val="0076285C"/>
    <w:rsid w:val="00763238"/>
    <w:rsid w:val="00764184"/>
    <w:rsid w:val="00764280"/>
    <w:rsid w:val="007650B2"/>
    <w:rsid w:val="00765F0B"/>
    <w:rsid w:val="00766409"/>
    <w:rsid w:val="007668ED"/>
    <w:rsid w:val="00771FDA"/>
    <w:rsid w:val="00772DE7"/>
    <w:rsid w:val="00772E42"/>
    <w:rsid w:val="007736C1"/>
    <w:rsid w:val="007745DA"/>
    <w:rsid w:val="00777B4A"/>
    <w:rsid w:val="00777D07"/>
    <w:rsid w:val="00781577"/>
    <w:rsid w:val="007831AF"/>
    <w:rsid w:val="00783D0B"/>
    <w:rsid w:val="00783F03"/>
    <w:rsid w:val="007843B8"/>
    <w:rsid w:val="007844FC"/>
    <w:rsid w:val="00785BD5"/>
    <w:rsid w:val="00786388"/>
    <w:rsid w:val="00786A29"/>
    <w:rsid w:val="00787E08"/>
    <w:rsid w:val="00791707"/>
    <w:rsid w:val="00791C0C"/>
    <w:rsid w:val="00792F3D"/>
    <w:rsid w:val="00793532"/>
    <w:rsid w:val="0079396D"/>
    <w:rsid w:val="00793BD9"/>
    <w:rsid w:val="00794292"/>
    <w:rsid w:val="0079441D"/>
    <w:rsid w:val="007945B6"/>
    <w:rsid w:val="00794993"/>
    <w:rsid w:val="007953D8"/>
    <w:rsid w:val="007A2285"/>
    <w:rsid w:val="007A26A3"/>
    <w:rsid w:val="007A2826"/>
    <w:rsid w:val="007A29B9"/>
    <w:rsid w:val="007A3788"/>
    <w:rsid w:val="007A3F37"/>
    <w:rsid w:val="007A42D1"/>
    <w:rsid w:val="007A4FB2"/>
    <w:rsid w:val="007A5466"/>
    <w:rsid w:val="007A5556"/>
    <w:rsid w:val="007A63AD"/>
    <w:rsid w:val="007A6740"/>
    <w:rsid w:val="007A688D"/>
    <w:rsid w:val="007B041D"/>
    <w:rsid w:val="007B0AB3"/>
    <w:rsid w:val="007B153A"/>
    <w:rsid w:val="007B2A60"/>
    <w:rsid w:val="007B2AE3"/>
    <w:rsid w:val="007B3ED7"/>
    <w:rsid w:val="007B6CCE"/>
    <w:rsid w:val="007B6DB9"/>
    <w:rsid w:val="007C1A8A"/>
    <w:rsid w:val="007C21F8"/>
    <w:rsid w:val="007C23EB"/>
    <w:rsid w:val="007C4F2A"/>
    <w:rsid w:val="007C5515"/>
    <w:rsid w:val="007C5953"/>
    <w:rsid w:val="007C59F8"/>
    <w:rsid w:val="007C6545"/>
    <w:rsid w:val="007C6D8D"/>
    <w:rsid w:val="007C71A5"/>
    <w:rsid w:val="007D03DE"/>
    <w:rsid w:val="007D03FD"/>
    <w:rsid w:val="007D11DE"/>
    <w:rsid w:val="007D4DD0"/>
    <w:rsid w:val="007D6B90"/>
    <w:rsid w:val="007D7101"/>
    <w:rsid w:val="007D7ACB"/>
    <w:rsid w:val="007E231D"/>
    <w:rsid w:val="007E27DF"/>
    <w:rsid w:val="007E2EFA"/>
    <w:rsid w:val="007E5869"/>
    <w:rsid w:val="007E5FD2"/>
    <w:rsid w:val="007E6775"/>
    <w:rsid w:val="007E6922"/>
    <w:rsid w:val="007E70B9"/>
    <w:rsid w:val="007E7F62"/>
    <w:rsid w:val="007F0539"/>
    <w:rsid w:val="007F06A2"/>
    <w:rsid w:val="007F0FAB"/>
    <w:rsid w:val="007F19D1"/>
    <w:rsid w:val="007F33E4"/>
    <w:rsid w:val="007F3475"/>
    <w:rsid w:val="007F542E"/>
    <w:rsid w:val="007F5754"/>
    <w:rsid w:val="007F58C0"/>
    <w:rsid w:val="007F7517"/>
    <w:rsid w:val="007F77A7"/>
    <w:rsid w:val="007F7D0A"/>
    <w:rsid w:val="00801E1C"/>
    <w:rsid w:val="00802224"/>
    <w:rsid w:val="0080237A"/>
    <w:rsid w:val="00802839"/>
    <w:rsid w:val="00802D88"/>
    <w:rsid w:val="00803B7E"/>
    <w:rsid w:val="008054B7"/>
    <w:rsid w:val="00805AFD"/>
    <w:rsid w:val="00805BE0"/>
    <w:rsid w:val="0080605A"/>
    <w:rsid w:val="0080648C"/>
    <w:rsid w:val="00807283"/>
    <w:rsid w:val="00812338"/>
    <w:rsid w:val="008127AA"/>
    <w:rsid w:val="00812BDF"/>
    <w:rsid w:val="00813959"/>
    <w:rsid w:val="008147ED"/>
    <w:rsid w:val="00814BFA"/>
    <w:rsid w:val="008153E3"/>
    <w:rsid w:val="008157CB"/>
    <w:rsid w:val="0081591D"/>
    <w:rsid w:val="0082219F"/>
    <w:rsid w:val="0082244A"/>
    <w:rsid w:val="00823D1E"/>
    <w:rsid w:val="0082624A"/>
    <w:rsid w:val="00826ECD"/>
    <w:rsid w:val="008272B7"/>
    <w:rsid w:val="0082796D"/>
    <w:rsid w:val="00831245"/>
    <w:rsid w:val="0083414A"/>
    <w:rsid w:val="00834C53"/>
    <w:rsid w:val="00835CAA"/>
    <w:rsid w:val="0083666A"/>
    <w:rsid w:val="008372BF"/>
    <w:rsid w:val="00840FB2"/>
    <w:rsid w:val="0084187F"/>
    <w:rsid w:val="00841B98"/>
    <w:rsid w:val="00842324"/>
    <w:rsid w:val="008425FE"/>
    <w:rsid w:val="0084281E"/>
    <w:rsid w:val="0084283C"/>
    <w:rsid w:val="0084332D"/>
    <w:rsid w:val="00844650"/>
    <w:rsid w:val="008458B3"/>
    <w:rsid w:val="00845E3E"/>
    <w:rsid w:val="00845FB9"/>
    <w:rsid w:val="00847B13"/>
    <w:rsid w:val="008513A6"/>
    <w:rsid w:val="008513BA"/>
    <w:rsid w:val="008515CC"/>
    <w:rsid w:val="00855AC7"/>
    <w:rsid w:val="00856724"/>
    <w:rsid w:val="00856DE2"/>
    <w:rsid w:val="0086020D"/>
    <w:rsid w:val="00862779"/>
    <w:rsid w:val="008654F4"/>
    <w:rsid w:val="0086667E"/>
    <w:rsid w:val="00867AC0"/>
    <w:rsid w:val="00867EEF"/>
    <w:rsid w:val="00870805"/>
    <w:rsid w:val="00871704"/>
    <w:rsid w:val="00871B4C"/>
    <w:rsid w:val="00871FD7"/>
    <w:rsid w:val="008722A8"/>
    <w:rsid w:val="008724A5"/>
    <w:rsid w:val="008739A5"/>
    <w:rsid w:val="00874DC3"/>
    <w:rsid w:val="00877E70"/>
    <w:rsid w:val="008806BD"/>
    <w:rsid w:val="00880987"/>
    <w:rsid w:val="008812DF"/>
    <w:rsid w:val="008826E2"/>
    <w:rsid w:val="00882D83"/>
    <w:rsid w:val="008853DB"/>
    <w:rsid w:val="008857BA"/>
    <w:rsid w:val="008868E9"/>
    <w:rsid w:val="00887E86"/>
    <w:rsid w:val="008902B8"/>
    <w:rsid w:val="008905C7"/>
    <w:rsid w:val="0089167F"/>
    <w:rsid w:val="00891B9C"/>
    <w:rsid w:val="008926B3"/>
    <w:rsid w:val="00892B21"/>
    <w:rsid w:val="00894437"/>
    <w:rsid w:val="00894DCB"/>
    <w:rsid w:val="00895CC5"/>
    <w:rsid w:val="008969FE"/>
    <w:rsid w:val="00896E27"/>
    <w:rsid w:val="008A02C1"/>
    <w:rsid w:val="008A13E3"/>
    <w:rsid w:val="008A36B4"/>
    <w:rsid w:val="008A44AB"/>
    <w:rsid w:val="008A4B61"/>
    <w:rsid w:val="008A6EA3"/>
    <w:rsid w:val="008A6F37"/>
    <w:rsid w:val="008A7EA5"/>
    <w:rsid w:val="008B007D"/>
    <w:rsid w:val="008B2188"/>
    <w:rsid w:val="008B53FE"/>
    <w:rsid w:val="008B5603"/>
    <w:rsid w:val="008B57B9"/>
    <w:rsid w:val="008C02F8"/>
    <w:rsid w:val="008C347B"/>
    <w:rsid w:val="008C49D1"/>
    <w:rsid w:val="008C58AF"/>
    <w:rsid w:val="008C5B5D"/>
    <w:rsid w:val="008C5EEF"/>
    <w:rsid w:val="008D0E58"/>
    <w:rsid w:val="008D15F2"/>
    <w:rsid w:val="008D2DF7"/>
    <w:rsid w:val="008D3041"/>
    <w:rsid w:val="008D3BC7"/>
    <w:rsid w:val="008D6772"/>
    <w:rsid w:val="008D6E64"/>
    <w:rsid w:val="008D7521"/>
    <w:rsid w:val="008E1F4E"/>
    <w:rsid w:val="008E32DC"/>
    <w:rsid w:val="008E37EF"/>
    <w:rsid w:val="008E5304"/>
    <w:rsid w:val="008E5708"/>
    <w:rsid w:val="008E7711"/>
    <w:rsid w:val="008E7CE0"/>
    <w:rsid w:val="008F0822"/>
    <w:rsid w:val="008F0877"/>
    <w:rsid w:val="008F1826"/>
    <w:rsid w:val="008F1F8F"/>
    <w:rsid w:val="008F1FF5"/>
    <w:rsid w:val="008F3009"/>
    <w:rsid w:val="008F32C9"/>
    <w:rsid w:val="008F35B9"/>
    <w:rsid w:val="008F5D45"/>
    <w:rsid w:val="008F6DD8"/>
    <w:rsid w:val="00900CAC"/>
    <w:rsid w:val="009010C0"/>
    <w:rsid w:val="00901A5C"/>
    <w:rsid w:val="00903996"/>
    <w:rsid w:val="00903F3A"/>
    <w:rsid w:val="00903FD1"/>
    <w:rsid w:val="00904B44"/>
    <w:rsid w:val="009078D1"/>
    <w:rsid w:val="009115A8"/>
    <w:rsid w:val="00914F09"/>
    <w:rsid w:val="0091531A"/>
    <w:rsid w:val="00916B1E"/>
    <w:rsid w:val="00917C66"/>
    <w:rsid w:val="0092097D"/>
    <w:rsid w:val="00921C61"/>
    <w:rsid w:val="00923FD5"/>
    <w:rsid w:val="009246EF"/>
    <w:rsid w:val="009246FE"/>
    <w:rsid w:val="0092492F"/>
    <w:rsid w:val="00924B86"/>
    <w:rsid w:val="00924E9F"/>
    <w:rsid w:val="009258DB"/>
    <w:rsid w:val="00925CE4"/>
    <w:rsid w:val="00926B63"/>
    <w:rsid w:val="00926BD3"/>
    <w:rsid w:val="00926EB5"/>
    <w:rsid w:val="00931CF6"/>
    <w:rsid w:val="0093286C"/>
    <w:rsid w:val="00932CC2"/>
    <w:rsid w:val="00933717"/>
    <w:rsid w:val="00933C23"/>
    <w:rsid w:val="0093498C"/>
    <w:rsid w:val="00936630"/>
    <w:rsid w:val="00937B38"/>
    <w:rsid w:val="00940B8B"/>
    <w:rsid w:val="009427A8"/>
    <w:rsid w:val="00944921"/>
    <w:rsid w:val="00945F4B"/>
    <w:rsid w:val="00946373"/>
    <w:rsid w:val="00947136"/>
    <w:rsid w:val="00947550"/>
    <w:rsid w:val="00947770"/>
    <w:rsid w:val="00950049"/>
    <w:rsid w:val="00952AEA"/>
    <w:rsid w:val="009535DF"/>
    <w:rsid w:val="00953C39"/>
    <w:rsid w:val="00953FD6"/>
    <w:rsid w:val="00954504"/>
    <w:rsid w:val="00954644"/>
    <w:rsid w:val="00955D3B"/>
    <w:rsid w:val="00955E85"/>
    <w:rsid w:val="00956191"/>
    <w:rsid w:val="00962146"/>
    <w:rsid w:val="009625F3"/>
    <w:rsid w:val="009633D4"/>
    <w:rsid w:val="0097009F"/>
    <w:rsid w:val="00971ED4"/>
    <w:rsid w:val="00971F75"/>
    <w:rsid w:val="00972754"/>
    <w:rsid w:val="00973260"/>
    <w:rsid w:val="00973502"/>
    <w:rsid w:val="00974D7B"/>
    <w:rsid w:val="009768C7"/>
    <w:rsid w:val="0098076F"/>
    <w:rsid w:val="00982F6A"/>
    <w:rsid w:val="00983C7C"/>
    <w:rsid w:val="00984B3D"/>
    <w:rsid w:val="009862CD"/>
    <w:rsid w:val="00986FBB"/>
    <w:rsid w:val="00987DC7"/>
    <w:rsid w:val="00987DD2"/>
    <w:rsid w:val="00991577"/>
    <w:rsid w:val="00993E5C"/>
    <w:rsid w:val="009A34C0"/>
    <w:rsid w:val="009A35BD"/>
    <w:rsid w:val="009A35FA"/>
    <w:rsid w:val="009A457F"/>
    <w:rsid w:val="009A4A2D"/>
    <w:rsid w:val="009B0195"/>
    <w:rsid w:val="009B09C2"/>
    <w:rsid w:val="009B16A0"/>
    <w:rsid w:val="009B1C88"/>
    <w:rsid w:val="009B2777"/>
    <w:rsid w:val="009B2A95"/>
    <w:rsid w:val="009B2AFC"/>
    <w:rsid w:val="009B2BE9"/>
    <w:rsid w:val="009B2F87"/>
    <w:rsid w:val="009B3D60"/>
    <w:rsid w:val="009B4A0E"/>
    <w:rsid w:val="009B4B75"/>
    <w:rsid w:val="009B4F34"/>
    <w:rsid w:val="009B5C08"/>
    <w:rsid w:val="009B67B5"/>
    <w:rsid w:val="009B7CEF"/>
    <w:rsid w:val="009C05C1"/>
    <w:rsid w:val="009C0657"/>
    <w:rsid w:val="009C0FF8"/>
    <w:rsid w:val="009C124E"/>
    <w:rsid w:val="009C22F3"/>
    <w:rsid w:val="009C30F9"/>
    <w:rsid w:val="009C33F9"/>
    <w:rsid w:val="009C5108"/>
    <w:rsid w:val="009C6F25"/>
    <w:rsid w:val="009C7A5C"/>
    <w:rsid w:val="009C7B3C"/>
    <w:rsid w:val="009D05A9"/>
    <w:rsid w:val="009D09DA"/>
    <w:rsid w:val="009D1517"/>
    <w:rsid w:val="009D1C09"/>
    <w:rsid w:val="009D265B"/>
    <w:rsid w:val="009D308C"/>
    <w:rsid w:val="009D35F8"/>
    <w:rsid w:val="009D6236"/>
    <w:rsid w:val="009D6E04"/>
    <w:rsid w:val="009D7405"/>
    <w:rsid w:val="009D7622"/>
    <w:rsid w:val="009D79C9"/>
    <w:rsid w:val="009D7D06"/>
    <w:rsid w:val="009E0A33"/>
    <w:rsid w:val="009E1F68"/>
    <w:rsid w:val="009E3758"/>
    <w:rsid w:val="009E490D"/>
    <w:rsid w:val="009E4A22"/>
    <w:rsid w:val="009E6174"/>
    <w:rsid w:val="009E680C"/>
    <w:rsid w:val="009E6E7C"/>
    <w:rsid w:val="009F0761"/>
    <w:rsid w:val="009F0EC6"/>
    <w:rsid w:val="009F1177"/>
    <w:rsid w:val="009F2642"/>
    <w:rsid w:val="009F3291"/>
    <w:rsid w:val="009F4032"/>
    <w:rsid w:val="009F4599"/>
    <w:rsid w:val="009F47CB"/>
    <w:rsid w:val="009F5B8E"/>
    <w:rsid w:val="009F66A7"/>
    <w:rsid w:val="00A013AB"/>
    <w:rsid w:val="00A01A43"/>
    <w:rsid w:val="00A035CD"/>
    <w:rsid w:val="00A03AC5"/>
    <w:rsid w:val="00A042AF"/>
    <w:rsid w:val="00A06E07"/>
    <w:rsid w:val="00A07031"/>
    <w:rsid w:val="00A07423"/>
    <w:rsid w:val="00A121DC"/>
    <w:rsid w:val="00A134BA"/>
    <w:rsid w:val="00A1410F"/>
    <w:rsid w:val="00A17223"/>
    <w:rsid w:val="00A175AF"/>
    <w:rsid w:val="00A20645"/>
    <w:rsid w:val="00A22623"/>
    <w:rsid w:val="00A22775"/>
    <w:rsid w:val="00A22D26"/>
    <w:rsid w:val="00A2352E"/>
    <w:rsid w:val="00A2491E"/>
    <w:rsid w:val="00A25470"/>
    <w:rsid w:val="00A25F55"/>
    <w:rsid w:val="00A261A9"/>
    <w:rsid w:val="00A26464"/>
    <w:rsid w:val="00A30024"/>
    <w:rsid w:val="00A30DBD"/>
    <w:rsid w:val="00A32EDE"/>
    <w:rsid w:val="00A33843"/>
    <w:rsid w:val="00A35264"/>
    <w:rsid w:val="00A40B74"/>
    <w:rsid w:val="00A40D21"/>
    <w:rsid w:val="00A40FD5"/>
    <w:rsid w:val="00A415A5"/>
    <w:rsid w:val="00A41DC0"/>
    <w:rsid w:val="00A424CB"/>
    <w:rsid w:val="00A42C2C"/>
    <w:rsid w:val="00A4387E"/>
    <w:rsid w:val="00A45260"/>
    <w:rsid w:val="00A459E7"/>
    <w:rsid w:val="00A47FB3"/>
    <w:rsid w:val="00A50703"/>
    <w:rsid w:val="00A50800"/>
    <w:rsid w:val="00A50815"/>
    <w:rsid w:val="00A50992"/>
    <w:rsid w:val="00A515CF"/>
    <w:rsid w:val="00A527C2"/>
    <w:rsid w:val="00A542B4"/>
    <w:rsid w:val="00A54D8E"/>
    <w:rsid w:val="00A55612"/>
    <w:rsid w:val="00A55AA2"/>
    <w:rsid w:val="00A60550"/>
    <w:rsid w:val="00A6164B"/>
    <w:rsid w:val="00A634B8"/>
    <w:rsid w:val="00A63E4C"/>
    <w:rsid w:val="00A64263"/>
    <w:rsid w:val="00A64E21"/>
    <w:rsid w:val="00A658AD"/>
    <w:rsid w:val="00A671A5"/>
    <w:rsid w:val="00A674AD"/>
    <w:rsid w:val="00A67C6C"/>
    <w:rsid w:val="00A7097B"/>
    <w:rsid w:val="00A7121C"/>
    <w:rsid w:val="00A71632"/>
    <w:rsid w:val="00A719E9"/>
    <w:rsid w:val="00A72123"/>
    <w:rsid w:val="00A737AB"/>
    <w:rsid w:val="00A73C80"/>
    <w:rsid w:val="00A75400"/>
    <w:rsid w:val="00A76C39"/>
    <w:rsid w:val="00A77217"/>
    <w:rsid w:val="00A773CF"/>
    <w:rsid w:val="00A77882"/>
    <w:rsid w:val="00A82793"/>
    <w:rsid w:val="00A832FB"/>
    <w:rsid w:val="00A832FE"/>
    <w:rsid w:val="00A83760"/>
    <w:rsid w:val="00A83A3B"/>
    <w:rsid w:val="00A84EE3"/>
    <w:rsid w:val="00A8755F"/>
    <w:rsid w:val="00A87C54"/>
    <w:rsid w:val="00A917AE"/>
    <w:rsid w:val="00A91D19"/>
    <w:rsid w:val="00A93C08"/>
    <w:rsid w:val="00A94B11"/>
    <w:rsid w:val="00A9575F"/>
    <w:rsid w:val="00AA162B"/>
    <w:rsid w:val="00AA1DA9"/>
    <w:rsid w:val="00AA270F"/>
    <w:rsid w:val="00AA2718"/>
    <w:rsid w:val="00AA2823"/>
    <w:rsid w:val="00AA2A6C"/>
    <w:rsid w:val="00AA5C05"/>
    <w:rsid w:val="00AA62C3"/>
    <w:rsid w:val="00AA6455"/>
    <w:rsid w:val="00AA6907"/>
    <w:rsid w:val="00AA6C68"/>
    <w:rsid w:val="00AA71D9"/>
    <w:rsid w:val="00AA747E"/>
    <w:rsid w:val="00AB17B5"/>
    <w:rsid w:val="00AB2048"/>
    <w:rsid w:val="00AB2DDB"/>
    <w:rsid w:val="00AB5EE3"/>
    <w:rsid w:val="00AB7372"/>
    <w:rsid w:val="00AB79A9"/>
    <w:rsid w:val="00AB7AEF"/>
    <w:rsid w:val="00AC0000"/>
    <w:rsid w:val="00AC20CA"/>
    <w:rsid w:val="00AC24E0"/>
    <w:rsid w:val="00AC26C3"/>
    <w:rsid w:val="00AC3AE7"/>
    <w:rsid w:val="00AC5400"/>
    <w:rsid w:val="00AC5AB3"/>
    <w:rsid w:val="00AC5ABE"/>
    <w:rsid w:val="00AC69B4"/>
    <w:rsid w:val="00AC6FA6"/>
    <w:rsid w:val="00AC7C6E"/>
    <w:rsid w:val="00AD04A1"/>
    <w:rsid w:val="00AD0B26"/>
    <w:rsid w:val="00AD202A"/>
    <w:rsid w:val="00AD29E6"/>
    <w:rsid w:val="00AD3A16"/>
    <w:rsid w:val="00AD3AA4"/>
    <w:rsid w:val="00AD48F0"/>
    <w:rsid w:val="00AD5472"/>
    <w:rsid w:val="00AE2FEA"/>
    <w:rsid w:val="00AE363A"/>
    <w:rsid w:val="00AE3991"/>
    <w:rsid w:val="00AE452F"/>
    <w:rsid w:val="00AE4F32"/>
    <w:rsid w:val="00AE4FBA"/>
    <w:rsid w:val="00AE586D"/>
    <w:rsid w:val="00AE58C9"/>
    <w:rsid w:val="00AE5C22"/>
    <w:rsid w:val="00AE6220"/>
    <w:rsid w:val="00AE6A52"/>
    <w:rsid w:val="00AE700E"/>
    <w:rsid w:val="00AE730A"/>
    <w:rsid w:val="00AF256A"/>
    <w:rsid w:val="00AF3998"/>
    <w:rsid w:val="00AF4F8F"/>
    <w:rsid w:val="00AF5DF1"/>
    <w:rsid w:val="00AF6510"/>
    <w:rsid w:val="00B00A7C"/>
    <w:rsid w:val="00B02D9A"/>
    <w:rsid w:val="00B0458B"/>
    <w:rsid w:val="00B049CF"/>
    <w:rsid w:val="00B06117"/>
    <w:rsid w:val="00B0675C"/>
    <w:rsid w:val="00B06E0F"/>
    <w:rsid w:val="00B07313"/>
    <w:rsid w:val="00B10403"/>
    <w:rsid w:val="00B12325"/>
    <w:rsid w:val="00B154F5"/>
    <w:rsid w:val="00B1567F"/>
    <w:rsid w:val="00B173D0"/>
    <w:rsid w:val="00B17F33"/>
    <w:rsid w:val="00B20682"/>
    <w:rsid w:val="00B20803"/>
    <w:rsid w:val="00B20AA6"/>
    <w:rsid w:val="00B21800"/>
    <w:rsid w:val="00B21A2E"/>
    <w:rsid w:val="00B227E9"/>
    <w:rsid w:val="00B22B65"/>
    <w:rsid w:val="00B2329B"/>
    <w:rsid w:val="00B23FFB"/>
    <w:rsid w:val="00B24332"/>
    <w:rsid w:val="00B24796"/>
    <w:rsid w:val="00B26ABB"/>
    <w:rsid w:val="00B27B85"/>
    <w:rsid w:val="00B30B72"/>
    <w:rsid w:val="00B31D1D"/>
    <w:rsid w:val="00B3254C"/>
    <w:rsid w:val="00B32717"/>
    <w:rsid w:val="00B336F4"/>
    <w:rsid w:val="00B33C2E"/>
    <w:rsid w:val="00B3734B"/>
    <w:rsid w:val="00B37C9A"/>
    <w:rsid w:val="00B37E50"/>
    <w:rsid w:val="00B40277"/>
    <w:rsid w:val="00B4157A"/>
    <w:rsid w:val="00B43CAD"/>
    <w:rsid w:val="00B44949"/>
    <w:rsid w:val="00B45502"/>
    <w:rsid w:val="00B45F73"/>
    <w:rsid w:val="00B5050B"/>
    <w:rsid w:val="00B50FEB"/>
    <w:rsid w:val="00B5134B"/>
    <w:rsid w:val="00B52153"/>
    <w:rsid w:val="00B53073"/>
    <w:rsid w:val="00B53296"/>
    <w:rsid w:val="00B53353"/>
    <w:rsid w:val="00B55F46"/>
    <w:rsid w:val="00B574E0"/>
    <w:rsid w:val="00B57912"/>
    <w:rsid w:val="00B57BF0"/>
    <w:rsid w:val="00B6073F"/>
    <w:rsid w:val="00B61DA2"/>
    <w:rsid w:val="00B61E4E"/>
    <w:rsid w:val="00B6211E"/>
    <w:rsid w:val="00B62C3D"/>
    <w:rsid w:val="00B63051"/>
    <w:rsid w:val="00B64002"/>
    <w:rsid w:val="00B6757E"/>
    <w:rsid w:val="00B67C69"/>
    <w:rsid w:val="00B7238C"/>
    <w:rsid w:val="00B73280"/>
    <w:rsid w:val="00B736FB"/>
    <w:rsid w:val="00B755C2"/>
    <w:rsid w:val="00B769AF"/>
    <w:rsid w:val="00B77233"/>
    <w:rsid w:val="00B80182"/>
    <w:rsid w:val="00B80A4D"/>
    <w:rsid w:val="00B80A9A"/>
    <w:rsid w:val="00B81678"/>
    <w:rsid w:val="00B82321"/>
    <w:rsid w:val="00B82B7F"/>
    <w:rsid w:val="00B82BB5"/>
    <w:rsid w:val="00B85B4E"/>
    <w:rsid w:val="00B86248"/>
    <w:rsid w:val="00B86D57"/>
    <w:rsid w:val="00B86FE7"/>
    <w:rsid w:val="00B87211"/>
    <w:rsid w:val="00B879CC"/>
    <w:rsid w:val="00B9122A"/>
    <w:rsid w:val="00B923AB"/>
    <w:rsid w:val="00B9306F"/>
    <w:rsid w:val="00B9418C"/>
    <w:rsid w:val="00B94B46"/>
    <w:rsid w:val="00B94BD5"/>
    <w:rsid w:val="00B9597C"/>
    <w:rsid w:val="00B95E95"/>
    <w:rsid w:val="00B961B5"/>
    <w:rsid w:val="00B969C7"/>
    <w:rsid w:val="00B97057"/>
    <w:rsid w:val="00BA0606"/>
    <w:rsid w:val="00BA0906"/>
    <w:rsid w:val="00BA12A1"/>
    <w:rsid w:val="00BA1F67"/>
    <w:rsid w:val="00BA2285"/>
    <w:rsid w:val="00BA23D6"/>
    <w:rsid w:val="00BA3559"/>
    <w:rsid w:val="00BA6F41"/>
    <w:rsid w:val="00BA7D0F"/>
    <w:rsid w:val="00BA7DDA"/>
    <w:rsid w:val="00BB1882"/>
    <w:rsid w:val="00BB224F"/>
    <w:rsid w:val="00BB2457"/>
    <w:rsid w:val="00BB2526"/>
    <w:rsid w:val="00BB3060"/>
    <w:rsid w:val="00BB3D46"/>
    <w:rsid w:val="00BB465E"/>
    <w:rsid w:val="00BB47C4"/>
    <w:rsid w:val="00BB4B03"/>
    <w:rsid w:val="00BB72A5"/>
    <w:rsid w:val="00BB7CA7"/>
    <w:rsid w:val="00BC1230"/>
    <w:rsid w:val="00BC1458"/>
    <w:rsid w:val="00BC1572"/>
    <w:rsid w:val="00BC16B6"/>
    <w:rsid w:val="00BC3076"/>
    <w:rsid w:val="00BC3D31"/>
    <w:rsid w:val="00BC43CB"/>
    <w:rsid w:val="00BC506F"/>
    <w:rsid w:val="00BC5A5D"/>
    <w:rsid w:val="00BC7193"/>
    <w:rsid w:val="00BD09DA"/>
    <w:rsid w:val="00BD1219"/>
    <w:rsid w:val="00BD1FB4"/>
    <w:rsid w:val="00BD4CA2"/>
    <w:rsid w:val="00BE09E7"/>
    <w:rsid w:val="00BE109E"/>
    <w:rsid w:val="00BE169A"/>
    <w:rsid w:val="00BE23C9"/>
    <w:rsid w:val="00BE23EA"/>
    <w:rsid w:val="00BE2A94"/>
    <w:rsid w:val="00BE42D5"/>
    <w:rsid w:val="00BE64BB"/>
    <w:rsid w:val="00BE7C3C"/>
    <w:rsid w:val="00BF0A69"/>
    <w:rsid w:val="00BF1908"/>
    <w:rsid w:val="00BF1DA1"/>
    <w:rsid w:val="00BF200B"/>
    <w:rsid w:val="00BF3A68"/>
    <w:rsid w:val="00BF539C"/>
    <w:rsid w:val="00BF5789"/>
    <w:rsid w:val="00C002E3"/>
    <w:rsid w:val="00C00461"/>
    <w:rsid w:val="00C01D06"/>
    <w:rsid w:val="00C03137"/>
    <w:rsid w:val="00C03C33"/>
    <w:rsid w:val="00C04F86"/>
    <w:rsid w:val="00C05343"/>
    <w:rsid w:val="00C1011F"/>
    <w:rsid w:val="00C11413"/>
    <w:rsid w:val="00C1226D"/>
    <w:rsid w:val="00C12652"/>
    <w:rsid w:val="00C134DD"/>
    <w:rsid w:val="00C1428F"/>
    <w:rsid w:val="00C172FA"/>
    <w:rsid w:val="00C20C12"/>
    <w:rsid w:val="00C22104"/>
    <w:rsid w:val="00C228A3"/>
    <w:rsid w:val="00C22CF8"/>
    <w:rsid w:val="00C22E1C"/>
    <w:rsid w:val="00C240F1"/>
    <w:rsid w:val="00C25613"/>
    <w:rsid w:val="00C256F3"/>
    <w:rsid w:val="00C30222"/>
    <w:rsid w:val="00C30F51"/>
    <w:rsid w:val="00C315F6"/>
    <w:rsid w:val="00C32E89"/>
    <w:rsid w:val="00C330C1"/>
    <w:rsid w:val="00C3352F"/>
    <w:rsid w:val="00C3378F"/>
    <w:rsid w:val="00C33878"/>
    <w:rsid w:val="00C338E6"/>
    <w:rsid w:val="00C3403D"/>
    <w:rsid w:val="00C34F86"/>
    <w:rsid w:val="00C3514C"/>
    <w:rsid w:val="00C35601"/>
    <w:rsid w:val="00C35BC9"/>
    <w:rsid w:val="00C3612A"/>
    <w:rsid w:val="00C3702D"/>
    <w:rsid w:val="00C37FBE"/>
    <w:rsid w:val="00C40745"/>
    <w:rsid w:val="00C41C74"/>
    <w:rsid w:val="00C41F31"/>
    <w:rsid w:val="00C42633"/>
    <w:rsid w:val="00C429CE"/>
    <w:rsid w:val="00C42F4A"/>
    <w:rsid w:val="00C43F97"/>
    <w:rsid w:val="00C43FB1"/>
    <w:rsid w:val="00C443D4"/>
    <w:rsid w:val="00C44D73"/>
    <w:rsid w:val="00C4573D"/>
    <w:rsid w:val="00C4623D"/>
    <w:rsid w:val="00C46F18"/>
    <w:rsid w:val="00C53166"/>
    <w:rsid w:val="00C5396B"/>
    <w:rsid w:val="00C54F31"/>
    <w:rsid w:val="00C55C2C"/>
    <w:rsid w:val="00C5694D"/>
    <w:rsid w:val="00C571EC"/>
    <w:rsid w:val="00C6049E"/>
    <w:rsid w:val="00C61315"/>
    <w:rsid w:val="00C626BD"/>
    <w:rsid w:val="00C65769"/>
    <w:rsid w:val="00C65D74"/>
    <w:rsid w:val="00C67E27"/>
    <w:rsid w:val="00C710B6"/>
    <w:rsid w:val="00C72363"/>
    <w:rsid w:val="00C73A84"/>
    <w:rsid w:val="00C74808"/>
    <w:rsid w:val="00C74B80"/>
    <w:rsid w:val="00C7568D"/>
    <w:rsid w:val="00C75743"/>
    <w:rsid w:val="00C77A87"/>
    <w:rsid w:val="00C8021A"/>
    <w:rsid w:val="00C80554"/>
    <w:rsid w:val="00C814B6"/>
    <w:rsid w:val="00C81A4C"/>
    <w:rsid w:val="00C82775"/>
    <w:rsid w:val="00C82E8B"/>
    <w:rsid w:val="00C842F7"/>
    <w:rsid w:val="00C84EB6"/>
    <w:rsid w:val="00C85097"/>
    <w:rsid w:val="00C8575D"/>
    <w:rsid w:val="00C86BC8"/>
    <w:rsid w:val="00C87AD5"/>
    <w:rsid w:val="00C9290D"/>
    <w:rsid w:val="00C92C21"/>
    <w:rsid w:val="00C933DB"/>
    <w:rsid w:val="00C93578"/>
    <w:rsid w:val="00C935FA"/>
    <w:rsid w:val="00C943A4"/>
    <w:rsid w:val="00C944BA"/>
    <w:rsid w:val="00C95C88"/>
    <w:rsid w:val="00C96BF9"/>
    <w:rsid w:val="00C97473"/>
    <w:rsid w:val="00CA0676"/>
    <w:rsid w:val="00CA0A9B"/>
    <w:rsid w:val="00CA1794"/>
    <w:rsid w:val="00CA2397"/>
    <w:rsid w:val="00CA2F2D"/>
    <w:rsid w:val="00CA3233"/>
    <w:rsid w:val="00CA3459"/>
    <w:rsid w:val="00CA3706"/>
    <w:rsid w:val="00CA43BF"/>
    <w:rsid w:val="00CA6036"/>
    <w:rsid w:val="00CA7464"/>
    <w:rsid w:val="00CA75D9"/>
    <w:rsid w:val="00CA7901"/>
    <w:rsid w:val="00CB2150"/>
    <w:rsid w:val="00CB2D07"/>
    <w:rsid w:val="00CB47FD"/>
    <w:rsid w:val="00CB5D9D"/>
    <w:rsid w:val="00CB7456"/>
    <w:rsid w:val="00CC11E4"/>
    <w:rsid w:val="00CC1B6A"/>
    <w:rsid w:val="00CC25F9"/>
    <w:rsid w:val="00CC276E"/>
    <w:rsid w:val="00CC3F10"/>
    <w:rsid w:val="00CC50EF"/>
    <w:rsid w:val="00CC55B3"/>
    <w:rsid w:val="00CC72A3"/>
    <w:rsid w:val="00CC7465"/>
    <w:rsid w:val="00CC7B8B"/>
    <w:rsid w:val="00CD0505"/>
    <w:rsid w:val="00CD1F5D"/>
    <w:rsid w:val="00CD1F9A"/>
    <w:rsid w:val="00CD380D"/>
    <w:rsid w:val="00CD4907"/>
    <w:rsid w:val="00CD4C29"/>
    <w:rsid w:val="00CD4D7C"/>
    <w:rsid w:val="00CD55AC"/>
    <w:rsid w:val="00CD5933"/>
    <w:rsid w:val="00CE20BA"/>
    <w:rsid w:val="00CE42B4"/>
    <w:rsid w:val="00CE4CF2"/>
    <w:rsid w:val="00CE63F1"/>
    <w:rsid w:val="00CE770D"/>
    <w:rsid w:val="00CE7AE7"/>
    <w:rsid w:val="00CF1099"/>
    <w:rsid w:val="00CF1CE8"/>
    <w:rsid w:val="00CF6124"/>
    <w:rsid w:val="00CF6BB5"/>
    <w:rsid w:val="00CF6C00"/>
    <w:rsid w:val="00CF7883"/>
    <w:rsid w:val="00D00E78"/>
    <w:rsid w:val="00D02C40"/>
    <w:rsid w:val="00D02E92"/>
    <w:rsid w:val="00D0309F"/>
    <w:rsid w:val="00D046B4"/>
    <w:rsid w:val="00D04D70"/>
    <w:rsid w:val="00D05C47"/>
    <w:rsid w:val="00D065B6"/>
    <w:rsid w:val="00D0718D"/>
    <w:rsid w:val="00D11331"/>
    <w:rsid w:val="00D129E9"/>
    <w:rsid w:val="00D13673"/>
    <w:rsid w:val="00D14459"/>
    <w:rsid w:val="00D1447F"/>
    <w:rsid w:val="00D14AF2"/>
    <w:rsid w:val="00D154BD"/>
    <w:rsid w:val="00D1600A"/>
    <w:rsid w:val="00D16137"/>
    <w:rsid w:val="00D17707"/>
    <w:rsid w:val="00D2100C"/>
    <w:rsid w:val="00D2188C"/>
    <w:rsid w:val="00D219E4"/>
    <w:rsid w:val="00D22D68"/>
    <w:rsid w:val="00D22F72"/>
    <w:rsid w:val="00D258BF"/>
    <w:rsid w:val="00D3019A"/>
    <w:rsid w:val="00D3042C"/>
    <w:rsid w:val="00D30629"/>
    <w:rsid w:val="00D30B1A"/>
    <w:rsid w:val="00D324FD"/>
    <w:rsid w:val="00D333C6"/>
    <w:rsid w:val="00D34711"/>
    <w:rsid w:val="00D36B5A"/>
    <w:rsid w:val="00D3749B"/>
    <w:rsid w:val="00D37B7D"/>
    <w:rsid w:val="00D37E97"/>
    <w:rsid w:val="00D37FA9"/>
    <w:rsid w:val="00D44002"/>
    <w:rsid w:val="00D446CA"/>
    <w:rsid w:val="00D44C38"/>
    <w:rsid w:val="00D44D3B"/>
    <w:rsid w:val="00D450F3"/>
    <w:rsid w:val="00D45546"/>
    <w:rsid w:val="00D52134"/>
    <w:rsid w:val="00D52582"/>
    <w:rsid w:val="00D5488E"/>
    <w:rsid w:val="00D54B5C"/>
    <w:rsid w:val="00D54F1E"/>
    <w:rsid w:val="00D565F6"/>
    <w:rsid w:val="00D566E1"/>
    <w:rsid w:val="00D5683B"/>
    <w:rsid w:val="00D568BD"/>
    <w:rsid w:val="00D56F1B"/>
    <w:rsid w:val="00D57928"/>
    <w:rsid w:val="00D57DFB"/>
    <w:rsid w:val="00D6024A"/>
    <w:rsid w:val="00D603B7"/>
    <w:rsid w:val="00D61593"/>
    <w:rsid w:val="00D61AE4"/>
    <w:rsid w:val="00D628E7"/>
    <w:rsid w:val="00D638CA"/>
    <w:rsid w:val="00D646BC"/>
    <w:rsid w:val="00D65028"/>
    <w:rsid w:val="00D65727"/>
    <w:rsid w:val="00D66523"/>
    <w:rsid w:val="00D66B12"/>
    <w:rsid w:val="00D71E32"/>
    <w:rsid w:val="00D72409"/>
    <w:rsid w:val="00D736A0"/>
    <w:rsid w:val="00D736B9"/>
    <w:rsid w:val="00D74C78"/>
    <w:rsid w:val="00D7505C"/>
    <w:rsid w:val="00D77048"/>
    <w:rsid w:val="00D77465"/>
    <w:rsid w:val="00D80185"/>
    <w:rsid w:val="00D8055A"/>
    <w:rsid w:val="00D806FE"/>
    <w:rsid w:val="00D81B2A"/>
    <w:rsid w:val="00D82C5A"/>
    <w:rsid w:val="00D8360F"/>
    <w:rsid w:val="00D836F4"/>
    <w:rsid w:val="00D837AB"/>
    <w:rsid w:val="00D83A45"/>
    <w:rsid w:val="00D84BFC"/>
    <w:rsid w:val="00D85166"/>
    <w:rsid w:val="00D85790"/>
    <w:rsid w:val="00D85791"/>
    <w:rsid w:val="00D85DD8"/>
    <w:rsid w:val="00D8689F"/>
    <w:rsid w:val="00D86F11"/>
    <w:rsid w:val="00D86FDC"/>
    <w:rsid w:val="00D870BC"/>
    <w:rsid w:val="00D91AD7"/>
    <w:rsid w:val="00D93546"/>
    <w:rsid w:val="00D9395F"/>
    <w:rsid w:val="00D93C6B"/>
    <w:rsid w:val="00D93E5B"/>
    <w:rsid w:val="00D95FD5"/>
    <w:rsid w:val="00D96AB3"/>
    <w:rsid w:val="00D96B56"/>
    <w:rsid w:val="00D97A41"/>
    <w:rsid w:val="00DA092D"/>
    <w:rsid w:val="00DA2E35"/>
    <w:rsid w:val="00DA36CB"/>
    <w:rsid w:val="00DA4BF9"/>
    <w:rsid w:val="00DA626B"/>
    <w:rsid w:val="00DA69D3"/>
    <w:rsid w:val="00DA70FA"/>
    <w:rsid w:val="00DB0409"/>
    <w:rsid w:val="00DB0EFE"/>
    <w:rsid w:val="00DB2444"/>
    <w:rsid w:val="00DB28FC"/>
    <w:rsid w:val="00DB30E6"/>
    <w:rsid w:val="00DB62A2"/>
    <w:rsid w:val="00DB6805"/>
    <w:rsid w:val="00DB7C3D"/>
    <w:rsid w:val="00DC0141"/>
    <w:rsid w:val="00DC0E7A"/>
    <w:rsid w:val="00DC0FA7"/>
    <w:rsid w:val="00DC0FC0"/>
    <w:rsid w:val="00DC10A1"/>
    <w:rsid w:val="00DC1652"/>
    <w:rsid w:val="00DC2B21"/>
    <w:rsid w:val="00DC3D10"/>
    <w:rsid w:val="00DC4226"/>
    <w:rsid w:val="00DC46F8"/>
    <w:rsid w:val="00DC50FB"/>
    <w:rsid w:val="00DC6A6B"/>
    <w:rsid w:val="00DC7D51"/>
    <w:rsid w:val="00DC7E99"/>
    <w:rsid w:val="00DD0728"/>
    <w:rsid w:val="00DD12F2"/>
    <w:rsid w:val="00DD2493"/>
    <w:rsid w:val="00DD2C81"/>
    <w:rsid w:val="00DD32AB"/>
    <w:rsid w:val="00DD39EC"/>
    <w:rsid w:val="00DD3AE8"/>
    <w:rsid w:val="00DD4379"/>
    <w:rsid w:val="00DD485C"/>
    <w:rsid w:val="00DD4DD0"/>
    <w:rsid w:val="00DD543F"/>
    <w:rsid w:val="00DD57C4"/>
    <w:rsid w:val="00DD68BB"/>
    <w:rsid w:val="00DD7362"/>
    <w:rsid w:val="00DD78BD"/>
    <w:rsid w:val="00DD7FB9"/>
    <w:rsid w:val="00DE0DD5"/>
    <w:rsid w:val="00DE1324"/>
    <w:rsid w:val="00DE1933"/>
    <w:rsid w:val="00DE1F41"/>
    <w:rsid w:val="00DE24E6"/>
    <w:rsid w:val="00DE3914"/>
    <w:rsid w:val="00DE3B95"/>
    <w:rsid w:val="00DE4EEC"/>
    <w:rsid w:val="00DE6104"/>
    <w:rsid w:val="00DE7C6F"/>
    <w:rsid w:val="00DE7D92"/>
    <w:rsid w:val="00DF0B9B"/>
    <w:rsid w:val="00DF0C5A"/>
    <w:rsid w:val="00DF1E77"/>
    <w:rsid w:val="00DF4C01"/>
    <w:rsid w:val="00DF693C"/>
    <w:rsid w:val="00DF69CD"/>
    <w:rsid w:val="00DF7881"/>
    <w:rsid w:val="00E00A05"/>
    <w:rsid w:val="00E029DC"/>
    <w:rsid w:val="00E0308B"/>
    <w:rsid w:val="00E03E24"/>
    <w:rsid w:val="00E047BD"/>
    <w:rsid w:val="00E0592E"/>
    <w:rsid w:val="00E0687A"/>
    <w:rsid w:val="00E107C2"/>
    <w:rsid w:val="00E120F5"/>
    <w:rsid w:val="00E129DE"/>
    <w:rsid w:val="00E14394"/>
    <w:rsid w:val="00E14416"/>
    <w:rsid w:val="00E15CFC"/>
    <w:rsid w:val="00E16E46"/>
    <w:rsid w:val="00E17854"/>
    <w:rsid w:val="00E22B43"/>
    <w:rsid w:val="00E25EF0"/>
    <w:rsid w:val="00E2698A"/>
    <w:rsid w:val="00E309DB"/>
    <w:rsid w:val="00E30FEA"/>
    <w:rsid w:val="00E32820"/>
    <w:rsid w:val="00E32FB3"/>
    <w:rsid w:val="00E331D9"/>
    <w:rsid w:val="00E34348"/>
    <w:rsid w:val="00E347DC"/>
    <w:rsid w:val="00E35176"/>
    <w:rsid w:val="00E35347"/>
    <w:rsid w:val="00E35613"/>
    <w:rsid w:val="00E36248"/>
    <w:rsid w:val="00E36656"/>
    <w:rsid w:val="00E36758"/>
    <w:rsid w:val="00E40521"/>
    <w:rsid w:val="00E4064A"/>
    <w:rsid w:val="00E407A6"/>
    <w:rsid w:val="00E42B29"/>
    <w:rsid w:val="00E42BEC"/>
    <w:rsid w:val="00E440CC"/>
    <w:rsid w:val="00E456C2"/>
    <w:rsid w:val="00E4650E"/>
    <w:rsid w:val="00E4740D"/>
    <w:rsid w:val="00E47823"/>
    <w:rsid w:val="00E47CFF"/>
    <w:rsid w:val="00E500EE"/>
    <w:rsid w:val="00E519F6"/>
    <w:rsid w:val="00E51B20"/>
    <w:rsid w:val="00E52617"/>
    <w:rsid w:val="00E5279F"/>
    <w:rsid w:val="00E54415"/>
    <w:rsid w:val="00E56539"/>
    <w:rsid w:val="00E60D47"/>
    <w:rsid w:val="00E61CD3"/>
    <w:rsid w:val="00E61E7F"/>
    <w:rsid w:val="00E621B5"/>
    <w:rsid w:val="00E62DC2"/>
    <w:rsid w:val="00E63B38"/>
    <w:rsid w:val="00E64BE8"/>
    <w:rsid w:val="00E64CC9"/>
    <w:rsid w:val="00E6539D"/>
    <w:rsid w:val="00E7043B"/>
    <w:rsid w:val="00E70655"/>
    <w:rsid w:val="00E7116F"/>
    <w:rsid w:val="00E71F6E"/>
    <w:rsid w:val="00E72052"/>
    <w:rsid w:val="00E7213D"/>
    <w:rsid w:val="00E72859"/>
    <w:rsid w:val="00E72FBB"/>
    <w:rsid w:val="00E75EF4"/>
    <w:rsid w:val="00E77251"/>
    <w:rsid w:val="00E7751F"/>
    <w:rsid w:val="00E808FA"/>
    <w:rsid w:val="00E81D38"/>
    <w:rsid w:val="00E83BE1"/>
    <w:rsid w:val="00E863C1"/>
    <w:rsid w:val="00E86CD0"/>
    <w:rsid w:val="00E87B7F"/>
    <w:rsid w:val="00E91332"/>
    <w:rsid w:val="00E915D8"/>
    <w:rsid w:val="00E91DD6"/>
    <w:rsid w:val="00E922C9"/>
    <w:rsid w:val="00E92FBB"/>
    <w:rsid w:val="00E93CCC"/>
    <w:rsid w:val="00E93EBF"/>
    <w:rsid w:val="00E95A1C"/>
    <w:rsid w:val="00E96F65"/>
    <w:rsid w:val="00E972A5"/>
    <w:rsid w:val="00E976A8"/>
    <w:rsid w:val="00E97D10"/>
    <w:rsid w:val="00EA01B7"/>
    <w:rsid w:val="00EA0AA1"/>
    <w:rsid w:val="00EA5AF0"/>
    <w:rsid w:val="00EA647D"/>
    <w:rsid w:val="00EA6E1F"/>
    <w:rsid w:val="00EA7840"/>
    <w:rsid w:val="00EA79B5"/>
    <w:rsid w:val="00EA7CE9"/>
    <w:rsid w:val="00EA7DFA"/>
    <w:rsid w:val="00EB3D58"/>
    <w:rsid w:val="00EB3D72"/>
    <w:rsid w:val="00EB5340"/>
    <w:rsid w:val="00EB59A6"/>
    <w:rsid w:val="00EB7476"/>
    <w:rsid w:val="00EB770C"/>
    <w:rsid w:val="00EB7E2F"/>
    <w:rsid w:val="00EC09FF"/>
    <w:rsid w:val="00EC1884"/>
    <w:rsid w:val="00EC1D7D"/>
    <w:rsid w:val="00EC2421"/>
    <w:rsid w:val="00EC3244"/>
    <w:rsid w:val="00EC436D"/>
    <w:rsid w:val="00EC5C6D"/>
    <w:rsid w:val="00EC5CF6"/>
    <w:rsid w:val="00EC5F6A"/>
    <w:rsid w:val="00EC6940"/>
    <w:rsid w:val="00ED18BD"/>
    <w:rsid w:val="00ED1A36"/>
    <w:rsid w:val="00ED2533"/>
    <w:rsid w:val="00ED2BA6"/>
    <w:rsid w:val="00ED4354"/>
    <w:rsid w:val="00ED47A2"/>
    <w:rsid w:val="00ED4B9A"/>
    <w:rsid w:val="00ED5482"/>
    <w:rsid w:val="00ED5CE9"/>
    <w:rsid w:val="00ED704D"/>
    <w:rsid w:val="00ED76E7"/>
    <w:rsid w:val="00EE0367"/>
    <w:rsid w:val="00EE08F2"/>
    <w:rsid w:val="00EE1791"/>
    <w:rsid w:val="00EE1DF8"/>
    <w:rsid w:val="00EE4439"/>
    <w:rsid w:val="00EE5120"/>
    <w:rsid w:val="00EE62C9"/>
    <w:rsid w:val="00EE6821"/>
    <w:rsid w:val="00EE6A43"/>
    <w:rsid w:val="00EE703E"/>
    <w:rsid w:val="00EE79F9"/>
    <w:rsid w:val="00EE7A10"/>
    <w:rsid w:val="00EF0391"/>
    <w:rsid w:val="00EF0AEF"/>
    <w:rsid w:val="00EF3810"/>
    <w:rsid w:val="00EF4662"/>
    <w:rsid w:val="00EF59BC"/>
    <w:rsid w:val="00EF649D"/>
    <w:rsid w:val="00F000F2"/>
    <w:rsid w:val="00F0017C"/>
    <w:rsid w:val="00F00792"/>
    <w:rsid w:val="00F02530"/>
    <w:rsid w:val="00F0388F"/>
    <w:rsid w:val="00F0424A"/>
    <w:rsid w:val="00F04934"/>
    <w:rsid w:val="00F055F7"/>
    <w:rsid w:val="00F05C1E"/>
    <w:rsid w:val="00F063CD"/>
    <w:rsid w:val="00F06731"/>
    <w:rsid w:val="00F06BD3"/>
    <w:rsid w:val="00F06F75"/>
    <w:rsid w:val="00F0744A"/>
    <w:rsid w:val="00F07A47"/>
    <w:rsid w:val="00F10ECC"/>
    <w:rsid w:val="00F11F04"/>
    <w:rsid w:val="00F12C97"/>
    <w:rsid w:val="00F13CD5"/>
    <w:rsid w:val="00F14324"/>
    <w:rsid w:val="00F14899"/>
    <w:rsid w:val="00F150E8"/>
    <w:rsid w:val="00F15658"/>
    <w:rsid w:val="00F1693C"/>
    <w:rsid w:val="00F17E87"/>
    <w:rsid w:val="00F17F41"/>
    <w:rsid w:val="00F20C2B"/>
    <w:rsid w:val="00F21238"/>
    <w:rsid w:val="00F22E2B"/>
    <w:rsid w:val="00F23764"/>
    <w:rsid w:val="00F2404A"/>
    <w:rsid w:val="00F24B46"/>
    <w:rsid w:val="00F24EA3"/>
    <w:rsid w:val="00F25087"/>
    <w:rsid w:val="00F257CD"/>
    <w:rsid w:val="00F25C14"/>
    <w:rsid w:val="00F25DB5"/>
    <w:rsid w:val="00F30EC2"/>
    <w:rsid w:val="00F31252"/>
    <w:rsid w:val="00F31469"/>
    <w:rsid w:val="00F32F89"/>
    <w:rsid w:val="00F3373D"/>
    <w:rsid w:val="00F33E7E"/>
    <w:rsid w:val="00F3426F"/>
    <w:rsid w:val="00F34996"/>
    <w:rsid w:val="00F35A2C"/>
    <w:rsid w:val="00F36073"/>
    <w:rsid w:val="00F36426"/>
    <w:rsid w:val="00F3699C"/>
    <w:rsid w:val="00F36C1A"/>
    <w:rsid w:val="00F36CAA"/>
    <w:rsid w:val="00F36EDB"/>
    <w:rsid w:val="00F37457"/>
    <w:rsid w:val="00F37C02"/>
    <w:rsid w:val="00F37F07"/>
    <w:rsid w:val="00F40BA6"/>
    <w:rsid w:val="00F41063"/>
    <w:rsid w:val="00F41BED"/>
    <w:rsid w:val="00F420B1"/>
    <w:rsid w:val="00F42820"/>
    <w:rsid w:val="00F42F75"/>
    <w:rsid w:val="00F43706"/>
    <w:rsid w:val="00F445C5"/>
    <w:rsid w:val="00F45E46"/>
    <w:rsid w:val="00F463F9"/>
    <w:rsid w:val="00F46CEE"/>
    <w:rsid w:val="00F506A8"/>
    <w:rsid w:val="00F52299"/>
    <w:rsid w:val="00F53800"/>
    <w:rsid w:val="00F54268"/>
    <w:rsid w:val="00F545F5"/>
    <w:rsid w:val="00F549D7"/>
    <w:rsid w:val="00F5735D"/>
    <w:rsid w:val="00F57474"/>
    <w:rsid w:val="00F57646"/>
    <w:rsid w:val="00F57ADF"/>
    <w:rsid w:val="00F57C5F"/>
    <w:rsid w:val="00F6061A"/>
    <w:rsid w:val="00F6189F"/>
    <w:rsid w:val="00F6212C"/>
    <w:rsid w:val="00F63446"/>
    <w:rsid w:val="00F637FC"/>
    <w:rsid w:val="00F64D68"/>
    <w:rsid w:val="00F659C2"/>
    <w:rsid w:val="00F65C49"/>
    <w:rsid w:val="00F67A38"/>
    <w:rsid w:val="00F716DE"/>
    <w:rsid w:val="00F7326F"/>
    <w:rsid w:val="00F73DA2"/>
    <w:rsid w:val="00F73FEE"/>
    <w:rsid w:val="00F745BD"/>
    <w:rsid w:val="00F74C45"/>
    <w:rsid w:val="00F751DC"/>
    <w:rsid w:val="00F7582D"/>
    <w:rsid w:val="00F80243"/>
    <w:rsid w:val="00F8025E"/>
    <w:rsid w:val="00F808B8"/>
    <w:rsid w:val="00F80EE3"/>
    <w:rsid w:val="00F81417"/>
    <w:rsid w:val="00F81974"/>
    <w:rsid w:val="00F83057"/>
    <w:rsid w:val="00F834AF"/>
    <w:rsid w:val="00F858D0"/>
    <w:rsid w:val="00F862D8"/>
    <w:rsid w:val="00F86FB1"/>
    <w:rsid w:val="00F8701B"/>
    <w:rsid w:val="00F8714D"/>
    <w:rsid w:val="00F87166"/>
    <w:rsid w:val="00F871B7"/>
    <w:rsid w:val="00F8750A"/>
    <w:rsid w:val="00F91A12"/>
    <w:rsid w:val="00F920A9"/>
    <w:rsid w:val="00F92D75"/>
    <w:rsid w:val="00F940A0"/>
    <w:rsid w:val="00F94C14"/>
    <w:rsid w:val="00F94FDE"/>
    <w:rsid w:val="00F95114"/>
    <w:rsid w:val="00F97113"/>
    <w:rsid w:val="00FA0E45"/>
    <w:rsid w:val="00FA16AB"/>
    <w:rsid w:val="00FA3255"/>
    <w:rsid w:val="00FA3C97"/>
    <w:rsid w:val="00FA5560"/>
    <w:rsid w:val="00FB2179"/>
    <w:rsid w:val="00FB29F5"/>
    <w:rsid w:val="00FB2E9B"/>
    <w:rsid w:val="00FB3320"/>
    <w:rsid w:val="00FB485F"/>
    <w:rsid w:val="00FB50DD"/>
    <w:rsid w:val="00FB5A82"/>
    <w:rsid w:val="00FB6CD1"/>
    <w:rsid w:val="00FB7C1E"/>
    <w:rsid w:val="00FC0551"/>
    <w:rsid w:val="00FC2759"/>
    <w:rsid w:val="00FC3D35"/>
    <w:rsid w:val="00FC4DDE"/>
    <w:rsid w:val="00FC52B3"/>
    <w:rsid w:val="00FC57A7"/>
    <w:rsid w:val="00FC5B76"/>
    <w:rsid w:val="00FC5F8D"/>
    <w:rsid w:val="00FC6F4E"/>
    <w:rsid w:val="00FC70A0"/>
    <w:rsid w:val="00FC7A36"/>
    <w:rsid w:val="00FD129E"/>
    <w:rsid w:val="00FD32D0"/>
    <w:rsid w:val="00FD39A7"/>
    <w:rsid w:val="00FD4153"/>
    <w:rsid w:val="00FD43BB"/>
    <w:rsid w:val="00FD49D8"/>
    <w:rsid w:val="00FD612A"/>
    <w:rsid w:val="00FD7D4F"/>
    <w:rsid w:val="00FE3F13"/>
    <w:rsid w:val="00FE5D08"/>
    <w:rsid w:val="00FE5D69"/>
    <w:rsid w:val="00FE6607"/>
    <w:rsid w:val="00FE7791"/>
    <w:rsid w:val="00FF1884"/>
    <w:rsid w:val="00FF20DF"/>
    <w:rsid w:val="00FF2D3C"/>
    <w:rsid w:val="00FF3D0A"/>
    <w:rsid w:val="00FF422B"/>
    <w:rsid w:val="00FF4588"/>
    <w:rsid w:val="00FF5FBB"/>
    <w:rsid w:val="00FF738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01A6A9"/>
  <w14:defaultImageDpi w14:val="300"/>
  <w15:docId w15:val="{FBE8003D-639E-4A9D-A6A4-6F36CA80B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465"/>
    <w:pPr>
      <w:spacing w:line="480" w:lineRule="auto"/>
      <w:ind w:firstLine="720"/>
    </w:pPr>
    <w:rPr>
      <w:rFonts w:ascii="Times New Roman" w:eastAsia="Times New Roman" w:hAnsi="Times New Roman" w:cs="Times New Roman"/>
      <w:color w:val="000000"/>
    </w:rPr>
  </w:style>
  <w:style w:type="paragraph" w:styleId="Heading1">
    <w:name w:val="heading 1"/>
    <w:basedOn w:val="Normal"/>
    <w:next w:val="Normal"/>
    <w:link w:val="Heading1Char"/>
    <w:uiPriority w:val="9"/>
    <w:qFormat/>
    <w:rsid w:val="00034410"/>
    <w:pPr>
      <w:ind w:firstLine="0"/>
      <w:jc w:val="center"/>
      <w:outlineLvl w:val="0"/>
    </w:pPr>
    <w:rPr>
      <w:b/>
      <w:bCs/>
    </w:rPr>
  </w:style>
  <w:style w:type="paragraph" w:styleId="Heading2">
    <w:name w:val="heading 2"/>
    <w:basedOn w:val="Normal"/>
    <w:next w:val="Normal"/>
    <w:link w:val="Heading2Char"/>
    <w:uiPriority w:val="9"/>
    <w:unhideWhenUsed/>
    <w:qFormat/>
    <w:rsid w:val="00034410"/>
    <w:pPr>
      <w:ind w:firstLine="0"/>
      <w:outlineLvl w:val="1"/>
    </w:pPr>
    <w:rPr>
      <w:b/>
      <w:bCs/>
    </w:rPr>
  </w:style>
  <w:style w:type="paragraph" w:styleId="Heading3">
    <w:name w:val="heading 3"/>
    <w:basedOn w:val="Heading2"/>
    <w:next w:val="Normal"/>
    <w:link w:val="Heading3Char"/>
    <w:uiPriority w:val="9"/>
    <w:unhideWhenUsed/>
    <w:qFormat/>
    <w:rsid w:val="00974D7B"/>
    <w:pPr>
      <w:ind w:firstLine="72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67923"/>
    <w:rPr>
      <w:color w:val="0000FF" w:themeColor="hyperlink"/>
      <w:u w:val="single"/>
    </w:rPr>
  </w:style>
  <w:style w:type="paragraph" w:styleId="ListParagraph">
    <w:name w:val="List Paragraph"/>
    <w:basedOn w:val="Normal"/>
    <w:uiPriority w:val="34"/>
    <w:qFormat/>
    <w:rsid w:val="00167923"/>
    <w:pPr>
      <w:ind w:left="720"/>
      <w:contextualSpacing/>
    </w:pPr>
  </w:style>
  <w:style w:type="paragraph" w:customStyle="1" w:styleId="UPSectionHeading">
    <w:name w:val="UP Section Heading"/>
    <w:basedOn w:val="Normal"/>
    <w:qFormat/>
    <w:rsid w:val="00167923"/>
    <w:rPr>
      <w:rFonts w:ascii="Arial" w:eastAsiaTheme="minorEastAsia" w:hAnsi="Arial"/>
      <w:b/>
      <w:color w:val="auto"/>
      <w:sz w:val="26"/>
    </w:rPr>
  </w:style>
  <w:style w:type="paragraph" w:styleId="CommentText">
    <w:name w:val="annotation text"/>
    <w:basedOn w:val="Normal"/>
    <w:link w:val="CommentTextChar"/>
    <w:uiPriority w:val="99"/>
    <w:unhideWhenUsed/>
    <w:rsid w:val="000D2430"/>
  </w:style>
  <w:style w:type="character" w:customStyle="1" w:styleId="CommentTextChar">
    <w:name w:val="Comment Text Char"/>
    <w:basedOn w:val="DefaultParagraphFont"/>
    <w:link w:val="CommentText"/>
    <w:uiPriority w:val="99"/>
    <w:rsid w:val="000D2430"/>
    <w:rPr>
      <w:rFonts w:ascii="Cambria" w:eastAsia="Times New Roman" w:hAnsi="Cambria" w:cs="Cambria"/>
      <w:color w:val="000000"/>
      <w:sz w:val="20"/>
      <w:szCs w:val="20"/>
      <w:lang w:val="en-US"/>
    </w:rPr>
  </w:style>
  <w:style w:type="character" w:styleId="CommentReference">
    <w:name w:val="annotation reference"/>
    <w:basedOn w:val="DefaultParagraphFont"/>
    <w:uiPriority w:val="99"/>
    <w:semiHidden/>
    <w:unhideWhenUsed/>
    <w:rsid w:val="000D2430"/>
    <w:rPr>
      <w:sz w:val="16"/>
      <w:szCs w:val="16"/>
    </w:rPr>
  </w:style>
  <w:style w:type="paragraph" w:styleId="Bibliography">
    <w:name w:val="Bibliography"/>
    <w:basedOn w:val="Normal"/>
    <w:next w:val="Normal"/>
    <w:uiPriority w:val="37"/>
    <w:unhideWhenUsed/>
    <w:rsid w:val="003A109B"/>
    <w:pPr>
      <w:ind w:left="284" w:hanging="284"/>
    </w:pPr>
  </w:style>
  <w:style w:type="character" w:customStyle="1" w:styleId="Heading1Char">
    <w:name w:val="Heading 1 Char"/>
    <w:basedOn w:val="DefaultParagraphFont"/>
    <w:link w:val="Heading1"/>
    <w:uiPriority w:val="9"/>
    <w:rsid w:val="00034410"/>
    <w:rPr>
      <w:rFonts w:ascii="CMU Serif Roman" w:eastAsia="Times New Roman" w:hAnsi="CMU Serif Roman" w:cs="CMU Serif Roman"/>
      <w:b/>
      <w:bCs/>
      <w:color w:val="000000"/>
      <w:sz w:val="18"/>
      <w:szCs w:val="18"/>
    </w:rPr>
  </w:style>
  <w:style w:type="character" w:customStyle="1" w:styleId="Heading2Char">
    <w:name w:val="Heading 2 Char"/>
    <w:basedOn w:val="DefaultParagraphFont"/>
    <w:link w:val="Heading2"/>
    <w:uiPriority w:val="9"/>
    <w:rsid w:val="00034410"/>
    <w:rPr>
      <w:rFonts w:ascii="CMU Serif Roman" w:eastAsia="Times New Roman" w:hAnsi="CMU Serif Roman" w:cs="CMU Serif Roman"/>
      <w:b/>
      <w:bCs/>
      <w:color w:val="000000"/>
      <w:sz w:val="18"/>
      <w:szCs w:val="18"/>
    </w:rPr>
  </w:style>
  <w:style w:type="paragraph" w:styleId="CommentSubject">
    <w:name w:val="annotation subject"/>
    <w:basedOn w:val="CommentText"/>
    <w:next w:val="CommentText"/>
    <w:link w:val="CommentSubjectChar"/>
    <w:uiPriority w:val="99"/>
    <w:semiHidden/>
    <w:unhideWhenUsed/>
    <w:rsid w:val="00AE700E"/>
    <w:rPr>
      <w:b/>
      <w:bCs/>
    </w:rPr>
  </w:style>
  <w:style w:type="character" w:customStyle="1" w:styleId="CommentSubjectChar">
    <w:name w:val="Comment Subject Char"/>
    <w:basedOn w:val="CommentTextChar"/>
    <w:link w:val="CommentSubject"/>
    <w:uiPriority w:val="99"/>
    <w:semiHidden/>
    <w:rsid w:val="00AE700E"/>
    <w:rPr>
      <w:rFonts w:ascii="Cambria" w:eastAsia="Times New Roman" w:hAnsi="Cambria" w:cs="Cambria"/>
      <w:b/>
      <w:bCs/>
      <w:color w:val="000000"/>
      <w:sz w:val="20"/>
      <w:szCs w:val="20"/>
      <w:lang w:val="en-US"/>
    </w:rPr>
  </w:style>
  <w:style w:type="table" w:styleId="TableGrid">
    <w:name w:val="Table Grid"/>
    <w:basedOn w:val="TableNormal"/>
    <w:uiPriority w:val="59"/>
    <w:rsid w:val="00B62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27CD4"/>
  </w:style>
  <w:style w:type="character" w:styleId="PlaceholderText">
    <w:name w:val="Placeholder Text"/>
    <w:basedOn w:val="DefaultParagraphFont"/>
    <w:uiPriority w:val="99"/>
    <w:semiHidden/>
    <w:rsid w:val="00364AB9"/>
    <w:rPr>
      <w:color w:val="808080"/>
    </w:rPr>
  </w:style>
  <w:style w:type="paragraph" w:styleId="Caption">
    <w:name w:val="caption"/>
    <w:basedOn w:val="Normal"/>
    <w:next w:val="Normal"/>
    <w:uiPriority w:val="35"/>
    <w:unhideWhenUsed/>
    <w:qFormat/>
    <w:rsid w:val="0059237F"/>
    <w:pPr>
      <w:spacing w:after="200"/>
    </w:pPr>
    <w:rPr>
      <w:i/>
      <w:iCs/>
      <w:color w:val="1F497D" w:themeColor="text2"/>
    </w:rPr>
  </w:style>
  <w:style w:type="character" w:customStyle="1" w:styleId="Heading3Char">
    <w:name w:val="Heading 3 Char"/>
    <w:basedOn w:val="DefaultParagraphFont"/>
    <w:link w:val="Heading3"/>
    <w:uiPriority w:val="9"/>
    <w:rsid w:val="00974D7B"/>
    <w:rPr>
      <w:rFonts w:ascii="Times New Roman" w:eastAsia="Times New Roman" w:hAnsi="Times New Roman" w:cs="Times New Roman"/>
      <w:b/>
      <w:bCs/>
      <w:color w:val="000000"/>
    </w:rPr>
  </w:style>
  <w:style w:type="character" w:styleId="UnresolvedMention">
    <w:name w:val="Unresolved Mention"/>
    <w:basedOn w:val="DefaultParagraphFont"/>
    <w:uiPriority w:val="99"/>
    <w:semiHidden/>
    <w:unhideWhenUsed/>
    <w:rsid w:val="000B4D42"/>
    <w:rPr>
      <w:color w:val="605E5C"/>
      <w:shd w:val="clear" w:color="auto" w:fill="E1DFDD"/>
    </w:rPr>
  </w:style>
  <w:style w:type="character" w:styleId="FollowedHyperlink">
    <w:name w:val="FollowedHyperlink"/>
    <w:basedOn w:val="DefaultParagraphFont"/>
    <w:uiPriority w:val="99"/>
    <w:semiHidden/>
    <w:unhideWhenUsed/>
    <w:rsid w:val="000B4D42"/>
    <w:rPr>
      <w:color w:val="800080" w:themeColor="followedHyperlink"/>
      <w:u w:val="single"/>
    </w:rPr>
  </w:style>
  <w:style w:type="paragraph" w:styleId="FootnoteText">
    <w:name w:val="footnote text"/>
    <w:basedOn w:val="Normal"/>
    <w:link w:val="FootnoteTextChar"/>
    <w:uiPriority w:val="99"/>
    <w:unhideWhenUsed/>
    <w:rsid w:val="00F94C14"/>
    <w:pPr>
      <w:spacing w:line="240" w:lineRule="auto"/>
      <w:ind w:firstLine="0"/>
    </w:pPr>
  </w:style>
  <w:style w:type="character" w:customStyle="1" w:styleId="FootnoteTextChar">
    <w:name w:val="Footnote Text Char"/>
    <w:basedOn w:val="DefaultParagraphFont"/>
    <w:link w:val="FootnoteText"/>
    <w:uiPriority w:val="99"/>
    <w:rsid w:val="00F94C14"/>
    <w:rPr>
      <w:rFonts w:ascii="Times New Roman" w:eastAsia="Times New Roman" w:hAnsi="Times New Roman" w:cs="Times New Roman"/>
      <w:color w:val="000000"/>
    </w:rPr>
  </w:style>
  <w:style w:type="character" w:styleId="FootnoteReference">
    <w:name w:val="footnote reference"/>
    <w:basedOn w:val="DefaultParagraphFont"/>
    <w:uiPriority w:val="99"/>
    <w:semiHidden/>
    <w:unhideWhenUsed/>
    <w:rsid w:val="007C23EB"/>
    <w:rPr>
      <w:vertAlign w:val="superscript"/>
    </w:rPr>
  </w:style>
  <w:style w:type="character" w:styleId="EndnoteReference">
    <w:name w:val="endnote reference"/>
    <w:basedOn w:val="DefaultParagraphFont"/>
    <w:uiPriority w:val="99"/>
    <w:semiHidden/>
    <w:unhideWhenUsed/>
    <w:rsid w:val="006C1CF5"/>
    <w:rPr>
      <w:vertAlign w:val="superscript"/>
    </w:rPr>
  </w:style>
  <w:style w:type="character" w:customStyle="1" w:styleId="mord">
    <w:name w:val="mord"/>
    <w:basedOn w:val="DefaultParagraphFont"/>
    <w:rsid w:val="001475A4"/>
  </w:style>
  <w:style w:type="character" w:customStyle="1" w:styleId="mrel">
    <w:name w:val="mrel"/>
    <w:basedOn w:val="DefaultParagraphFont"/>
    <w:rsid w:val="001475A4"/>
  </w:style>
  <w:style w:type="character" w:customStyle="1" w:styleId="mbin">
    <w:name w:val="mbin"/>
    <w:basedOn w:val="DefaultParagraphFont"/>
    <w:rsid w:val="001475A4"/>
  </w:style>
  <w:style w:type="character" w:customStyle="1" w:styleId="vlist-s">
    <w:name w:val="vlist-s"/>
    <w:basedOn w:val="DefaultParagraphFont"/>
    <w:rsid w:val="001475A4"/>
  </w:style>
  <w:style w:type="paragraph" w:customStyle="1" w:styleId="abstract">
    <w:name w:val="abstract"/>
    <w:basedOn w:val="Normal"/>
    <w:qFormat/>
    <w:rsid w:val="00043D43"/>
    <w:pPr>
      <w:ind w:left="720" w:right="740" w:firstLine="0"/>
    </w:pPr>
    <w:rPr>
      <w:sz w:val="20"/>
      <w:szCs w:val="20"/>
    </w:rPr>
  </w:style>
  <w:style w:type="paragraph" w:customStyle="1" w:styleId="authors">
    <w:name w:val="authors"/>
    <w:basedOn w:val="Normal"/>
    <w:qFormat/>
    <w:rsid w:val="00043D43"/>
    <w:pPr>
      <w:ind w:firstLine="0"/>
      <w:jc w:val="center"/>
    </w:pPr>
  </w:style>
  <w:style w:type="paragraph" w:customStyle="1" w:styleId="Title1">
    <w:name w:val="Title1"/>
    <w:basedOn w:val="Normal"/>
    <w:qFormat/>
    <w:rsid w:val="00D77465"/>
    <w:pPr>
      <w:ind w:firstLine="0"/>
      <w:jc w:val="center"/>
    </w:pPr>
  </w:style>
  <w:style w:type="paragraph" w:styleId="Header">
    <w:name w:val="header"/>
    <w:basedOn w:val="Normal"/>
    <w:link w:val="HeaderChar"/>
    <w:uiPriority w:val="99"/>
    <w:unhideWhenUsed/>
    <w:rsid w:val="008153E3"/>
    <w:pPr>
      <w:tabs>
        <w:tab w:val="center" w:pos="4513"/>
        <w:tab w:val="right" w:pos="9026"/>
      </w:tabs>
    </w:pPr>
  </w:style>
  <w:style w:type="character" w:customStyle="1" w:styleId="HeaderChar">
    <w:name w:val="Header Char"/>
    <w:basedOn w:val="DefaultParagraphFont"/>
    <w:link w:val="Header"/>
    <w:uiPriority w:val="99"/>
    <w:rsid w:val="008153E3"/>
    <w:rPr>
      <w:rFonts w:ascii="CMU Serif Roman" w:eastAsia="Times New Roman" w:hAnsi="CMU Serif Roman" w:cs="CMU Serif Roman"/>
      <w:color w:val="000000"/>
      <w:sz w:val="18"/>
      <w:szCs w:val="18"/>
    </w:rPr>
  </w:style>
  <w:style w:type="paragraph" w:styleId="Footer">
    <w:name w:val="footer"/>
    <w:basedOn w:val="FootnoteText"/>
    <w:link w:val="FooterChar"/>
    <w:uiPriority w:val="99"/>
    <w:unhideWhenUsed/>
    <w:rsid w:val="00F94C14"/>
  </w:style>
  <w:style w:type="character" w:customStyle="1" w:styleId="FooterChar">
    <w:name w:val="Footer Char"/>
    <w:basedOn w:val="DefaultParagraphFont"/>
    <w:link w:val="Footer"/>
    <w:uiPriority w:val="99"/>
    <w:rsid w:val="00F94C14"/>
    <w:rPr>
      <w:rFonts w:ascii="Times New Roman" w:eastAsia="Times New Roman" w:hAnsi="Times New Roman" w:cs="Times New Roman"/>
      <w:color w:val="000000"/>
    </w:rPr>
  </w:style>
  <w:style w:type="character" w:styleId="PageNumber">
    <w:name w:val="page number"/>
    <w:basedOn w:val="DefaultParagraphFont"/>
    <w:uiPriority w:val="99"/>
    <w:semiHidden/>
    <w:unhideWhenUsed/>
    <w:rsid w:val="008153E3"/>
  </w:style>
  <w:style w:type="paragraph" w:customStyle="1" w:styleId="table">
    <w:name w:val="table"/>
    <w:basedOn w:val="Normal"/>
    <w:qFormat/>
    <w:rsid w:val="000967B0"/>
    <w:pPr>
      <w:ind w:firstLine="14"/>
    </w:pPr>
    <w:rPr>
      <w:sz w:val="16"/>
      <w:szCs w:val="16"/>
    </w:rPr>
  </w:style>
  <w:style w:type="table" w:customStyle="1" w:styleId="TableGrid1">
    <w:name w:val="Table Grid1"/>
    <w:basedOn w:val="TableNormal"/>
    <w:next w:val="TableGrid"/>
    <w:uiPriority w:val="39"/>
    <w:rsid w:val="00601B7B"/>
    <w:rPr>
      <w:rFonts w:eastAsia="MS Mincho"/>
      <w:kern w:val="2"/>
      <w:lang w:val=""/>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0176747">
      <w:bodyDiv w:val="1"/>
      <w:marLeft w:val="0"/>
      <w:marRight w:val="0"/>
      <w:marTop w:val="0"/>
      <w:marBottom w:val="0"/>
      <w:divBdr>
        <w:top w:val="none" w:sz="0" w:space="0" w:color="auto"/>
        <w:left w:val="none" w:sz="0" w:space="0" w:color="auto"/>
        <w:bottom w:val="none" w:sz="0" w:space="0" w:color="auto"/>
        <w:right w:val="none" w:sz="0" w:space="0" w:color="auto"/>
      </w:divBdr>
      <w:divsChild>
        <w:div w:id="1587035385">
          <w:marLeft w:val="0"/>
          <w:marRight w:val="0"/>
          <w:marTop w:val="0"/>
          <w:marBottom w:val="0"/>
          <w:divBdr>
            <w:top w:val="none" w:sz="0" w:space="0" w:color="auto"/>
            <w:left w:val="none" w:sz="0" w:space="0" w:color="auto"/>
            <w:bottom w:val="none" w:sz="0" w:space="0" w:color="auto"/>
            <w:right w:val="none" w:sz="0" w:space="0" w:color="auto"/>
          </w:divBdr>
          <w:divsChild>
            <w:div w:id="158402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004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discoveringstatistics.com/repository/fieldgillett/how_to_do_a_meta_analy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94F73-804E-7F47-8C61-7355FF5C8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51</Pages>
  <Words>33641</Words>
  <Characters>191755</Characters>
  <Application>Microsoft Office Word</Application>
  <DocSecurity>0</DocSecurity>
  <Lines>1597</Lines>
  <Paragraphs>449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Imogen</dc:creator>
  <cp:lastModifiedBy>Hussey, Ian (PSY)</cp:lastModifiedBy>
  <cp:revision>1295</cp:revision>
  <cp:lastPrinted>2024-08-01T11:55:00Z</cp:lastPrinted>
  <dcterms:created xsi:type="dcterms:W3CDTF">2024-08-01T11:55:00Z</dcterms:created>
  <dcterms:modified xsi:type="dcterms:W3CDTF">2024-08-30T15:13:00Z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id="KF6fLWg1"/&gt;&lt;style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