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122C"/>
          <w:sz w:val="44"/>
        </w:rPr>
        <w:t>BillerBay Master PRD, Design System, Build Plan, EDI Plan, and Interactive Mock-up</w:t>
      </w:r>
    </w:p>
    <w:p>
      <w:pPr>
        <w:jc w:val="center"/>
      </w:pPr>
      <w:r>
        <w:rPr>
          <w:color w:val="676687"/>
          <w:sz w:val="24"/>
        </w:rPr>
        <w:t>Patients, Visits, Claims, Billing Work Queues, Payments, Settings, Audit, EDI, Code Sets, and Implementation Tasks</w:t>
      </w:r>
    </w:p>
    <w:p>
      <w:pPr>
        <w:jc w:val="center"/>
      </w:pPr>
      <w:r>
        <w:rPr>
          <w:i/>
          <w:color w:val="676687"/>
          <w:sz w:val="20"/>
        </w:rPr>
        <w:t>Prepared as a Claude / engineering handoff package</w:t>
      </w:r>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2122C"/>
            <w:vAlign w:val="center"/>
          </w:tcPr>
          <w:p>
            <w:pPr>
              <w:jc w:val="left"/>
            </w:pPr>
            <w:r>
              <w:rPr>
                <w:b/>
                <w:color w:val="FFFFFF"/>
                <w:sz w:val="17"/>
              </w:rPr>
              <w:t>Artifact</w:t>
            </w:r>
          </w:p>
        </w:tc>
        <w:tc>
          <w:tcPr>
            <w:tcW w:type="dxa" w:w="8208"/>
            <w:shd w:fill="12122C"/>
            <w:vAlign w:val="center"/>
          </w:tcPr>
          <w:p>
            <w:pPr>
              <w:jc w:val="left"/>
            </w:pPr>
            <w:r>
              <w:rPr>
                <w:b/>
                <w:color w:val="FFFFFF"/>
                <w:sz w:val="17"/>
              </w:rPr>
              <w:t>Included</w:t>
            </w:r>
          </w:p>
        </w:tc>
      </w:tr>
      <w:tr>
        <w:tc>
          <w:tcPr>
            <w:tcW w:type="dxa" w:w="2880"/>
            <w:vAlign w:val="top"/>
          </w:tcPr>
          <w:p>
            <w:r>
              <w:rPr>
                <w:color w:val="12122C"/>
                <w:sz w:val="16"/>
              </w:rPr>
              <w:t>Master PRD DOCX</w:t>
            </w:r>
          </w:p>
        </w:tc>
        <w:tc>
          <w:tcPr>
            <w:tcW w:type="dxa" w:w="8208"/>
            <w:vAlign w:val="top"/>
          </w:tcPr>
          <w:p>
            <w:r>
              <w:rPr>
                <w:color w:val="12122C"/>
                <w:sz w:val="16"/>
              </w:rPr>
              <w:t>This document. Full product requirements, design rules, workflow states, backlog, EDI/code-set plan, acceptance criteria.</w:t>
            </w:r>
          </w:p>
        </w:tc>
      </w:tr>
      <w:tr>
        <w:tc>
          <w:tcPr>
            <w:tcW w:type="dxa" w:w="2880"/>
            <w:vAlign w:val="top"/>
          </w:tcPr>
          <w:p>
            <w:r>
              <w:rPr>
                <w:color w:val="12122C"/>
                <w:sz w:val="16"/>
              </w:rPr>
              <w:t>Markdown export</w:t>
            </w:r>
          </w:p>
        </w:tc>
        <w:tc>
          <w:tcPr>
            <w:tcW w:type="dxa" w:w="8208"/>
            <w:vAlign w:val="top"/>
          </w:tcPr>
          <w:p>
            <w:r>
              <w:rPr>
                <w:color w:val="12122C"/>
                <w:sz w:val="16"/>
              </w:rPr>
              <w:t>Plain-text version for repository, issue tracker, Claude prompts, and implementation planning.</w:t>
            </w:r>
          </w:p>
        </w:tc>
      </w:tr>
      <w:tr>
        <w:tc>
          <w:tcPr>
            <w:tcW w:type="dxa" w:w="2880"/>
            <w:vAlign w:val="top"/>
          </w:tcPr>
          <w:p>
            <w:r>
              <w:rPr>
                <w:color w:val="12122C"/>
                <w:sz w:val="16"/>
              </w:rPr>
              <w:t>Interactive HTML mock-up</w:t>
            </w:r>
          </w:p>
        </w:tc>
        <w:tc>
          <w:tcPr>
            <w:tcW w:type="dxa" w:w="8208"/>
            <w:vAlign w:val="top"/>
          </w:tcPr>
          <w:p>
            <w:r>
              <w:rPr>
                <w:color w:val="12122C"/>
                <w:sz w:val="16"/>
              </w:rPr>
              <w:t>Single-file clickable prototype: BillerBay_Master_PRD_Interactive_Mockup.html.</w:t>
            </w:r>
          </w:p>
        </w:tc>
      </w:tr>
      <w:tr>
        <w:tc>
          <w:tcPr>
            <w:tcW w:type="dxa" w:w="2880"/>
            <w:vAlign w:val="top"/>
          </w:tcPr>
          <w:p>
            <w:r>
              <w:rPr>
                <w:color w:val="12122C"/>
                <w:sz w:val="16"/>
              </w:rPr>
              <w:t>Design source of truth</w:t>
            </w:r>
          </w:p>
        </w:tc>
        <w:tc>
          <w:tcPr>
            <w:tcW w:type="dxa" w:w="8208"/>
            <w:vAlign w:val="top"/>
          </w:tcPr>
          <w:p>
            <w:r>
              <w:rPr>
                <w:color w:val="12122C"/>
                <w:sz w:val="16"/>
              </w:rPr>
              <w:t>design.md / BillerBay Command UI governs visual design, components, UX writing, states, accessibility, privacy, and security UX.</w:t>
            </w:r>
          </w:p>
        </w:tc>
      </w:tr>
    </w:tbl>
    <w:p/>
    <w:p>
      <w:r>
        <w:t>Version: 1.0 | Date: 2026-06-29</w:t>
      </w:r>
    </w:p>
    <w:p>
      <w:r>
        <w:br w:type="page"/>
      </w:r>
    </w:p>
    <w:p>
      <w:pPr>
        <w:pStyle w:val="Heading1"/>
      </w:pPr>
      <w:r>
        <w:t>1. Executive Summary</w:t>
      </w:r>
    </w:p>
    <w:p>
      <w:r>
        <w:t>BillerBay is a billing-team-first EHR / EMR / Practice Management MVP that replaces OfficeAlly-style fragmented workflows with a connected, high-visibility operating system for medical billing and practice operations. The MVP focuses on the revenue-cycle chain: patient identity and insurance, visit and charge capture, claim creation and validation, claim submission, payer response, payment posting, A/R follow-up, patient balances, settings, and audit history.</w:t>
      </w:r>
    </w:p>
    <w:p>
      <w:pPr>
        <w:pStyle w:val="ListBullet"/>
      </w:pPr>
      <w:r>
        <w:t>The product must preserve the business objects users know from OfficeAlly: Patients, Visits, Claims, Payments, Applied Payments, ERA Auto-Post, Providers, Facilities, Payers, CPT/DX codes, and billing settings.</w:t>
      </w:r>
    </w:p>
    <w:p>
      <w:pPr>
        <w:pStyle w:val="ListBullet"/>
      </w:pPr>
      <w:r>
        <w:t>The product must not copy OfficeAlly screen-by-screen. It must modernize the experience around connected context, queues, validation, lifecycle visibility, keyboard speed, and safe financial actions.</w:t>
      </w:r>
    </w:p>
    <w:p>
      <w:pPr>
        <w:pStyle w:val="ListBullet"/>
      </w:pPr>
      <w:r>
        <w:t>The product must follow design.md exactly. BillerBay Command UI is not optional styling; it is part of the product requirements.</w:t>
      </w:r>
    </w:p>
    <w:p>
      <w:pPr>
        <w:pStyle w:val="ListBullet"/>
      </w:pPr>
      <w:r>
        <w:t>The MVP is not full scheduling, full clinical charting, eRx, portal, labs, inventory, or advanced BI. Those are future phases unless specifically added by leadership.</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2122C"/>
            <w:vAlign w:val="center"/>
          </w:tcPr>
          <w:p>
            <w:pPr>
              <w:jc w:val="left"/>
            </w:pPr>
            <w:r>
              <w:rPr>
                <w:b/>
                <w:color w:val="FFFFFF"/>
                <w:sz w:val="17"/>
              </w:rPr>
              <w:t>Product principle</w:t>
            </w:r>
          </w:p>
        </w:tc>
        <w:tc>
          <w:tcPr>
            <w:tcW w:type="dxa" w:w="8208"/>
            <w:shd w:fill="12122C"/>
            <w:vAlign w:val="center"/>
          </w:tcPr>
          <w:p>
            <w:pPr>
              <w:jc w:val="left"/>
            </w:pPr>
            <w:r>
              <w:rPr>
                <w:b/>
                <w:color w:val="FFFFFF"/>
                <w:sz w:val="17"/>
              </w:rPr>
              <w:t>Meaning</w:t>
            </w:r>
          </w:p>
        </w:tc>
      </w:tr>
      <w:tr>
        <w:tc>
          <w:tcPr>
            <w:tcW w:type="dxa" w:w="2880"/>
            <w:vAlign w:val="top"/>
          </w:tcPr>
          <w:p>
            <w:r>
              <w:rPr>
                <w:color w:val="12122C"/>
                <w:sz w:val="16"/>
              </w:rPr>
              <w:t>Work queue first</w:t>
            </w:r>
          </w:p>
        </w:tc>
        <w:tc>
          <w:tcPr>
            <w:tcW w:type="dxa" w:w="8208"/>
            <w:vAlign w:val="top"/>
          </w:tcPr>
          <w:p>
            <w:r>
              <w:rPr>
                <w:color w:val="12122C"/>
                <w:sz w:val="16"/>
              </w:rPr>
              <w:t>The default user experience shows what needs attention, why, who owns it, and the next action.</w:t>
            </w:r>
          </w:p>
        </w:tc>
      </w:tr>
      <w:tr>
        <w:tc>
          <w:tcPr>
            <w:tcW w:type="dxa" w:w="2880"/>
            <w:vAlign w:val="top"/>
          </w:tcPr>
          <w:p>
            <w:r>
              <w:rPr>
                <w:color w:val="12122C"/>
                <w:sz w:val="16"/>
              </w:rPr>
              <w:t>One record, full context</w:t>
            </w:r>
          </w:p>
        </w:tc>
        <w:tc>
          <w:tcPr>
            <w:tcW w:type="dxa" w:w="8208"/>
            <w:vAlign w:val="top"/>
          </w:tcPr>
          <w:p>
            <w:r>
              <w:rPr>
                <w:color w:val="12122C"/>
                <w:sz w:val="16"/>
              </w:rPr>
              <w:t>Patient, visit, claim, payment, EDI event, and audit trail must be linked forward and backward.</w:t>
            </w:r>
          </w:p>
        </w:tc>
      </w:tr>
      <w:tr>
        <w:tc>
          <w:tcPr>
            <w:tcW w:type="dxa" w:w="2880"/>
            <w:vAlign w:val="top"/>
          </w:tcPr>
          <w:p>
            <w:r>
              <w:rPr>
                <w:color w:val="12122C"/>
                <w:sz w:val="16"/>
              </w:rPr>
              <w:t>Validation before submission</w:t>
            </w:r>
          </w:p>
        </w:tc>
        <w:tc>
          <w:tcPr>
            <w:tcW w:type="dxa" w:w="8208"/>
            <w:vAlign w:val="top"/>
          </w:tcPr>
          <w:p>
            <w:r>
              <w:rPr>
                <w:color w:val="12122C"/>
                <w:sz w:val="16"/>
              </w:rPr>
              <w:t>Dirty claims should be blocked or quarantined before they reach clearinghouse or payer.</w:t>
            </w:r>
          </w:p>
        </w:tc>
      </w:tr>
      <w:tr>
        <w:tc>
          <w:tcPr>
            <w:tcW w:type="dxa" w:w="2880"/>
            <w:vAlign w:val="top"/>
          </w:tcPr>
          <w:p>
            <w:r>
              <w:rPr>
                <w:color w:val="12122C"/>
                <w:sz w:val="16"/>
              </w:rPr>
              <w:t>Safe speed</w:t>
            </w:r>
          </w:p>
        </w:tc>
        <w:tc>
          <w:tcPr>
            <w:tcW w:type="dxa" w:w="8208"/>
            <w:vAlign w:val="top"/>
          </w:tcPr>
          <w:p>
            <w:r>
              <w:rPr>
                <w:color w:val="12122C"/>
                <w:sz w:val="16"/>
              </w:rPr>
              <w:t>Keyboard-first, bulk-capable, but no risky financial, claim, export, or settings action without confirmation and audit.</w:t>
            </w:r>
          </w:p>
        </w:tc>
      </w:tr>
      <w:tr>
        <w:tc>
          <w:tcPr>
            <w:tcW w:type="dxa" w:w="2880"/>
            <w:vAlign w:val="top"/>
          </w:tcPr>
          <w:p>
            <w:r>
              <w:rPr>
                <w:color w:val="12122C"/>
                <w:sz w:val="16"/>
              </w:rPr>
              <w:t>OfficeAlly familiarity without OfficeAlly friction</w:t>
            </w:r>
          </w:p>
        </w:tc>
        <w:tc>
          <w:tcPr>
            <w:tcW w:type="dxa" w:w="8208"/>
            <w:vAlign w:val="top"/>
          </w:tcPr>
          <w:p>
            <w:r>
              <w:rPr>
                <w:color w:val="12122C"/>
                <w:sz w:val="16"/>
              </w:rPr>
              <w:t>Use familiar objects and fields, but replace passive pages with modern BillerBay workflows.</w:t>
            </w:r>
          </w:p>
        </w:tc>
      </w:tr>
    </w:tbl>
    <w:p/>
    <w:p>
      <w:pPr>
        <w:pStyle w:val="Heading1"/>
      </w:pPr>
      <w:r>
        <w:t>2. MVP Scope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544"/>
            <w:shd w:fill="12122C"/>
            <w:vAlign w:val="center"/>
          </w:tcPr>
          <w:p>
            <w:pPr>
              <w:jc w:val="left"/>
            </w:pPr>
            <w:r>
              <w:rPr>
                <w:b/>
                <w:color w:val="FFFFFF"/>
                <w:sz w:val="17"/>
              </w:rPr>
              <w:t>Included in MVP</w:t>
            </w:r>
          </w:p>
        </w:tc>
        <w:tc>
          <w:tcPr>
            <w:tcW w:type="dxa" w:w="5544"/>
            <w:shd w:fill="12122C"/>
            <w:vAlign w:val="center"/>
          </w:tcPr>
          <w:p>
            <w:pPr>
              <w:jc w:val="left"/>
            </w:pPr>
            <w:r>
              <w:rPr>
                <w:b/>
                <w:color w:val="FFFFFF"/>
                <w:sz w:val="17"/>
              </w:rPr>
              <w:t>Excluded from MVP</w:t>
            </w:r>
          </w:p>
        </w:tc>
      </w:tr>
      <w:tr>
        <w:tc>
          <w:tcPr>
            <w:tcW w:type="dxa" w:w="5544"/>
            <w:vAlign w:val="top"/>
          </w:tcPr>
          <w:p>
            <w:r>
              <w:rPr>
                <w:color w:val="12122C"/>
                <w:sz w:val="16"/>
              </w:rPr>
              <w:t>Patients, demographics, guarantor, insurance, eligibility summary, patient balance, related visits/claims/payments/activity</w:t>
            </w:r>
          </w:p>
        </w:tc>
        <w:tc>
          <w:tcPr>
            <w:tcW w:type="dxa" w:w="5544"/>
            <w:vAlign w:val="top"/>
          </w:tcPr>
          <w:p>
            <w:r>
              <w:rPr>
                <w:color w:val="12122C"/>
                <w:sz w:val="16"/>
              </w:rPr>
              <w:t>Full appointment scheduling and provider calendar automation</w:t>
            </w:r>
          </w:p>
        </w:tc>
      </w:tr>
      <w:tr>
        <w:tc>
          <w:tcPr>
            <w:tcW w:type="dxa" w:w="5544"/>
            <w:vAlign w:val="top"/>
          </w:tcPr>
          <w:p>
            <w:r>
              <w:rPr>
                <w:color w:val="12122C"/>
                <w:sz w:val="16"/>
              </w:rPr>
              <w:t>Visit list, visit detail, visit billing info, billing options, charge lines, diagnosis codes, claim linkage, balances</w:t>
            </w:r>
          </w:p>
        </w:tc>
        <w:tc>
          <w:tcPr>
            <w:tcW w:type="dxa" w:w="5544"/>
            <w:vAlign w:val="top"/>
          </w:tcPr>
          <w:p>
            <w:r>
              <w:rPr>
                <w:color w:val="12122C"/>
                <w:sz w:val="16"/>
              </w:rPr>
              <w:t>Full clinical charting templates and clinical decision support</w:t>
            </w:r>
          </w:p>
        </w:tc>
      </w:tr>
      <w:tr>
        <w:tc>
          <w:tcPr>
            <w:tcW w:type="dxa" w:w="5544"/>
            <w:vAlign w:val="top"/>
          </w:tcPr>
          <w:p>
            <w:r>
              <w:rPr>
                <w:color w:val="12122C"/>
                <w:sz w:val="16"/>
              </w:rPr>
              <w:t>Claim list, claim composer, CMS-1500 compatible data model, validation, submission, repair queue, secondary claims</w:t>
            </w:r>
          </w:p>
        </w:tc>
        <w:tc>
          <w:tcPr>
            <w:tcW w:type="dxa" w:w="5544"/>
            <w:vAlign w:val="top"/>
          </w:tcPr>
          <w:p>
            <w:r>
              <w:rPr>
                <w:color w:val="12122C"/>
                <w:sz w:val="16"/>
              </w:rPr>
              <w:t>ePrescribing, lab integration, imaging integration, patient portal</w:t>
            </w:r>
          </w:p>
        </w:tc>
      </w:tr>
      <w:tr>
        <w:tc>
          <w:tcPr>
            <w:tcW w:type="dxa" w:w="5544"/>
            <w:vAlign w:val="top"/>
          </w:tcPr>
          <w:p>
            <w:r>
              <w:rPr>
                <w:color w:val="12122C"/>
                <w:sz w:val="16"/>
              </w:rPr>
              <w:t>Billing command queues: ready visits, missing data, validation failures, rejected/denied claims, secondary, A/R, stale claims, patient balances</w:t>
            </w:r>
          </w:p>
        </w:tc>
        <w:tc>
          <w:tcPr>
            <w:tcW w:type="dxa" w:w="5544"/>
            <w:vAlign w:val="top"/>
          </w:tcPr>
          <w:p>
            <w:r>
              <w:rPr>
                <w:color w:val="12122C"/>
                <w:sz w:val="16"/>
              </w:rPr>
              <w:t>Inventory, marketing, full BI dashboards, MIPS/MACRA reporting</w:t>
            </w:r>
          </w:p>
        </w:tc>
      </w:tr>
      <w:tr>
        <w:tc>
          <w:tcPr>
            <w:tcW w:type="dxa" w:w="5544"/>
            <w:vAlign w:val="top"/>
          </w:tcPr>
          <w:p>
            <w:r>
              <w:rPr>
                <w:color w:val="12122C"/>
                <w:sz w:val="16"/>
              </w:rPr>
              <w:t>Payments/deposits, add payment, ERA auto-post, applied payments, unmatched/unapplied/reconciliation, reversals</w:t>
            </w:r>
          </w:p>
        </w:tc>
        <w:tc>
          <w:tcPr>
            <w:tcW w:type="dxa" w:w="5544"/>
            <w:vAlign w:val="top"/>
          </w:tcPr>
          <w:p>
            <w:r>
              <w:rPr>
                <w:color w:val="12122C"/>
                <w:sz w:val="16"/>
              </w:rPr>
              <w:t>Native credit card terminal integration beyond simple payment recording</w:t>
            </w:r>
          </w:p>
        </w:tc>
      </w:tr>
      <w:tr>
        <w:tc>
          <w:tcPr>
            <w:tcW w:type="dxa" w:w="5544"/>
            <w:vAlign w:val="top"/>
          </w:tcPr>
          <w:p>
            <w:r>
              <w:rPr>
                <w:color w:val="12122C"/>
                <w:sz w:val="16"/>
              </w:rPr>
              <w:t>Settings/master data: company, offices, providers, billing providers, referring providers, facilities, payers, CPT, DX, chart accounts, preferences, users, roles, security</w:t>
            </w:r>
          </w:p>
        </w:tc>
        <w:tc>
          <w:tcPr>
            <w:tcW w:type="dxa" w:w="5544"/>
            <w:vAlign w:val="top"/>
          </w:tcPr>
          <w:p>
            <w:r>
              <w:rPr>
                <w:color w:val="12122C"/>
                <w:sz w:val="16"/>
              </w:rPr>
              <w:t>Full document management beyond minimal billing attachments and proof records</w:t>
            </w:r>
          </w:p>
        </w:tc>
      </w:tr>
    </w:tbl>
    <w:p/>
    <w:p>
      <w:pPr>
        <w:pStyle w:val="Heading1"/>
      </w:pPr>
      <w:r>
        <w:t>3. End-to-End Revenue Cycle Chain</w:t>
      </w:r>
    </w:p>
    <w:p>
      <w:pPr>
        <w:spacing w:after="160"/>
        <w:ind w:left="360"/>
      </w:pPr>
      <w:r>
        <w:rPr>
          <w:rFonts w:ascii="Consolas" w:hAnsi="Consolas"/>
          <w:color w:val="12122C"/>
          <w:sz w:val="16"/>
        </w:rPr>
        <w:t>Patient contact / imported patient</w:t>
        <w:br/>
        <w:t xml:space="preserve">  -&gt; Patient demographics and guarantor</w:t>
        <w:br/>
        <w:t xml:space="preserve">  -&gt; Insurance and eligibility summary</w:t>
        <w:br/>
        <w:t xml:space="preserve">  -&gt; Visit created</w:t>
        <w:br/>
        <w:t xml:space="preserve">  -&gt; Visit info + billing info + billing options</w:t>
        <w:br/>
        <w:t xml:space="preserve">  -&gt; Diagnoses + CPT/HCPCS charge lines</w:t>
        <w:br/>
        <w:t xml:space="preserve">  -&gt; Claim created from visit</w:t>
        <w:br/>
        <w:t xml:space="preserve">  -&gt; Claim validation and quarantine if blocked</w:t>
        <w:br/>
        <w:t xml:space="preserve">  -&gt; 837P generation/submission</w:t>
        <w:br/>
        <w:t xml:space="preserve">  -&gt; 999/997 and 277CA acknowledgment tracking</w:t>
        <w:br/>
        <w:t xml:space="preserve">  -&gt; Payer adjudication</w:t>
        <w:br/>
        <w:t xml:space="preserve">  -&gt; 835 ERA / EOB import</w:t>
        <w:br/>
        <w:t xml:space="preserve">  -&gt; Payment, adjustment, denial, reversal, recoupment posting</w:t>
        <w:br/>
        <w:t xml:space="preserve">  -&gt; Patient responsibility / secondary claim / A/R follow-up</w:t>
        <w:br/>
        <w:t xml:space="preserve">  -&gt; Statement / collection / write-off / closed balance</w:t>
      </w:r>
    </w:p>
    <w:p>
      <w:pPr>
        <w:pStyle w:val="Heading1"/>
      </w:pPr>
      <w:r>
        <w:t>4. Information Architecture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728"/>
            <w:shd w:fill="12122C"/>
            <w:vAlign w:val="center"/>
          </w:tcPr>
          <w:p>
            <w:pPr>
              <w:jc w:val="left"/>
            </w:pPr>
            <w:r>
              <w:rPr>
                <w:b/>
                <w:color w:val="FFFFFF"/>
                <w:sz w:val="17"/>
              </w:rPr>
              <w:t>Navigation</w:t>
            </w:r>
          </w:p>
        </w:tc>
        <w:tc>
          <w:tcPr>
            <w:tcW w:type="dxa" w:w="4032"/>
            <w:shd w:fill="12122C"/>
            <w:vAlign w:val="center"/>
          </w:tcPr>
          <w:p>
            <w:pPr>
              <w:jc w:val="left"/>
            </w:pPr>
            <w:r>
              <w:rPr>
                <w:b/>
                <w:color w:val="FFFFFF"/>
                <w:sz w:val="17"/>
              </w:rPr>
              <w:t>Purpose</w:t>
            </w:r>
          </w:p>
        </w:tc>
        <w:tc>
          <w:tcPr>
            <w:tcW w:type="dxa" w:w="5328"/>
            <w:shd w:fill="12122C"/>
            <w:vAlign w:val="center"/>
          </w:tcPr>
          <w:p>
            <w:pPr>
              <w:jc w:val="left"/>
            </w:pPr>
            <w:r>
              <w:rPr>
                <w:b/>
                <w:color w:val="FFFFFF"/>
                <w:sz w:val="17"/>
              </w:rPr>
              <w:t>Primary flows</w:t>
            </w:r>
          </w:p>
        </w:tc>
      </w:tr>
      <w:tr>
        <w:tc>
          <w:tcPr>
            <w:tcW w:type="dxa" w:w="1728"/>
            <w:vAlign w:val="top"/>
          </w:tcPr>
          <w:p>
            <w:r>
              <w:rPr>
                <w:color w:val="12122C"/>
                <w:sz w:val="16"/>
              </w:rPr>
              <w:t>Dashboard</w:t>
            </w:r>
          </w:p>
        </w:tc>
        <w:tc>
          <w:tcPr>
            <w:tcW w:type="dxa" w:w="4032"/>
            <w:vAlign w:val="top"/>
          </w:tcPr>
          <w:p>
            <w:r>
              <w:rPr>
                <w:color w:val="12122C"/>
                <w:sz w:val="16"/>
              </w:rPr>
              <w:t>Operational landing page with queue counts and urgent work only.</w:t>
            </w:r>
          </w:p>
        </w:tc>
        <w:tc>
          <w:tcPr>
            <w:tcW w:type="dxa" w:w="5328"/>
            <w:vAlign w:val="top"/>
          </w:tcPr>
          <w:p>
            <w:r>
              <w:rPr>
                <w:color w:val="12122C"/>
                <w:sz w:val="16"/>
              </w:rPr>
              <w:t>Open high-risk queues, stale claims, unmatched ERA, ready-to-submit claims.</w:t>
            </w:r>
          </w:p>
        </w:tc>
      </w:tr>
      <w:tr>
        <w:tc>
          <w:tcPr>
            <w:tcW w:type="dxa" w:w="1728"/>
            <w:vAlign w:val="top"/>
          </w:tcPr>
          <w:p>
            <w:r>
              <w:rPr>
                <w:color w:val="12122C"/>
                <w:sz w:val="16"/>
              </w:rPr>
              <w:t>Patients</w:t>
            </w:r>
          </w:p>
        </w:tc>
        <w:tc>
          <w:tcPr>
            <w:tcW w:type="dxa" w:w="4032"/>
            <w:vAlign w:val="top"/>
          </w:tcPr>
          <w:p>
            <w:r>
              <w:rPr>
                <w:color w:val="12122C"/>
                <w:sz w:val="16"/>
              </w:rPr>
              <w:t>Identity, demographics, insurance, patient balance, related visits/claims/payments.</w:t>
            </w:r>
          </w:p>
        </w:tc>
        <w:tc>
          <w:tcPr>
            <w:tcW w:type="dxa" w:w="5328"/>
            <w:vAlign w:val="top"/>
          </w:tcPr>
          <w:p>
            <w:r>
              <w:rPr>
                <w:color w:val="12122C"/>
                <w:sz w:val="16"/>
              </w:rPr>
              <w:t>Search, add/edit patient, verify eligibility, add visit, view lifecycle.</w:t>
            </w:r>
          </w:p>
        </w:tc>
      </w:tr>
      <w:tr>
        <w:tc>
          <w:tcPr>
            <w:tcW w:type="dxa" w:w="1728"/>
            <w:vAlign w:val="top"/>
          </w:tcPr>
          <w:p>
            <w:r>
              <w:rPr>
                <w:color w:val="12122C"/>
                <w:sz w:val="16"/>
              </w:rPr>
              <w:t>Visits</w:t>
            </w:r>
          </w:p>
        </w:tc>
        <w:tc>
          <w:tcPr>
            <w:tcW w:type="dxa" w:w="4032"/>
            <w:vAlign w:val="top"/>
          </w:tcPr>
          <w:p>
            <w:r>
              <w:rPr>
                <w:color w:val="12122C"/>
                <w:sz w:val="16"/>
              </w:rPr>
              <w:t>Service/charge source before claims.</w:t>
            </w:r>
          </w:p>
        </w:tc>
        <w:tc>
          <w:tcPr>
            <w:tcW w:type="dxa" w:w="5328"/>
            <w:vAlign w:val="top"/>
          </w:tcPr>
          <w:p>
            <w:r>
              <w:rPr>
                <w:color w:val="12122C"/>
                <w:sz w:val="16"/>
              </w:rPr>
              <w:t>Add/edit visit, billing info, billing options, validate, create claim.</w:t>
            </w:r>
          </w:p>
        </w:tc>
      </w:tr>
      <w:tr>
        <w:tc>
          <w:tcPr>
            <w:tcW w:type="dxa" w:w="1728"/>
            <w:vAlign w:val="top"/>
          </w:tcPr>
          <w:p>
            <w:r>
              <w:rPr>
                <w:color w:val="12122C"/>
                <w:sz w:val="16"/>
              </w:rPr>
              <w:t>Claims</w:t>
            </w:r>
          </w:p>
        </w:tc>
        <w:tc>
          <w:tcPr>
            <w:tcW w:type="dxa" w:w="4032"/>
            <w:vAlign w:val="top"/>
          </w:tcPr>
          <w:p>
            <w:r>
              <w:rPr>
                <w:color w:val="12122C"/>
                <w:sz w:val="16"/>
              </w:rPr>
              <w:t>Submission and payer-response source.</w:t>
            </w:r>
          </w:p>
        </w:tc>
        <w:tc>
          <w:tcPr>
            <w:tcW w:type="dxa" w:w="5328"/>
            <w:vAlign w:val="top"/>
          </w:tcPr>
          <w:p>
            <w:r>
              <w:rPr>
                <w:color w:val="12122C"/>
                <w:sz w:val="16"/>
              </w:rPr>
              <w:t>Validate, repair, submit, batch submit, review lifecycle, print CMS-1500.</w:t>
            </w:r>
          </w:p>
        </w:tc>
      </w:tr>
      <w:tr>
        <w:tc>
          <w:tcPr>
            <w:tcW w:type="dxa" w:w="1728"/>
            <w:vAlign w:val="top"/>
          </w:tcPr>
          <w:p>
            <w:r>
              <w:rPr>
                <w:color w:val="12122C"/>
                <w:sz w:val="16"/>
              </w:rPr>
              <w:t>Billing</w:t>
            </w:r>
          </w:p>
        </w:tc>
        <w:tc>
          <w:tcPr>
            <w:tcW w:type="dxa" w:w="4032"/>
            <w:vAlign w:val="top"/>
          </w:tcPr>
          <w:p>
            <w:r>
              <w:rPr>
                <w:color w:val="12122C"/>
                <w:sz w:val="16"/>
              </w:rPr>
              <w:t>Team workbench; not a duplicate claims list.</w:t>
            </w:r>
          </w:p>
        </w:tc>
        <w:tc>
          <w:tcPr>
            <w:tcW w:type="dxa" w:w="5328"/>
            <w:vAlign w:val="top"/>
          </w:tcPr>
          <w:p>
            <w:r>
              <w:rPr>
                <w:color w:val="12122C"/>
                <w:sz w:val="16"/>
              </w:rPr>
              <w:t>Assign, fix, validate, submit, snooze, move to follow-up, bulk work.</w:t>
            </w:r>
          </w:p>
        </w:tc>
      </w:tr>
      <w:tr>
        <w:tc>
          <w:tcPr>
            <w:tcW w:type="dxa" w:w="1728"/>
            <w:vAlign w:val="top"/>
          </w:tcPr>
          <w:p>
            <w:r>
              <w:rPr>
                <w:color w:val="12122C"/>
                <w:sz w:val="16"/>
              </w:rPr>
              <w:t>Payments</w:t>
            </w:r>
          </w:p>
        </w:tc>
        <w:tc>
          <w:tcPr>
            <w:tcW w:type="dxa" w:w="4032"/>
            <w:vAlign w:val="top"/>
          </w:tcPr>
          <w:p>
            <w:r>
              <w:rPr>
                <w:color w:val="12122C"/>
                <w:sz w:val="16"/>
              </w:rPr>
              <w:t>Cash, ERA, posting, applications, reconciliation.</w:t>
            </w:r>
          </w:p>
        </w:tc>
        <w:tc>
          <w:tcPr>
            <w:tcW w:type="dxa" w:w="5328"/>
            <w:vAlign w:val="top"/>
          </w:tcPr>
          <w:p>
            <w:r>
              <w:rPr>
                <w:color w:val="12122C"/>
                <w:sz w:val="16"/>
              </w:rPr>
              <w:t>Import ERA, auto-post, fix exceptions, add manual payment, reverse/void.</w:t>
            </w:r>
          </w:p>
        </w:tc>
      </w:tr>
      <w:tr>
        <w:tc>
          <w:tcPr>
            <w:tcW w:type="dxa" w:w="1728"/>
            <w:vAlign w:val="top"/>
          </w:tcPr>
          <w:p>
            <w:r>
              <w:rPr>
                <w:color w:val="12122C"/>
                <w:sz w:val="16"/>
              </w:rPr>
              <w:t>Settings</w:t>
            </w:r>
          </w:p>
        </w:tc>
        <w:tc>
          <w:tcPr>
            <w:tcW w:type="dxa" w:w="4032"/>
            <w:vAlign w:val="top"/>
          </w:tcPr>
          <w:p>
            <w:r>
              <w:rPr>
                <w:color w:val="12122C"/>
                <w:sz w:val="16"/>
              </w:rPr>
              <w:t>Master-data and rules layer.</w:t>
            </w:r>
          </w:p>
        </w:tc>
        <w:tc>
          <w:tcPr>
            <w:tcW w:type="dxa" w:w="5328"/>
            <w:vAlign w:val="top"/>
          </w:tcPr>
          <w:p>
            <w:r>
              <w:rPr>
                <w:color w:val="12122C"/>
                <w:sz w:val="16"/>
              </w:rPr>
              <w:t>Providers, payers, facilities, CPT/DX, chart accounts, preferences, roles, audit.</w:t>
            </w:r>
          </w:p>
        </w:tc>
      </w:tr>
    </w:tbl>
    <w:p/>
    <w:p>
      <w:pPr>
        <w:pStyle w:val="Heading1"/>
      </w:pPr>
      <w:r>
        <w:t>5. BillerBay Command UI Requirements from design.md</w:t>
      </w:r>
    </w:p>
    <w:p>
      <w:r>
        <w:t>All screens, components, copy, and behaviors must follow BillerBay Command UI from design.md. Developers and AI coding tools must not reinterpret the product as generic SaaS.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2122C"/>
            <w:vAlign w:val="center"/>
          </w:tcPr>
          <w:p>
            <w:pPr>
              <w:jc w:val="left"/>
            </w:pPr>
            <w:r>
              <w:rPr>
                <w:b/>
                <w:color w:val="FFFFFF"/>
                <w:sz w:val="17"/>
              </w:rPr>
              <w:t>Area</w:t>
            </w:r>
          </w:p>
        </w:tc>
        <w:tc>
          <w:tcPr>
            <w:tcW w:type="dxa" w:w="8496"/>
            <w:shd w:fill="12122C"/>
            <w:vAlign w:val="center"/>
          </w:tcPr>
          <w:p>
            <w:pPr>
              <w:jc w:val="left"/>
            </w:pPr>
            <w:r>
              <w:rPr>
                <w:b/>
                <w:color w:val="FFFFFF"/>
                <w:sz w:val="17"/>
              </w:rPr>
              <w:t>Requirement</w:t>
            </w:r>
          </w:p>
        </w:tc>
      </w:tr>
      <w:tr>
        <w:tc>
          <w:tcPr>
            <w:tcW w:type="dxa" w:w="2592"/>
            <w:vAlign w:val="top"/>
          </w:tcPr>
          <w:p>
            <w:r>
              <w:rPr>
                <w:color w:val="12122C"/>
                <w:sz w:val="16"/>
              </w:rPr>
              <w:t>Brand colors</w:t>
            </w:r>
          </w:p>
        </w:tc>
        <w:tc>
          <w:tcPr>
            <w:tcW w:type="dxa" w:w="8496"/>
            <w:vAlign w:val="top"/>
          </w:tcPr>
          <w:p>
            <w:r>
              <w:rPr>
                <w:color w:val="12122C"/>
                <w:sz w:val="16"/>
              </w:rPr>
              <w:t>Deep ink #12122C for shell/anchor, electric blue #0410BD for primary actions, vivid blue #3F4CFF for hover/focus, white/soft lavender/cyan surfaces, lavender-gray borders.</w:t>
            </w:r>
          </w:p>
        </w:tc>
      </w:tr>
      <w:tr>
        <w:tc>
          <w:tcPr>
            <w:tcW w:type="dxa" w:w="2592"/>
            <w:vAlign w:val="top"/>
          </w:tcPr>
          <w:p>
            <w:r>
              <w:rPr>
                <w:color w:val="12122C"/>
                <w:sz w:val="16"/>
              </w:rPr>
              <w:t>Typography</w:t>
            </w:r>
          </w:p>
        </w:tc>
        <w:tc>
          <w:tcPr>
            <w:tcW w:type="dxa" w:w="8496"/>
            <w:vAlign w:val="top"/>
          </w:tcPr>
          <w:p>
            <w:r>
              <w:rPr>
                <w:color w:val="12122C"/>
                <w:sz w:val="16"/>
              </w:rPr>
              <w:t>Use Inter; tabular numbers for currency, dates, IDs, counts, and financial values.</w:t>
            </w:r>
          </w:p>
        </w:tc>
      </w:tr>
      <w:tr>
        <w:tc>
          <w:tcPr>
            <w:tcW w:type="dxa" w:w="2592"/>
            <w:vAlign w:val="top"/>
          </w:tcPr>
          <w:p>
            <w:r>
              <w:rPr>
                <w:color w:val="12122C"/>
                <w:sz w:val="16"/>
              </w:rPr>
              <w:t>Layout</w:t>
            </w:r>
          </w:p>
        </w:tc>
        <w:tc>
          <w:tcPr>
            <w:tcW w:type="dxa" w:w="8496"/>
            <w:vAlign w:val="top"/>
          </w:tcPr>
          <w:p>
            <w:r>
              <w:rPr>
                <w:color w:val="12122C"/>
                <w:sz w:val="16"/>
              </w:rPr>
              <w:t>Modern enterprise shell: top bar, workspace selector, universal search, command palette, notifications/help/user menu, left navigation, page header, main workspace, detail/record pages, activity timeline.</w:t>
            </w:r>
          </w:p>
        </w:tc>
      </w:tr>
      <w:tr>
        <w:tc>
          <w:tcPr>
            <w:tcW w:type="dxa" w:w="2592"/>
            <w:vAlign w:val="top"/>
          </w:tcPr>
          <w:p>
            <w:r>
              <w:rPr>
                <w:color w:val="12122C"/>
                <w:sz w:val="16"/>
              </w:rPr>
              <w:t>Tables</w:t>
            </w:r>
          </w:p>
        </w:tc>
        <w:tc>
          <w:tcPr>
            <w:tcW w:type="dxa" w:w="8496"/>
            <w:vAlign w:val="top"/>
          </w:tcPr>
          <w:p>
            <w:r>
              <w:rPr>
                <w:color w:val="12122C"/>
                <w:sz w:val="16"/>
              </w:rPr>
              <w:t>Every major list has search, filters, saved views, result count, pagination/virtualization, bulk actions, row actions, empty/loading/error states.</w:t>
            </w:r>
          </w:p>
        </w:tc>
      </w:tr>
      <w:tr>
        <w:tc>
          <w:tcPr>
            <w:tcW w:type="dxa" w:w="2592"/>
            <w:vAlign w:val="top"/>
          </w:tcPr>
          <w:p>
            <w:r>
              <w:rPr>
                <w:color w:val="12122C"/>
                <w:sz w:val="16"/>
              </w:rPr>
              <w:t>Forms</w:t>
            </w:r>
          </w:p>
        </w:tc>
        <w:tc>
          <w:tcPr>
            <w:tcW w:type="dxa" w:w="8496"/>
            <w:vAlign w:val="top"/>
          </w:tcPr>
          <w:p>
            <w:r>
              <w:rPr>
                <w:color w:val="12122C"/>
                <w:sz w:val="16"/>
              </w:rPr>
              <w:t>Labels, helper text, validation, error summary, save states, downstream impact copy for settings, no placeholder-only fields.</w:t>
            </w:r>
          </w:p>
        </w:tc>
      </w:tr>
      <w:tr>
        <w:tc>
          <w:tcPr>
            <w:tcW w:type="dxa" w:w="2592"/>
            <w:vAlign w:val="top"/>
          </w:tcPr>
          <w:p>
            <w:r>
              <w:rPr>
                <w:color w:val="12122C"/>
                <w:sz w:val="16"/>
              </w:rPr>
              <w:t>Modals/workflows</w:t>
            </w:r>
          </w:p>
        </w:tc>
        <w:tc>
          <w:tcPr>
            <w:tcW w:type="dxa" w:w="8496"/>
            <w:vAlign w:val="top"/>
          </w:tcPr>
          <w:p>
            <w:r>
              <w:rPr>
                <w:color w:val="12122C"/>
                <w:sz w:val="16"/>
              </w:rPr>
              <w:t>Guided workflows for claim submission, add payment, ERA auto-post, batch actions; include stepper, validation, review, submit/post, confirmation.</w:t>
            </w:r>
          </w:p>
        </w:tc>
      </w:tr>
      <w:tr>
        <w:tc>
          <w:tcPr>
            <w:tcW w:type="dxa" w:w="2592"/>
            <w:vAlign w:val="top"/>
          </w:tcPr>
          <w:p>
            <w:r>
              <w:rPr>
                <w:color w:val="12122C"/>
                <w:sz w:val="16"/>
              </w:rPr>
              <w:t>Drawers</w:t>
            </w:r>
          </w:p>
        </w:tc>
        <w:tc>
          <w:tcPr>
            <w:tcW w:type="dxa" w:w="8496"/>
            <w:vAlign w:val="top"/>
          </w:tcPr>
          <w:p>
            <w:r>
              <w:rPr>
                <w:color w:val="12122C"/>
                <w:sz w:val="16"/>
              </w:rPr>
              <w:t>Use drawers for fast inspection, exceptions, row detail, and cross-context review. Full patient/visit/claim editing uses record detail pages when the user needs complete context.</w:t>
            </w:r>
          </w:p>
        </w:tc>
      </w:tr>
      <w:tr>
        <w:tc>
          <w:tcPr>
            <w:tcW w:type="dxa" w:w="2592"/>
            <w:vAlign w:val="top"/>
          </w:tcPr>
          <w:p>
            <w:r>
              <w:rPr>
                <w:color w:val="12122C"/>
                <w:sz w:val="16"/>
              </w:rPr>
              <w:t>Status badges</w:t>
            </w:r>
          </w:p>
        </w:tc>
        <w:tc>
          <w:tcPr>
            <w:tcW w:type="dxa" w:w="8496"/>
            <w:vAlign w:val="top"/>
          </w:tcPr>
          <w:p>
            <w:r>
              <w:rPr>
                <w:color w:val="12122C"/>
                <w:sz w:val="16"/>
              </w:rPr>
              <w:t>Consistent statuses across visits, claims, payments, work items, settings, sync/jobs; never rely on color alone.</w:t>
            </w:r>
          </w:p>
        </w:tc>
      </w:tr>
      <w:tr>
        <w:tc>
          <w:tcPr>
            <w:tcW w:type="dxa" w:w="2592"/>
            <w:vAlign w:val="top"/>
          </w:tcPr>
          <w:p>
            <w:r>
              <w:rPr>
                <w:color w:val="12122C"/>
                <w:sz w:val="16"/>
              </w:rPr>
              <w:t>Security/privacy UX</w:t>
            </w:r>
          </w:p>
        </w:tc>
        <w:tc>
          <w:tcPr>
            <w:tcW w:type="dxa" w:w="8496"/>
            <w:vAlign w:val="top"/>
          </w:tcPr>
          <w:p>
            <w:r>
              <w:rPr>
                <w:color w:val="12122C"/>
                <w:sz w:val="16"/>
              </w:rPr>
              <w:t>Mask sensitive data, audit reveals/exports/payment edits/claim submissions/settings changes, require confirmation for high-risk actions.</w:t>
            </w:r>
          </w:p>
        </w:tc>
      </w:tr>
      <w:tr>
        <w:tc>
          <w:tcPr>
            <w:tcW w:type="dxa" w:w="2592"/>
            <w:vAlign w:val="top"/>
          </w:tcPr>
          <w:p>
            <w:r>
              <w:rPr>
                <w:color w:val="12122C"/>
                <w:sz w:val="16"/>
              </w:rPr>
              <w:t>Accessibility</w:t>
            </w:r>
          </w:p>
        </w:tc>
        <w:tc>
          <w:tcPr>
            <w:tcW w:type="dxa" w:w="8496"/>
            <w:vAlign w:val="top"/>
          </w:tcPr>
          <w:p>
            <w:r>
              <w:rPr>
                <w:color w:val="12122C"/>
                <w:sz w:val="16"/>
              </w:rPr>
              <w:t>Keyboard accessible, visible focus, WCAG 2.2 AA target, semantic HTML, ARIA where needed, no mouse-only workflow.</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2122C"/>
            <w:vAlign w:val="center"/>
          </w:tcPr>
          <w:p>
            <w:pPr>
              <w:jc w:val="left"/>
            </w:pPr>
            <w:r>
              <w:rPr>
                <w:b/>
                <w:color w:val="FFFFFF"/>
                <w:sz w:val="17"/>
              </w:rPr>
              <w:t>Core token</w:t>
            </w:r>
          </w:p>
        </w:tc>
        <w:tc>
          <w:tcPr>
            <w:tcW w:type="dxa" w:w="2016"/>
            <w:shd w:fill="12122C"/>
            <w:vAlign w:val="center"/>
          </w:tcPr>
          <w:p>
            <w:pPr>
              <w:jc w:val="left"/>
            </w:pPr>
            <w:r>
              <w:rPr>
                <w:b/>
                <w:color w:val="FFFFFF"/>
                <w:sz w:val="17"/>
              </w:rPr>
              <w:t>Value</w:t>
            </w:r>
          </w:p>
        </w:tc>
        <w:tc>
          <w:tcPr>
            <w:tcW w:type="dxa" w:w="6192"/>
            <w:shd w:fill="12122C"/>
            <w:vAlign w:val="center"/>
          </w:tcPr>
          <w:p>
            <w:pPr>
              <w:jc w:val="left"/>
            </w:pPr>
            <w:r>
              <w:rPr>
                <w:b/>
                <w:color w:val="FFFFFF"/>
                <w:sz w:val="17"/>
              </w:rPr>
              <w:t>Usage</w:t>
            </w:r>
          </w:p>
        </w:tc>
      </w:tr>
      <w:tr>
        <w:tc>
          <w:tcPr>
            <w:tcW w:type="dxa" w:w="2880"/>
            <w:vAlign w:val="top"/>
          </w:tcPr>
          <w:p>
            <w:r>
              <w:rPr>
                <w:color w:val="12122C"/>
                <w:sz w:val="16"/>
              </w:rPr>
              <w:t>bb.brand.ink</w:t>
            </w:r>
          </w:p>
        </w:tc>
        <w:tc>
          <w:tcPr>
            <w:tcW w:type="dxa" w:w="2016"/>
            <w:vAlign w:val="top"/>
          </w:tcPr>
          <w:p>
            <w:r>
              <w:rPr>
                <w:color w:val="12122C"/>
                <w:sz w:val="16"/>
              </w:rPr>
              <w:t>#12122C</w:t>
            </w:r>
          </w:p>
        </w:tc>
        <w:tc>
          <w:tcPr>
            <w:tcW w:type="dxa" w:w="6192"/>
            <w:vAlign w:val="top"/>
          </w:tcPr>
          <w:p>
            <w:r>
              <w:rPr>
                <w:color w:val="12122C"/>
                <w:sz w:val="16"/>
              </w:rPr>
              <w:t>Top bar, shell, headings, dark panels</w:t>
            </w:r>
          </w:p>
        </w:tc>
      </w:tr>
      <w:tr>
        <w:tc>
          <w:tcPr>
            <w:tcW w:type="dxa" w:w="2880"/>
            <w:vAlign w:val="top"/>
          </w:tcPr>
          <w:p>
            <w:r>
              <w:rPr>
                <w:color w:val="12122C"/>
                <w:sz w:val="16"/>
              </w:rPr>
              <w:t>bb.brand.blue</w:t>
            </w:r>
          </w:p>
        </w:tc>
        <w:tc>
          <w:tcPr>
            <w:tcW w:type="dxa" w:w="2016"/>
            <w:vAlign w:val="top"/>
          </w:tcPr>
          <w:p>
            <w:r>
              <w:rPr>
                <w:color w:val="12122C"/>
                <w:sz w:val="16"/>
              </w:rPr>
              <w:t>#0410BD</w:t>
            </w:r>
          </w:p>
        </w:tc>
        <w:tc>
          <w:tcPr>
            <w:tcW w:type="dxa" w:w="6192"/>
            <w:vAlign w:val="top"/>
          </w:tcPr>
          <w:p>
            <w:r>
              <w:rPr>
                <w:color w:val="12122C"/>
                <w:sz w:val="16"/>
              </w:rPr>
              <w:t>Primary buttons, selected navigation, primary actions</w:t>
            </w:r>
          </w:p>
        </w:tc>
      </w:tr>
      <w:tr>
        <w:tc>
          <w:tcPr>
            <w:tcW w:type="dxa" w:w="2880"/>
            <w:vAlign w:val="top"/>
          </w:tcPr>
          <w:p>
            <w:r>
              <w:rPr>
                <w:color w:val="12122C"/>
                <w:sz w:val="16"/>
              </w:rPr>
              <w:t>bb.brand.vividBlue</w:t>
            </w:r>
          </w:p>
        </w:tc>
        <w:tc>
          <w:tcPr>
            <w:tcW w:type="dxa" w:w="2016"/>
            <w:vAlign w:val="top"/>
          </w:tcPr>
          <w:p>
            <w:r>
              <w:rPr>
                <w:color w:val="12122C"/>
                <w:sz w:val="16"/>
              </w:rPr>
              <w:t>#3F4CFF</w:t>
            </w:r>
          </w:p>
        </w:tc>
        <w:tc>
          <w:tcPr>
            <w:tcW w:type="dxa" w:w="6192"/>
            <w:vAlign w:val="top"/>
          </w:tcPr>
          <w:p>
            <w:r>
              <w:rPr>
                <w:color w:val="12122C"/>
                <w:sz w:val="16"/>
              </w:rPr>
              <w:t>Hover/focus, selected outlines</w:t>
            </w:r>
          </w:p>
        </w:tc>
      </w:tr>
      <w:tr>
        <w:tc>
          <w:tcPr>
            <w:tcW w:type="dxa" w:w="2880"/>
            <w:vAlign w:val="top"/>
          </w:tcPr>
          <w:p>
            <w:r>
              <w:rPr>
                <w:color w:val="12122C"/>
                <w:sz w:val="16"/>
              </w:rPr>
              <w:t>bb.brand.teal</w:t>
            </w:r>
          </w:p>
        </w:tc>
        <w:tc>
          <w:tcPr>
            <w:tcW w:type="dxa" w:w="2016"/>
            <w:vAlign w:val="top"/>
          </w:tcPr>
          <w:p>
            <w:r>
              <w:rPr>
                <w:color w:val="12122C"/>
                <w:sz w:val="16"/>
              </w:rPr>
              <w:t>#007998</w:t>
            </w:r>
          </w:p>
        </w:tc>
        <w:tc>
          <w:tcPr>
            <w:tcW w:type="dxa" w:w="6192"/>
            <w:vAlign w:val="top"/>
          </w:tcPr>
          <w:p>
            <w:r>
              <w:rPr>
                <w:color w:val="12122C"/>
                <w:sz w:val="16"/>
              </w:rPr>
              <w:t>Secondary/info highlights</w:t>
            </w:r>
          </w:p>
        </w:tc>
      </w:tr>
      <w:tr>
        <w:tc>
          <w:tcPr>
            <w:tcW w:type="dxa" w:w="2880"/>
            <w:vAlign w:val="top"/>
          </w:tcPr>
          <w:p>
            <w:r>
              <w:rPr>
                <w:color w:val="12122C"/>
                <w:sz w:val="16"/>
              </w:rPr>
              <w:t>bb.surface.app</w:t>
            </w:r>
          </w:p>
        </w:tc>
        <w:tc>
          <w:tcPr>
            <w:tcW w:type="dxa" w:w="2016"/>
            <w:vAlign w:val="top"/>
          </w:tcPr>
          <w:p>
            <w:r>
              <w:rPr>
                <w:color w:val="12122C"/>
                <w:sz w:val="16"/>
              </w:rPr>
              <w:t>#F2F2F8</w:t>
            </w:r>
          </w:p>
        </w:tc>
        <w:tc>
          <w:tcPr>
            <w:tcW w:type="dxa" w:w="6192"/>
            <w:vAlign w:val="top"/>
          </w:tcPr>
          <w:p>
            <w:r>
              <w:rPr>
                <w:color w:val="12122C"/>
                <w:sz w:val="16"/>
              </w:rPr>
              <w:t>App background</w:t>
            </w:r>
          </w:p>
        </w:tc>
      </w:tr>
      <w:tr>
        <w:tc>
          <w:tcPr>
            <w:tcW w:type="dxa" w:w="2880"/>
            <w:vAlign w:val="top"/>
          </w:tcPr>
          <w:p>
            <w:r>
              <w:rPr>
                <w:color w:val="12122C"/>
                <w:sz w:val="16"/>
              </w:rPr>
              <w:t>bb.surface.white</w:t>
            </w:r>
          </w:p>
        </w:tc>
        <w:tc>
          <w:tcPr>
            <w:tcW w:type="dxa" w:w="2016"/>
            <w:vAlign w:val="top"/>
          </w:tcPr>
          <w:p>
            <w:r>
              <w:rPr>
                <w:color w:val="12122C"/>
                <w:sz w:val="16"/>
              </w:rPr>
              <w:t>#FFFFFF</w:t>
            </w:r>
          </w:p>
        </w:tc>
        <w:tc>
          <w:tcPr>
            <w:tcW w:type="dxa" w:w="6192"/>
            <w:vAlign w:val="top"/>
          </w:tcPr>
          <w:p>
            <w:r>
              <w:rPr>
                <w:color w:val="12122C"/>
                <w:sz w:val="16"/>
              </w:rPr>
              <w:t>Cards, tables, modals, forms</w:t>
            </w:r>
          </w:p>
        </w:tc>
      </w:tr>
      <w:tr>
        <w:tc>
          <w:tcPr>
            <w:tcW w:type="dxa" w:w="2880"/>
            <w:vAlign w:val="top"/>
          </w:tcPr>
          <w:p>
            <w:r>
              <w:rPr>
                <w:color w:val="12122C"/>
                <w:sz w:val="16"/>
              </w:rPr>
              <w:t>bb.surface.border</w:t>
            </w:r>
          </w:p>
        </w:tc>
        <w:tc>
          <w:tcPr>
            <w:tcW w:type="dxa" w:w="2016"/>
            <w:vAlign w:val="top"/>
          </w:tcPr>
          <w:p>
            <w:r>
              <w:rPr>
                <w:color w:val="12122C"/>
                <w:sz w:val="16"/>
              </w:rPr>
              <w:t>#E3E3F1</w:t>
            </w:r>
          </w:p>
        </w:tc>
        <w:tc>
          <w:tcPr>
            <w:tcW w:type="dxa" w:w="6192"/>
            <w:vAlign w:val="top"/>
          </w:tcPr>
          <w:p>
            <w:r>
              <w:rPr>
                <w:color w:val="12122C"/>
                <w:sz w:val="16"/>
              </w:rPr>
              <w:t>Dividers, table lines</w:t>
            </w:r>
          </w:p>
        </w:tc>
      </w:tr>
      <w:tr>
        <w:tc>
          <w:tcPr>
            <w:tcW w:type="dxa" w:w="2880"/>
            <w:vAlign w:val="top"/>
          </w:tcPr>
          <w:p>
            <w:r>
              <w:rPr>
                <w:color w:val="12122C"/>
                <w:sz w:val="16"/>
              </w:rPr>
              <w:t>bb.brand.slate</w:t>
            </w:r>
          </w:p>
        </w:tc>
        <w:tc>
          <w:tcPr>
            <w:tcW w:type="dxa" w:w="2016"/>
            <w:vAlign w:val="top"/>
          </w:tcPr>
          <w:p>
            <w:r>
              <w:rPr>
                <w:color w:val="12122C"/>
                <w:sz w:val="16"/>
              </w:rPr>
              <w:t>#676687</w:t>
            </w:r>
          </w:p>
        </w:tc>
        <w:tc>
          <w:tcPr>
            <w:tcW w:type="dxa" w:w="6192"/>
            <w:vAlign w:val="top"/>
          </w:tcPr>
          <w:p>
            <w:r>
              <w:rPr>
                <w:color w:val="12122C"/>
                <w:sz w:val="16"/>
              </w:rPr>
              <w:t>Muted text and metadata</w:t>
            </w:r>
          </w:p>
        </w:tc>
      </w:tr>
    </w:tbl>
    <w:p/>
    <w:p>
      <w:pPr>
        <w:pStyle w:val="Heading1"/>
      </w:pPr>
      <w:r>
        <w:t>6. Status Systems and State Machines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2122C"/>
            <w:vAlign w:val="center"/>
          </w:tcPr>
          <w:p>
            <w:pPr>
              <w:jc w:val="left"/>
            </w:pPr>
            <w:r>
              <w:rPr>
                <w:b/>
                <w:color w:val="FFFFFF"/>
                <w:sz w:val="17"/>
              </w:rPr>
              <w:t>Object</w:t>
            </w:r>
          </w:p>
        </w:tc>
        <w:tc>
          <w:tcPr>
            <w:tcW w:type="dxa" w:w="8928"/>
            <w:shd w:fill="12122C"/>
            <w:vAlign w:val="center"/>
          </w:tcPr>
          <w:p>
            <w:pPr>
              <w:jc w:val="left"/>
            </w:pPr>
            <w:r>
              <w:rPr>
                <w:b/>
                <w:color w:val="FFFFFF"/>
                <w:sz w:val="17"/>
              </w:rPr>
              <w:t>Statuses</w:t>
            </w:r>
          </w:p>
        </w:tc>
      </w:tr>
      <w:tr>
        <w:tc>
          <w:tcPr>
            <w:tcW w:type="dxa" w:w="2160"/>
            <w:vAlign w:val="top"/>
          </w:tcPr>
          <w:p>
            <w:r>
              <w:rPr>
                <w:color w:val="12122C"/>
                <w:sz w:val="16"/>
              </w:rPr>
              <w:t>Visit</w:t>
            </w:r>
          </w:p>
        </w:tc>
        <w:tc>
          <w:tcPr>
            <w:tcW w:type="dxa" w:w="8928"/>
            <w:vAlign w:val="top"/>
          </w:tcPr>
          <w:p>
            <w:r>
              <w:rPr>
                <w:color w:val="12122C"/>
                <w:sz w:val="16"/>
              </w:rPr>
              <w:t>Draft, Open, Missing patient data, Missing insurance, Missing diagnosis, Missing charges, Ready for billing, Claim draft created, Primary claim submitted, Secondary claim pending, Billed, Paid, Closed, Void.</w:t>
            </w:r>
          </w:p>
        </w:tc>
      </w:tr>
      <w:tr>
        <w:tc>
          <w:tcPr>
            <w:tcW w:type="dxa" w:w="2160"/>
            <w:vAlign w:val="top"/>
          </w:tcPr>
          <w:p>
            <w:r>
              <w:rPr>
                <w:color w:val="12122C"/>
                <w:sz w:val="16"/>
              </w:rPr>
              <w:t>Claim</w:t>
            </w:r>
          </w:p>
        </w:tc>
        <w:tc>
          <w:tcPr>
            <w:tcW w:type="dxa" w:w="8928"/>
            <w:vAlign w:val="top"/>
          </w:tcPr>
          <w:p>
            <w:r>
              <w:rPr>
                <w:color w:val="12122C"/>
                <w:sz w:val="16"/>
              </w:rPr>
              <w:t>Draft, Validation needed, Validation failed, Ready to submit, Awaiting batch, Submitted, Accepted, Rejected, Denied, Partially paid, Paid, Secondary pending, Closed, Voided.</w:t>
            </w:r>
          </w:p>
        </w:tc>
      </w:tr>
      <w:tr>
        <w:tc>
          <w:tcPr>
            <w:tcW w:type="dxa" w:w="2160"/>
            <w:vAlign w:val="top"/>
          </w:tcPr>
          <w:p>
            <w:r>
              <w:rPr>
                <w:color w:val="12122C"/>
                <w:sz w:val="16"/>
              </w:rPr>
              <w:t>Payment</w:t>
            </w:r>
          </w:p>
        </w:tc>
        <w:tc>
          <w:tcPr>
            <w:tcW w:type="dxa" w:w="8928"/>
            <w:vAlign w:val="top"/>
          </w:tcPr>
          <w:p>
            <w:r>
              <w:rPr>
                <w:color w:val="12122C"/>
                <w:sz w:val="16"/>
              </w:rPr>
              <w:t>Draft, Imported, Matched, Partially matched, Unmatched, Ready to post, Posted, Posted with warnings, Unapplied balance, Reconciled, Reversed, Void.</w:t>
            </w:r>
          </w:p>
        </w:tc>
      </w:tr>
      <w:tr>
        <w:tc>
          <w:tcPr>
            <w:tcW w:type="dxa" w:w="2160"/>
            <w:vAlign w:val="top"/>
          </w:tcPr>
          <w:p>
            <w:r>
              <w:rPr>
                <w:color w:val="12122C"/>
                <w:sz w:val="16"/>
              </w:rPr>
              <w:t>Work item</w:t>
            </w:r>
          </w:p>
        </w:tc>
        <w:tc>
          <w:tcPr>
            <w:tcW w:type="dxa" w:w="8928"/>
            <w:vAlign w:val="top"/>
          </w:tcPr>
          <w:p>
            <w:r>
              <w:rPr>
                <w:color w:val="12122C"/>
                <w:sz w:val="16"/>
              </w:rPr>
              <w:t>Open, Assigned, In progress, Waiting, Snoozed, Resolved, Escalated, Closed.</w:t>
            </w:r>
          </w:p>
        </w:tc>
      </w:tr>
      <w:tr>
        <w:tc>
          <w:tcPr>
            <w:tcW w:type="dxa" w:w="2160"/>
            <w:vAlign w:val="top"/>
          </w:tcPr>
          <w:p>
            <w:r>
              <w:rPr>
                <w:color w:val="12122C"/>
                <w:sz w:val="16"/>
              </w:rPr>
              <w:t>EDI transaction</w:t>
            </w:r>
          </w:p>
        </w:tc>
        <w:tc>
          <w:tcPr>
            <w:tcW w:type="dxa" w:w="8928"/>
            <w:vAlign w:val="top"/>
          </w:tcPr>
          <w:p>
            <w:r>
              <w:rPr>
                <w:color w:val="12122C"/>
                <w:sz w:val="16"/>
              </w:rPr>
              <w:t>Created, Queued, Sent, Acknowledged, Accepted, Rejected, Parsed, Failed, Reprocessed.</w:t>
            </w:r>
          </w:p>
        </w:tc>
      </w:tr>
    </w:tbl>
    <w:p/>
    <w:p>
      <w:pPr>
        <w:pStyle w:val="Heading1"/>
      </w:pPr>
      <w:r>
        <w:t>7. Module Requirements</w:t>
      </w:r>
    </w:p>
    <w:p>
      <w:pPr>
        <w:pStyle w:val="Heading2"/>
      </w:pPr>
      <w:r>
        <w:t>7.1 Patients</w:t>
      </w:r>
    </w:p>
    <w:p>
      <w:pPr>
        <w:pStyle w:val="ListBullet"/>
      </w:pPr>
      <w:r>
        <w:t>Patient list columns: patient ID, name, DOB, age, sex, account number, primary/secondary insurance, account type, status, patient responsibility balance, last visit date, open claims count, alerts, last updated, row actions.</w:t>
      </w:r>
    </w:p>
    <w:p>
      <w:pPr>
        <w:pStyle w:val="ListBullet"/>
      </w:pPr>
      <w:r>
        <w:t>Filters: name/ID/account/DOB/subscriber ID, status, account type, insurance, balance, last visit, facility, provider, missing insurance, missing demographics, has open claims.</w:t>
      </w:r>
    </w:p>
    <w:p>
      <w:pPr>
        <w:pStyle w:val="ListBullet"/>
      </w:pPr>
      <w:r>
        <w:t>Actions: add/edit patient, add visit, view visits, view claims, verify eligibility, print demographics, mark inactive, merge duplicate with permission.</w:t>
      </w:r>
    </w:p>
    <w:p>
      <w:pPr>
        <w:pStyle w:val="ListBullet"/>
      </w:pPr>
      <w:r>
        <w:t>Patient profile is a full page with tabs: Overview, Demographics, Insurance, Visits, Claims, Payments, Notes &amp; Activity. Clicking a patient row should open this full page, not only a sidebar.</w:t>
      </w:r>
    </w:p>
    <w:p>
      <w:pPr>
        <w:pStyle w:val="ListBullet"/>
      </w:pPr>
      <w:r>
        <w:t>Demographics must include OfficeAlly-style patient data fields plus sensitive masking for SSN/confidential health flags and audit on reveal/change.</w:t>
      </w:r>
    </w:p>
    <w:p>
      <w:pPr>
        <w:pStyle w:val="ListBullet"/>
      </w:pPr>
      <w:r>
        <w:t>Insurance tab must support eligibility summary, primary/secondary/third insurance, guarantor, subscriber fields, authorization, visits authorized/used/left, effective dates, signature/release fields, and warnings for missing/inactive insurance.</w:t>
      </w:r>
    </w:p>
    <w:p>
      <w:pPr>
        <w:pStyle w:val="Heading2"/>
      </w:pPr>
      <w:r>
        <w:t>7.2 Visits</w:t>
      </w:r>
    </w:p>
    <w:p>
      <w:pPr>
        <w:pStyle w:val="ListBullet"/>
      </w:pPr>
      <w:r>
        <w:t>Visit list columns: visit ID, type, date, patient, DOB, provider, facility/office, status, charges, balance, responsibility, primary claim, secondary claim, print statement flag, last updated, assigned user, row actions.</w:t>
      </w:r>
    </w:p>
    <w:p>
      <w:pPr>
        <w:pStyle w:val="ListBullet"/>
      </w:pPr>
      <w:r>
        <w:t>Visit detail is a full page with sections/tabs: Patient Summary, Visit Info, Billing Info, Billing Options, Claim Linkage, Payments &amp; Balances, Notes &amp; Activity.</w:t>
      </w:r>
    </w:p>
    <w:p>
      <w:pPr>
        <w:pStyle w:val="ListBullet"/>
      </w:pPr>
      <w:r>
        <w:t>Visit info fields: patient search, visit date/type/reason/chief complaint, allergies, status, print statement flag, optional vitals, provider, office, facility, provider notes, minimal medications if already captured, structured visit notes.</w:t>
      </w:r>
    </w:p>
    <w:p>
      <w:pPr>
        <w:pStyle w:val="ListBullet"/>
      </w:pPr>
      <w:r>
        <w:t>Billing info grid: ICD type, diagnoses A-L, CPT/HCPCS, POS, modifiers A-D, ICD pointers, DOS from/to, charge, units, insurance/patient payments, adjustments, balance, line notes, anesthesia and NDC fields.</w:t>
      </w:r>
    </w:p>
    <w:p>
      <w:pPr>
        <w:pStyle w:val="ListBullet"/>
      </w:pPr>
      <w:r>
        <w:t>Billing behavior: CPT search autofills defaults, diagnosis pointer validates, balances recalculate immediately, empty lines hidden, duplicate line item supported, multiple DOS lines supported, submitted/paid line deletion warns.</w:t>
      </w:r>
    </w:p>
    <w:p>
      <w:pPr>
        <w:pStyle w:val="ListBullet"/>
      </w:pPr>
      <w:r>
        <w:t>Billing options include referring/supervising/ordering provider, facility, billing/rendering provider, condition fields, onset/accident/hospital dates, prior auth, Medicaid resubmission, CLIA, mammography, ambulance, attachment, hospice, contract fields with progressive disclosure.</w:t>
      </w:r>
    </w:p>
    <w:p>
      <w:pPr>
        <w:pStyle w:val="Heading2"/>
      </w:pPr>
      <w:r>
        <w:t>7.3 Claims</w:t>
      </w:r>
    </w:p>
    <w:p>
      <w:pPr>
        <w:pStyle w:val="ListBullet"/>
      </w:pPr>
      <w:r>
        <w:t>Claim list columns: claim number, created date, form type, claim type, DOS range, patient, visit ID, provider, facility, total charges, primary/secondary payer, insurance type, secondary flag, status, validation, submission, last submitted, last payer response, balance, owner, row actions.</w:t>
      </w:r>
    </w:p>
    <w:p>
      <w:pPr>
        <w:pStyle w:val="ListBullet"/>
      </w:pPr>
      <w:r>
        <w:t>Claim composer sections: summary, patient/insured, payer, diagnosis, service lines, providers/facility, claim options, validation issues, submission history, payments/adjustments, notes/activity, CMS-1500 preview.</w:t>
      </w:r>
    </w:p>
    <w:p>
      <w:pPr>
        <w:pStyle w:val="ListBullet"/>
      </w:pPr>
      <w:r>
        <w:t>Validation runs on creation, edit, before submit, batch submit, and field changes. Issues include blocking error, warning, informational suggestion with field link and fix action.</w:t>
      </w:r>
    </w:p>
    <w:p>
      <w:pPr>
        <w:pStyle w:val="ListBullet"/>
      </w:pPr>
      <w:r>
        <w:t>Validation checks: subscriber ID, payer ID, patient DOB/sex, insured relationship, provider/facility/billing NPI, diagnosis pointer, no diagnosis, no billable line, POS, CPT, charge/units, invalid/future dates, coverage date, auth, secondary primary-payment detail, total mismatch, unsupported submission type.</w:t>
      </w:r>
    </w:p>
    <w:p>
      <w:pPr>
        <w:pStyle w:val="ListBullet"/>
      </w:pPr>
      <w:r>
        <w:t>Repairable claims/rejections are first-class queues with source, message, date, age, owner, suggested fix, next action, original values, related field, resubmit action, activity history.</w:t>
      </w:r>
    </w:p>
    <w:p>
      <w:pPr>
        <w:pStyle w:val="ListBullet"/>
      </w:pPr>
      <w:r>
        <w:t>Batch submission separates ready, warning, and blocked claims; excludes blocked claims; updates status and activity automatically; shows what happens next.</w:t>
      </w:r>
    </w:p>
    <w:p>
      <w:pPr>
        <w:pStyle w:val="Heading2"/>
      </w:pPr>
      <w:r>
        <w:t>7.4 Billing Work Queues</w:t>
      </w:r>
    </w:p>
    <w:p>
      <w:pPr>
        <w:pStyle w:val="ListBullet"/>
      </w:pPr>
      <w:r>
        <w:t>Billing is the operational command queue. It surfaces work across visits, claims, denials, payments, A/R, patient balances, stale claims, and ERA exceptions.</w:t>
      </w:r>
    </w:p>
    <w:p>
      <w:pPr>
        <w:pStyle w:val="ListBullet"/>
      </w:pPr>
      <w:r>
        <w:t>Queue cards: visits ready for billing, visits missing billing data, claims validation failed, claims ready to submit, claims awaiting batch, rejected claims, denied claims, secondary claims pending, payments needing posting, ERA unmatched, unapplied payments, no-activity claims, patient balances requiring statement review.</w:t>
      </w:r>
    </w:p>
    <w:p>
      <w:pPr>
        <w:pStyle w:val="ListBullet"/>
      </w:pPr>
      <w:r>
        <w:t>Queue table columns: work item type, priority, patient, visit ID, claim number, DOS, payer, provider, facility, amount, status, reason, assigned to, age, next action.</w:t>
      </w:r>
    </w:p>
    <w:p>
      <w:pPr>
        <w:pStyle w:val="ListBullet"/>
      </w:pPr>
      <w:r>
        <w:t>Actions: assign to me, add note, fix issue, open detail drawer, mark reviewed, create claim, validate claim, submit claim, move to follow-up, snooze with reason, bulk assign/validate/submit.</w:t>
      </w:r>
    </w:p>
    <w:p>
      <w:pPr>
        <w:pStyle w:val="ListBullet"/>
      </w:pPr>
      <w:r>
        <w:t>Automatic work item rules: missing insurance, charges but no claim, diagnosis but no charge, validation failure, claim rejection/denial, unmatched ERA, unapplied payment, secondary needed, no payer response after configured days, patient balance after insurance posting.</w:t>
      </w:r>
    </w:p>
    <w:p>
      <w:pPr>
        <w:pStyle w:val="Heading2"/>
      </w:pPr>
      <w:r>
        <w:t>7.5 Payments and Posting</w:t>
      </w:r>
    </w:p>
    <w:p>
      <w:pPr>
        <w:pStyle w:val="ListBullet"/>
      </w:pPr>
      <w:r>
        <w:t>Payments/deposits list columns: payment date, created date, payer type, payer, method, description, check/auth number, amount, applied, unapplied, matched, posting status, where applied, receipt, source, created by, row actions.</w:t>
      </w:r>
    </w:p>
    <w:p>
      <w:pPr>
        <w:pStyle w:val="ListBullet"/>
      </w:pPr>
      <w:r>
        <w:t>Add payment guided workflow: source, payer/patient selection, payment details, claim/visit matching, apply, review, post.</w:t>
      </w:r>
    </w:p>
    <w:p>
      <w:pPr>
        <w:pStyle w:val="ListBullet"/>
      </w:pPr>
      <w:r>
        <w:t>Applied payments list: applied date, payment date, DOS, patient ID/name, visit ID, claim number, applied type, amount, payment ID, account number, payer, posted by, delete/reverse with permission.</w:t>
      </w:r>
    </w:p>
    <w:p>
      <w:pPr>
        <w:pStyle w:val="ListBullet"/>
      </w:pPr>
      <w:r>
        <w:t>ERA auto-post: check number, payer on claim/check, payment amount, applied/unapplied/unmatched, payment type, adjustment type, ERA status, match confidence, exception count, next action.</w:t>
      </w:r>
    </w:p>
    <w:p>
      <w:pPr>
        <w:pStyle w:val="ListBullet"/>
      </w:pPr>
      <w:r>
        <w:t>Unmatched ERA detail must show patient from ERA, claim number, DOS, CPT, paid amount, adjustment reason, possible matching claims, confidence score, suggested match, manual match, skip with reason.</w:t>
      </w:r>
    </w:p>
    <w:p>
      <w:pPr>
        <w:pStyle w:val="ListBullet"/>
      </w:pPr>
      <w:r>
        <w:t>Posting supports insurance payment, patient payment, adjustment, contractual adjustment, credit, reversal, refund marker, secondary transfer, patient responsibility transfer. Financial actions are audited.</w:t>
      </w:r>
    </w:p>
    <w:p>
      <w:pPr>
        <w:pStyle w:val="Heading2"/>
      </w:pPr>
      <w:r>
        <w:t>7.6 Settings and Master Data</w:t>
      </w:r>
    </w:p>
    <w:p>
      <w:pPr>
        <w:pStyle w:val="ListBullet"/>
      </w:pPr>
      <w:r>
        <w:t>Settings groups: Practice setup, Users and access, Providers, Facilities and locations, Payers and insurance, Billing codes, Payments/accounting, Claim defaults, Security, Audit logs.</w:t>
      </w:r>
    </w:p>
    <w:p>
      <w:pPr>
        <w:pStyle w:val="ListBullet"/>
      </w:pPr>
      <w:r>
        <w:t>Settings screens must explain downstream impact and whether changes apply to future records only.</w:t>
      </w:r>
    </w:p>
    <w:p>
      <w:pPr>
        <w:pStyle w:val="ListBullet"/>
      </w:pPr>
      <w:r>
        <w:t>Provider setup includes NPI, taxonomy, state license, DEA, default office/facility/billing provider, payer-specific PIN/group numbers; sensitive data masked.</w:t>
      </w:r>
    </w:p>
    <w:p>
      <w:pPr>
        <w:pStyle w:val="ListBullet"/>
      </w:pPr>
      <w:r>
        <w:t>Payer setup includes payer ID, eligibility payer name, claim submission method, payer-specific billing rules, active/inactive behavior, and inactive selection override reason.</w:t>
      </w:r>
    </w:p>
    <w:p>
      <w:pPr>
        <w:pStyle w:val="ListBullet"/>
      </w:pPr>
      <w:r>
        <w:t>CPT/HCPCS settings include code, description, default POS, modifiers, charge, active status, effective dates, notes, optional specialty/payer override, import/export, audit.</w:t>
      </w:r>
    </w:p>
    <w:p>
      <w:pPr>
        <w:pStyle w:val="ListBullet"/>
      </w:pPr>
      <w:r>
        <w:t>Diagnosis settings include code type, diagnosis code, description, billable status, active/inactive, search by code/description.</w:t>
      </w:r>
    </w:p>
    <w:p>
      <w:pPr>
        <w:pStyle w:val="ListBullet"/>
      </w:pPr>
      <w:r>
        <w:t>Chart accounts map insurance payments, patient payments, adjustments, credits, write-offs, refund markers.</w:t>
      </w:r>
    </w:p>
    <w:p>
      <w:pPr>
        <w:pStyle w:val="Heading2"/>
      </w:pPr>
      <w:r>
        <w:t>7.7 Audit, Activity, and Migration</w:t>
      </w:r>
    </w:p>
    <w:p>
      <w:pPr>
        <w:pStyle w:val="ListBullet"/>
      </w:pPr>
      <w:r>
        <w:t>Audit events required for demographic/insurance edits, sensitive reveals, visit edits/voids, diagnosis and charge edits, claim validation/submission/void, payment creation/posting/reversal, adjustment posting, ERA auto-post, settings changes, role changes, export actions.</w:t>
      </w:r>
    </w:p>
    <w:p>
      <w:pPr>
        <w:pStyle w:val="ListBullet"/>
      </w:pPr>
      <w:r>
        <w:t>Each audit event stores timestamp, actor, actor role, action, entity type/id, before/after where relevant, IP/device where available, result, reason/note where required.</w:t>
      </w:r>
    </w:p>
    <w:p>
      <w:pPr>
        <w:pStyle w:val="ListBullet"/>
      </w:pPr>
      <w:r>
        <w:t>Migration imports patients, insurance, visits, claims, payments, applied payments, providers, billing providers, referring providers, facilities, payers, CPT, DX, chart accounts, preferences.</w:t>
      </w:r>
    </w:p>
    <w:p>
      <w:pPr>
        <w:pStyle w:val="ListBullet"/>
      </w:pPr>
      <w:r>
        <w:t>Imported records store source system, source ID, import batch ID, imported at/by, and data quality status. Users can filter imported records with missing required fields.</w:t>
      </w:r>
    </w:p>
    <w:p>
      <w:pPr>
        <w:pStyle w:val="Heading1"/>
      </w:pPr>
      <w:r>
        <w:t>8. Smart Billing Rules and Pain-Point Requirements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12122C"/>
            <w:vAlign w:val="center"/>
          </w:tcPr>
          <w:p>
            <w:pPr>
              <w:jc w:val="left"/>
            </w:pPr>
            <w:r>
              <w:rPr>
                <w:b/>
                <w:color w:val="FFFFFF"/>
                <w:sz w:val="17"/>
              </w:rPr>
              <w:t>Requirement</w:t>
            </w:r>
          </w:p>
        </w:tc>
        <w:tc>
          <w:tcPr>
            <w:tcW w:type="dxa" w:w="7920"/>
            <w:shd w:fill="12122C"/>
            <w:vAlign w:val="center"/>
          </w:tcPr>
          <w:p>
            <w:pPr>
              <w:jc w:val="left"/>
            </w:pPr>
            <w:r>
              <w:rPr>
                <w:b/>
                <w:color w:val="FFFFFF"/>
                <w:sz w:val="17"/>
              </w:rPr>
              <w:t>Build behavior</w:t>
            </w:r>
          </w:p>
        </w:tc>
      </w:tr>
      <w:tr>
        <w:tc>
          <w:tcPr>
            <w:tcW w:type="dxa" w:w="3168"/>
            <w:vAlign w:val="top"/>
          </w:tcPr>
          <w:p>
            <w:r>
              <w:rPr>
                <w:color w:val="12122C"/>
                <w:sz w:val="16"/>
              </w:rPr>
              <w:t>Admit/discharge code logic</w:t>
            </w:r>
          </w:p>
        </w:tc>
        <w:tc>
          <w:tcPr>
            <w:tcW w:type="dxa" w:w="7920"/>
            <w:vAlign w:val="top"/>
          </w:tcPr>
          <w:p>
            <w:r>
              <w:rPr>
                <w:color w:val="12122C"/>
                <w:sz w:val="16"/>
              </w:rPr>
              <w:t>For hospital/facility clients, required admit/discharge fields block submission when missing. If admit code already exists for a patient stay, warn or block duplicate admit billing and suggest follow-up codes.</w:t>
            </w:r>
          </w:p>
        </w:tc>
      </w:tr>
      <w:tr>
        <w:tc>
          <w:tcPr>
            <w:tcW w:type="dxa" w:w="3168"/>
            <w:vAlign w:val="top"/>
          </w:tcPr>
          <w:p>
            <w:r>
              <w:rPr>
                <w:color w:val="12122C"/>
                <w:sz w:val="16"/>
              </w:rPr>
              <w:t>Date logic</w:t>
            </w:r>
          </w:p>
        </w:tc>
        <w:tc>
          <w:tcPr>
            <w:tcW w:type="dxa" w:w="7920"/>
            <w:vAlign w:val="top"/>
          </w:tcPr>
          <w:p>
            <w:r>
              <w:rPr>
                <w:color w:val="12122C"/>
                <w:sz w:val="16"/>
              </w:rPr>
              <w:t>No future DOS on claims. Validate DOS ranges, admission/discharge/onset dates, coverage dates, authorization dates, and filing deadlines before clearinghouse submission.</w:t>
            </w:r>
          </w:p>
        </w:tc>
      </w:tr>
      <w:tr>
        <w:tc>
          <w:tcPr>
            <w:tcW w:type="dxa" w:w="3168"/>
            <w:vAlign w:val="top"/>
          </w:tcPr>
          <w:p>
            <w:r>
              <w:rPr>
                <w:color w:val="12122C"/>
                <w:sz w:val="16"/>
              </w:rPr>
              <w:t>Modifier and laterality logic</w:t>
            </w:r>
          </w:p>
        </w:tc>
        <w:tc>
          <w:tcPr>
            <w:tcW w:type="dxa" w:w="7920"/>
            <w:vAlign w:val="top"/>
          </w:tcPr>
          <w:p>
            <w:r>
              <w:rPr>
                <w:color w:val="12122C"/>
                <w:sz w:val="16"/>
              </w:rPr>
              <w:t>Detect RT/LT mismatch with diagnosis laterality. Warn/block if left-side diagnosis is paired with right-side modifier or vice versa.</w:t>
            </w:r>
          </w:p>
        </w:tc>
      </w:tr>
      <w:tr>
        <w:tc>
          <w:tcPr>
            <w:tcW w:type="dxa" w:w="3168"/>
            <w:vAlign w:val="top"/>
          </w:tcPr>
          <w:p>
            <w:r>
              <w:rPr>
                <w:color w:val="12122C"/>
                <w:sz w:val="16"/>
              </w:rPr>
              <w:t>Modifier 25/59 quarantine</w:t>
            </w:r>
          </w:p>
        </w:tc>
        <w:tc>
          <w:tcPr>
            <w:tcW w:type="dxa" w:w="7920"/>
            <w:vAlign w:val="top"/>
          </w:tcPr>
          <w:p>
            <w:r>
              <w:rPr>
                <w:color w:val="12122C"/>
                <w:sz w:val="16"/>
              </w:rPr>
              <w:t>When multiple CPTs on same DOS require modifiers, block/quarantine claim until biller reviews line-level edits. Integrate NCCI PTP logic.</w:t>
            </w:r>
          </w:p>
        </w:tc>
      </w:tr>
      <w:tr>
        <w:tc>
          <w:tcPr>
            <w:tcW w:type="dxa" w:w="3168"/>
            <w:vAlign w:val="top"/>
          </w:tcPr>
          <w:p>
            <w:r>
              <w:rPr>
                <w:color w:val="12122C"/>
                <w:sz w:val="16"/>
              </w:rPr>
              <w:t>Missing superbills/visits</w:t>
            </w:r>
          </w:p>
        </w:tc>
        <w:tc>
          <w:tcPr>
            <w:tcW w:type="dxa" w:w="7920"/>
            <w:vAlign w:val="top"/>
          </w:tcPr>
          <w:p>
            <w:r>
              <w:rPr>
                <w:color w:val="12122C"/>
                <w:sz w:val="16"/>
              </w:rPr>
              <w:t>Compare scheduled/seen/imported visit counts against superbills/created visits/claims; alert if patients seen but no billing record exists.</w:t>
            </w:r>
          </w:p>
        </w:tc>
      </w:tr>
      <w:tr>
        <w:tc>
          <w:tcPr>
            <w:tcW w:type="dxa" w:w="3168"/>
            <w:vAlign w:val="top"/>
          </w:tcPr>
          <w:p>
            <w:r>
              <w:rPr>
                <w:color w:val="12122C"/>
                <w:sz w:val="16"/>
              </w:rPr>
              <w:t>Bucket reminders</w:t>
            </w:r>
          </w:p>
        </w:tc>
        <w:tc>
          <w:tcPr>
            <w:tcW w:type="dxa" w:w="7920"/>
            <w:vAlign w:val="top"/>
          </w:tcPr>
          <w:p>
            <w:r>
              <w:rPr>
                <w:color w:val="12122C"/>
                <w:sz w:val="16"/>
              </w:rPr>
              <w:t>Claims/visits placed in QA or manual hold buckets generate reminders after configurable days.</w:t>
            </w:r>
          </w:p>
        </w:tc>
      </w:tr>
      <w:tr>
        <w:tc>
          <w:tcPr>
            <w:tcW w:type="dxa" w:w="3168"/>
            <w:vAlign w:val="top"/>
          </w:tcPr>
          <w:p>
            <w:r>
              <w:rPr>
                <w:color w:val="12122C"/>
                <w:sz w:val="16"/>
              </w:rPr>
              <w:t>Hospice modifiers</w:t>
            </w:r>
          </w:p>
        </w:tc>
        <w:tc>
          <w:tcPr>
            <w:tcW w:type="dxa" w:w="7920"/>
            <w:vAlign w:val="top"/>
          </w:tcPr>
          <w:p>
            <w:r>
              <w:rPr>
                <w:color w:val="12122C"/>
                <w:sz w:val="16"/>
              </w:rPr>
              <w:t>If patient is in hospice on DOS, auto-suggest or apply required modifiers based on rule configuration.</w:t>
            </w:r>
          </w:p>
        </w:tc>
      </w:tr>
      <w:tr>
        <w:tc>
          <w:tcPr>
            <w:tcW w:type="dxa" w:w="3168"/>
            <w:vAlign w:val="top"/>
          </w:tcPr>
          <w:p>
            <w:r>
              <w:rPr>
                <w:color w:val="12122C"/>
                <w:sz w:val="16"/>
              </w:rPr>
              <w:t>Timely filing limits</w:t>
            </w:r>
          </w:p>
        </w:tc>
        <w:tc>
          <w:tcPr>
            <w:tcW w:type="dxa" w:w="7920"/>
            <w:vAlign w:val="top"/>
          </w:tcPr>
          <w:p>
            <w:r>
              <w:rPr>
                <w:color w:val="12122C"/>
                <w:sz w:val="16"/>
              </w:rPr>
              <w:t>Payer-level TFL settings create alert buckets as claims approach filing deadlines.</w:t>
            </w:r>
          </w:p>
        </w:tc>
      </w:tr>
      <w:tr>
        <w:tc>
          <w:tcPr>
            <w:tcW w:type="dxa" w:w="3168"/>
            <w:vAlign w:val="top"/>
          </w:tcPr>
          <w:p>
            <w:r>
              <w:rPr>
                <w:color w:val="12122C"/>
                <w:sz w:val="16"/>
              </w:rPr>
              <w:t>ERA exceptions and reversals</w:t>
            </w:r>
          </w:p>
        </w:tc>
        <w:tc>
          <w:tcPr>
            <w:tcW w:type="dxa" w:w="7920"/>
            <w:vAlign w:val="top"/>
          </w:tcPr>
          <w:p>
            <w:r>
              <w:rPr>
                <w:color w:val="12122C"/>
                <w:sz w:val="16"/>
              </w:rPr>
              <w:t>Auto-post clean ERA lines, isolate exceptions, make reversals/recoupments/PLB easy to review and post.</w:t>
            </w:r>
          </w:p>
        </w:tc>
      </w:tr>
      <w:tr>
        <w:tc>
          <w:tcPr>
            <w:tcW w:type="dxa" w:w="3168"/>
            <w:vAlign w:val="top"/>
          </w:tcPr>
          <w:p>
            <w:r>
              <w:rPr>
                <w:color w:val="12122C"/>
                <w:sz w:val="16"/>
              </w:rPr>
              <w:t>Unlimited filters/saved views</w:t>
            </w:r>
          </w:p>
        </w:tc>
        <w:tc>
          <w:tcPr>
            <w:tcW w:type="dxa" w:w="7920"/>
            <w:vAlign w:val="top"/>
          </w:tcPr>
          <w:p>
            <w:r>
              <w:rPr>
                <w:color w:val="12122C"/>
                <w:sz w:val="16"/>
              </w:rPr>
              <w:t>No artificial 300-row-style limitations. Use server-side pagination/virtualization and saved views.</w:t>
            </w:r>
          </w:p>
        </w:tc>
      </w:tr>
      <w:tr>
        <w:tc>
          <w:tcPr>
            <w:tcW w:type="dxa" w:w="3168"/>
            <w:vAlign w:val="top"/>
          </w:tcPr>
          <w:p>
            <w:r>
              <w:rPr>
                <w:color w:val="12122C"/>
                <w:sz w:val="16"/>
              </w:rPr>
              <w:t>Code-set intelligence</w:t>
            </w:r>
          </w:p>
        </w:tc>
        <w:tc>
          <w:tcPr>
            <w:tcW w:type="dxa" w:w="7920"/>
            <w:vAlign w:val="top"/>
          </w:tcPr>
          <w:p>
            <w:r>
              <w:rPr>
                <w:color w:val="12122C"/>
                <w:sz w:val="16"/>
              </w:rPr>
              <w:t>ICD/CPT/HCPCS active-date validation, primary-allowed validation, NCCI PTP/MUE checks, medical necessity rules where licensed/available.</w:t>
            </w:r>
          </w:p>
        </w:tc>
      </w:tr>
      <w:tr>
        <w:tc>
          <w:tcPr>
            <w:tcW w:type="dxa" w:w="3168"/>
            <w:vAlign w:val="top"/>
          </w:tcPr>
          <w:p>
            <w:r>
              <w:rPr>
                <w:color w:val="12122C"/>
                <w:sz w:val="16"/>
              </w:rPr>
              <w:t>Lifecycle view</w:t>
            </w:r>
          </w:p>
        </w:tc>
        <w:tc>
          <w:tcPr>
            <w:tcW w:type="dxa" w:w="7920"/>
            <w:vAlign w:val="top"/>
          </w:tcPr>
          <w:p>
            <w:r>
              <w:rPr>
                <w:color w:val="12122C"/>
                <w:sz w:val="16"/>
              </w:rPr>
              <w:t>Claim-level clickable timeline from visit creation to claim creation, edits, submission, acknowledgments, denials, payments, adjustments, and closure.</w:t>
            </w:r>
          </w:p>
        </w:tc>
      </w:tr>
      <w:tr>
        <w:tc>
          <w:tcPr>
            <w:tcW w:type="dxa" w:w="3168"/>
            <w:vAlign w:val="top"/>
          </w:tcPr>
          <w:p>
            <w:r>
              <w:rPr>
                <w:color w:val="12122C"/>
                <w:sz w:val="16"/>
              </w:rPr>
              <w:t>Proof records</w:t>
            </w:r>
          </w:p>
        </w:tc>
        <w:tc>
          <w:tcPr>
            <w:tcW w:type="dxa" w:w="7920"/>
            <w:vAlign w:val="top"/>
          </w:tcPr>
          <w:p>
            <w:r>
              <w:rPr>
                <w:color w:val="12122C"/>
                <w:sz w:val="16"/>
              </w:rPr>
              <w:t>Store eligibility response metadata/snapshot when used to support billing decisions.</w:t>
            </w:r>
          </w:p>
        </w:tc>
      </w:tr>
      <w:tr>
        <w:tc>
          <w:tcPr>
            <w:tcW w:type="dxa" w:w="3168"/>
            <w:vAlign w:val="top"/>
          </w:tcPr>
          <w:p>
            <w:r>
              <w:rPr>
                <w:color w:val="12122C"/>
                <w:sz w:val="16"/>
              </w:rPr>
              <w:t>CPT/DX hover visibility</w:t>
            </w:r>
          </w:p>
        </w:tc>
        <w:tc>
          <w:tcPr>
            <w:tcW w:type="dxa" w:w="7920"/>
            <w:vAlign w:val="top"/>
          </w:tcPr>
          <w:p>
            <w:r>
              <w:rPr>
                <w:color w:val="12122C"/>
                <w:sz w:val="16"/>
              </w:rPr>
              <w:t>Claims list should show or preview CPTs, modifiers, and DX codes without opening full claim page.</w:t>
            </w:r>
          </w:p>
        </w:tc>
      </w:tr>
      <w:tr>
        <w:tc>
          <w:tcPr>
            <w:tcW w:type="dxa" w:w="3168"/>
            <w:vAlign w:val="top"/>
          </w:tcPr>
          <w:p>
            <w:r>
              <w:rPr>
                <w:color w:val="12122C"/>
                <w:sz w:val="16"/>
              </w:rPr>
              <w:t>Deductible tracker</w:t>
            </w:r>
          </w:p>
        </w:tc>
        <w:tc>
          <w:tcPr>
            <w:tcW w:type="dxa" w:w="7920"/>
            <w:vAlign w:val="top"/>
          </w:tcPr>
          <w:p>
            <w:r>
              <w:rPr>
                <w:color w:val="12122C"/>
                <w:sz w:val="16"/>
              </w:rPr>
              <w:t>Dedicated bucket/report for deductible remaining, especially for calendar-year follow-up.</w:t>
            </w:r>
          </w:p>
        </w:tc>
      </w:tr>
      <w:tr>
        <w:tc>
          <w:tcPr>
            <w:tcW w:type="dxa" w:w="3168"/>
            <w:vAlign w:val="top"/>
          </w:tcPr>
          <w:p>
            <w:r>
              <w:rPr>
                <w:color w:val="12122C"/>
                <w:sz w:val="16"/>
              </w:rPr>
              <w:t>Unified claim identifier</w:t>
            </w:r>
          </w:p>
        </w:tc>
        <w:tc>
          <w:tcPr>
            <w:tcW w:type="dxa" w:w="7920"/>
            <w:vAlign w:val="top"/>
          </w:tcPr>
          <w:p>
            <w:r>
              <w:rPr>
                <w:color w:val="12122C"/>
                <w:sz w:val="16"/>
              </w:rPr>
              <w:t>Patient Control Number, EDI claim identifier, and BillerBay claim ID should use the same consistent value whenever operationally feasible.</w:t>
            </w:r>
          </w:p>
        </w:tc>
      </w:tr>
    </w:tbl>
    <w:p/>
    <w:p>
      <w:pPr>
        <w:pStyle w:val="Heading1"/>
      </w:pPr>
      <w:r>
        <w:t>9. EDI, CMS-1500, Code Sets, and Python Library Plan</w:t>
      </w:r>
    </w:p>
    <w:p>
      <w:r>
        <w:t>BillerBay should own its normalized claim, remittance, payment, validation, and audit models. Use open-source packages for parsing/validation where they are strong, but do not rely on any single library as a complete production clearinghouse substitute.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2122C"/>
            <w:vAlign w:val="center"/>
          </w:tcPr>
          <w:p>
            <w:pPr>
              <w:jc w:val="left"/>
            </w:pPr>
            <w:r>
              <w:rPr>
                <w:b/>
                <w:color w:val="FFFFFF"/>
                <w:sz w:val="17"/>
              </w:rPr>
              <w:t>Need</w:t>
            </w:r>
          </w:p>
        </w:tc>
        <w:tc>
          <w:tcPr>
            <w:tcW w:type="dxa" w:w="3888"/>
            <w:shd w:fill="12122C"/>
            <w:vAlign w:val="center"/>
          </w:tcPr>
          <w:p>
            <w:pPr>
              <w:jc w:val="left"/>
            </w:pPr>
            <w:r>
              <w:rPr>
                <w:b/>
                <w:color w:val="FFFFFF"/>
                <w:sz w:val="17"/>
              </w:rPr>
              <w:t>Recommended actual library/source</w:t>
            </w:r>
          </w:p>
        </w:tc>
        <w:tc>
          <w:tcPr>
            <w:tcW w:type="dxa" w:w="4608"/>
            <w:shd w:fill="12122C"/>
            <w:vAlign w:val="center"/>
          </w:tcPr>
          <w:p>
            <w:pPr>
              <w:jc w:val="left"/>
            </w:pPr>
            <w:r>
              <w:rPr>
                <w:b/>
                <w:color w:val="FFFFFF"/>
                <w:sz w:val="17"/>
              </w:rPr>
              <w:t>BillerBay wrapper/module</w:t>
            </w:r>
          </w:p>
        </w:tc>
      </w:tr>
      <w:tr>
        <w:tc>
          <w:tcPr>
            <w:tcW w:type="dxa" w:w="2592"/>
            <w:vAlign w:val="top"/>
          </w:tcPr>
          <w:p>
            <w:r>
              <w:rPr>
                <w:color w:val="12122C"/>
                <w:sz w:val="16"/>
              </w:rPr>
              <w:t>X12 parsing/validation and 997/999 generation</w:t>
            </w:r>
          </w:p>
        </w:tc>
        <w:tc>
          <w:tcPr>
            <w:tcW w:type="dxa" w:w="3888"/>
            <w:vAlign w:val="top"/>
          </w:tcPr>
          <w:p>
            <w:r>
              <w:rPr>
                <w:color w:val="12122C"/>
                <w:sz w:val="16"/>
              </w:rPr>
              <w:t>pyx12</w:t>
            </w:r>
          </w:p>
        </w:tc>
        <w:tc>
          <w:tcPr>
            <w:tcW w:type="dxa" w:w="4608"/>
            <w:vAlign w:val="top"/>
          </w:tcPr>
          <w:p>
            <w:r>
              <w:rPr>
                <w:color w:val="12122C"/>
                <w:sz w:val="16"/>
              </w:rPr>
              <w:t>edi/validators/pyx12_validator.py; edi/acks/x12_999_ack_service.py</w:t>
            </w:r>
          </w:p>
        </w:tc>
      </w:tr>
      <w:tr>
        <w:tc>
          <w:tcPr>
            <w:tcW w:type="dxa" w:w="2592"/>
            <w:vAlign w:val="top"/>
          </w:tcPr>
          <w:p>
            <w:r>
              <w:rPr>
                <w:color w:val="12122C"/>
                <w:sz w:val="16"/>
              </w:rPr>
              <w:t>835 ERA parsing</w:t>
            </w:r>
          </w:p>
        </w:tc>
        <w:tc>
          <w:tcPr>
            <w:tcW w:type="dxa" w:w="3888"/>
            <w:vAlign w:val="top"/>
          </w:tcPr>
          <w:p>
            <w:r>
              <w:rPr>
                <w:color w:val="12122C"/>
                <w:sz w:val="16"/>
              </w:rPr>
              <w:t>edi-835-parser; compare with openx12 and py835</w:t>
            </w:r>
          </w:p>
        </w:tc>
        <w:tc>
          <w:tcPr>
            <w:tcW w:type="dxa" w:w="4608"/>
            <w:vAlign w:val="top"/>
          </w:tcPr>
          <w:p>
            <w:r>
              <w:rPr>
                <w:color w:val="12122C"/>
                <w:sz w:val="16"/>
              </w:rPr>
              <w:t>edi/parsers/x12_835_parser.py; payments/era_import_service.py</w:t>
            </w:r>
          </w:p>
        </w:tc>
      </w:tr>
      <w:tr>
        <w:tc>
          <w:tcPr>
            <w:tcW w:type="dxa" w:w="2592"/>
            <w:vAlign w:val="top"/>
          </w:tcPr>
          <w:p>
            <w:r>
              <w:rPr>
                <w:color w:val="12122C"/>
                <w:sz w:val="16"/>
              </w:rPr>
              <w:t>837P/837I parsing/import</w:t>
            </w:r>
          </w:p>
        </w:tc>
        <w:tc>
          <w:tcPr>
            <w:tcW w:type="dxa" w:w="3888"/>
            <w:vAlign w:val="top"/>
          </w:tcPr>
          <w:p>
            <w:r>
              <w:rPr>
                <w:color w:val="12122C"/>
                <w:sz w:val="16"/>
              </w:rPr>
              <w:t>openx12; healthcare-io as reference</w:t>
            </w:r>
          </w:p>
        </w:tc>
        <w:tc>
          <w:tcPr>
            <w:tcW w:type="dxa" w:w="4608"/>
            <w:vAlign w:val="top"/>
          </w:tcPr>
          <w:p>
            <w:r>
              <w:rPr>
                <w:color w:val="12122C"/>
                <w:sz w:val="16"/>
              </w:rPr>
              <w:t>edi/parsers/x12_837_parser.py; edi/normalized/normalized_claim.py</w:t>
            </w:r>
          </w:p>
        </w:tc>
      </w:tr>
      <w:tr>
        <w:tc>
          <w:tcPr>
            <w:tcW w:type="dxa" w:w="2592"/>
            <w:vAlign w:val="top"/>
          </w:tcPr>
          <w:p>
            <w:r>
              <w:rPr>
                <w:color w:val="12122C"/>
                <w:sz w:val="16"/>
              </w:rPr>
              <w:t>837P outbound generation</w:t>
            </w:r>
          </w:p>
        </w:tc>
        <w:tc>
          <w:tcPr>
            <w:tcW w:type="dxa" w:w="3888"/>
            <w:vAlign w:val="top"/>
          </w:tcPr>
          <w:p>
            <w:r>
              <w:rPr>
                <w:color w:val="12122C"/>
                <w:sz w:val="16"/>
              </w:rPr>
              <w:t>Custom BillerBay builder validated by pyx12 and clearinghouse tests; evaluate x12-python/x12-edi-tools only as spikes</w:t>
            </w:r>
          </w:p>
        </w:tc>
        <w:tc>
          <w:tcPr>
            <w:tcW w:type="dxa" w:w="4608"/>
            <w:vAlign w:val="top"/>
          </w:tcPr>
          <w:p>
            <w:r>
              <w:rPr>
                <w:color w:val="12122C"/>
                <w:sz w:val="16"/>
              </w:rPr>
              <w:t>edi/builders/x12_837p_builder.py; x12_envelope_builder.py; companion_guide_validator.py</w:t>
            </w:r>
          </w:p>
        </w:tc>
      </w:tr>
      <w:tr>
        <w:tc>
          <w:tcPr>
            <w:tcW w:type="dxa" w:w="2592"/>
            <w:vAlign w:val="top"/>
          </w:tcPr>
          <w:p>
            <w:r>
              <w:rPr>
                <w:color w:val="12122C"/>
                <w:sz w:val="16"/>
              </w:rPr>
              <w:t>CMS-1500 rendering</w:t>
            </w:r>
          </w:p>
        </w:tc>
        <w:tc>
          <w:tcPr>
            <w:tcW w:type="dxa" w:w="3888"/>
            <w:vAlign w:val="top"/>
          </w:tcPr>
          <w:p>
            <w:r>
              <w:rPr>
                <w:color w:val="12122C"/>
                <w:sz w:val="16"/>
              </w:rPr>
              <w:t>Prototype with fillpdf; production with ReportLab coordinate renderer using NUCC 02/12 instructions</w:t>
            </w:r>
          </w:p>
        </w:tc>
        <w:tc>
          <w:tcPr>
            <w:tcW w:type="dxa" w:w="4608"/>
            <w:vAlign w:val="top"/>
          </w:tcPr>
          <w:p>
            <w:r>
              <w:rPr>
                <w:color w:val="12122C"/>
                <w:sz w:val="16"/>
              </w:rPr>
              <w:t>claims/cms1500/cms1500_field_map.py; cms1500_pdf_renderer.py</w:t>
            </w:r>
          </w:p>
        </w:tc>
      </w:tr>
      <w:tr>
        <w:tc>
          <w:tcPr>
            <w:tcW w:type="dxa" w:w="2592"/>
            <w:vAlign w:val="top"/>
          </w:tcPr>
          <w:p>
            <w:r>
              <w:rPr>
                <w:color w:val="12122C"/>
                <w:sz w:val="16"/>
              </w:rPr>
              <w:t>ICD-10-CM</w:t>
            </w:r>
          </w:p>
        </w:tc>
        <w:tc>
          <w:tcPr>
            <w:tcW w:type="dxa" w:w="3888"/>
            <w:vAlign w:val="top"/>
          </w:tcPr>
          <w:p>
            <w:r>
              <w:rPr>
                <w:color w:val="12122C"/>
                <w:sz w:val="16"/>
              </w:rPr>
              <w:t>Official CDC/CMS files; optional simple-icd-10-cm helper</w:t>
            </w:r>
          </w:p>
        </w:tc>
        <w:tc>
          <w:tcPr>
            <w:tcW w:type="dxa" w:w="4608"/>
            <w:vAlign w:val="top"/>
          </w:tcPr>
          <w:p>
            <w:r>
              <w:rPr>
                <w:color w:val="12122C"/>
                <w:sz w:val="16"/>
              </w:rPr>
              <w:t>codes/importers/import_icd10cm.py; icd10_lookup.py</w:t>
            </w:r>
          </w:p>
        </w:tc>
      </w:tr>
      <w:tr>
        <w:tc>
          <w:tcPr>
            <w:tcW w:type="dxa" w:w="2592"/>
            <w:vAlign w:val="top"/>
          </w:tcPr>
          <w:p>
            <w:r>
              <w:rPr>
                <w:color w:val="12122C"/>
                <w:sz w:val="16"/>
              </w:rPr>
              <w:t>HCPCS Level II</w:t>
            </w:r>
          </w:p>
        </w:tc>
        <w:tc>
          <w:tcPr>
            <w:tcW w:type="dxa" w:w="3888"/>
            <w:vAlign w:val="top"/>
          </w:tcPr>
          <w:p>
            <w:r>
              <w:rPr>
                <w:color w:val="12122C"/>
                <w:sz w:val="16"/>
              </w:rPr>
              <w:t>Official CMS HCPCS public-use files</w:t>
            </w:r>
          </w:p>
        </w:tc>
        <w:tc>
          <w:tcPr>
            <w:tcW w:type="dxa" w:w="4608"/>
            <w:vAlign w:val="top"/>
          </w:tcPr>
          <w:p>
            <w:r>
              <w:rPr>
                <w:color w:val="12122C"/>
                <w:sz w:val="16"/>
              </w:rPr>
              <w:t>codes/importers/import_hcpcs.py; hcpcs_lookup.py</w:t>
            </w:r>
          </w:p>
        </w:tc>
      </w:tr>
      <w:tr>
        <w:tc>
          <w:tcPr>
            <w:tcW w:type="dxa" w:w="2592"/>
            <w:vAlign w:val="top"/>
          </w:tcPr>
          <w:p>
            <w:r>
              <w:rPr>
                <w:color w:val="12122C"/>
                <w:sz w:val="16"/>
              </w:rPr>
              <w:t>CPT</w:t>
            </w:r>
          </w:p>
        </w:tc>
        <w:tc>
          <w:tcPr>
            <w:tcW w:type="dxa" w:w="3888"/>
            <w:vAlign w:val="top"/>
          </w:tcPr>
          <w:p>
            <w:r>
              <w:rPr>
                <w:color w:val="12122C"/>
                <w:sz w:val="16"/>
              </w:rPr>
              <w:t>AMA-licensed CPT source/API; do not scrape</w:t>
            </w:r>
          </w:p>
        </w:tc>
        <w:tc>
          <w:tcPr>
            <w:tcW w:type="dxa" w:w="4608"/>
            <w:vAlign w:val="top"/>
          </w:tcPr>
          <w:p>
            <w:r>
              <w:rPr>
                <w:color w:val="12122C"/>
                <w:sz w:val="16"/>
              </w:rPr>
              <w:t>codes/importers/import_cpt_licensed.py; cpt_lookup.py</w:t>
            </w:r>
          </w:p>
        </w:tc>
      </w:tr>
      <w:tr>
        <w:tc>
          <w:tcPr>
            <w:tcW w:type="dxa" w:w="2592"/>
            <w:vAlign w:val="top"/>
          </w:tcPr>
          <w:p>
            <w:r>
              <w:rPr>
                <w:color w:val="12122C"/>
                <w:sz w:val="16"/>
              </w:rPr>
              <w:t>NCCI PTP/MUE</w:t>
            </w:r>
          </w:p>
        </w:tc>
        <w:tc>
          <w:tcPr>
            <w:tcW w:type="dxa" w:w="3888"/>
            <w:vAlign w:val="top"/>
          </w:tcPr>
          <w:p>
            <w:r>
              <w:rPr>
                <w:color w:val="12122C"/>
                <w:sz w:val="16"/>
              </w:rPr>
              <w:t>Official CMS NCCI PTP and MUE files</w:t>
            </w:r>
          </w:p>
        </w:tc>
        <w:tc>
          <w:tcPr>
            <w:tcW w:type="dxa" w:w="4608"/>
            <w:vAlign w:val="top"/>
          </w:tcPr>
          <w:p>
            <w:r>
              <w:rPr>
                <w:color w:val="12122C"/>
                <w:sz w:val="16"/>
              </w:rPr>
              <w:t>codes/importers/import_ncci_ptp.py; import_ncci_mue.py; ncci validators</w:t>
            </w:r>
          </w:p>
        </w:tc>
      </w:tr>
      <w:tr>
        <w:tc>
          <w:tcPr>
            <w:tcW w:type="dxa" w:w="2592"/>
            <w:vAlign w:val="top"/>
          </w:tcPr>
          <w:p>
            <w:r>
              <w:rPr>
                <w:color w:val="12122C"/>
                <w:sz w:val="16"/>
              </w:rPr>
              <w:t>CARC/RARC</w:t>
            </w:r>
          </w:p>
        </w:tc>
        <w:tc>
          <w:tcPr>
            <w:tcW w:type="dxa" w:w="3888"/>
            <w:vAlign w:val="top"/>
          </w:tcPr>
          <w:p>
            <w:r>
              <w:rPr>
                <w:color w:val="12122C"/>
                <w:sz w:val="16"/>
              </w:rPr>
              <w:t>Official X12 CARC and RARC lists</w:t>
            </w:r>
          </w:p>
        </w:tc>
        <w:tc>
          <w:tcPr>
            <w:tcW w:type="dxa" w:w="4608"/>
            <w:vAlign w:val="top"/>
          </w:tcPr>
          <w:p>
            <w:r>
              <w:rPr>
                <w:color w:val="12122C"/>
                <w:sz w:val="16"/>
              </w:rPr>
              <w:t>codes/importers/import_carc.py; import_rarc.py; payments/denial_mapper.py</w:t>
            </w:r>
          </w:p>
        </w:tc>
      </w:tr>
    </w:tbl>
    <w:p/>
    <w:p>
      <w:pPr>
        <w:spacing w:after="160"/>
        <w:ind w:left="360"/>
      </w:pPr>
      <w:r>
        <w:rPr>
          <w:rFonts w:ascii="Consolas" w:hAnsi="Consolas"/>
          <w:color w:val="12122C"/>
          <w:sz w:val="16"/>
        </w:rPr>
        <w:t>backend/</w:t>
        <w:br/>
        <w:t xml:space="preserve">  edi/</w:t>
        <w:br/>
        <w:t xml:space="preserve">    builders/x12_837p_builder.py</w:t>
        <w:br/>
        <w:t xml:space="preserve">    builders/x12_envelope_builder.py</w:t>
        <w:br/>
        <w:t xml:space="preserve">    validators/pyx12_validator.py</w:t>
        <w:br/>
        <w:t xml:space="preserve">    validators/companion_guide_validator.py</w:t>
        <w:br/>
        <w:t xml:space="preserve">    parsers/x12_835_parser.py</w:t>
        <w:br/>
        <w:t xml:space="preserve">    parsers/x12_837_parser.py</w:t>
        <w:br/>
        <w:t xml:space="preserve">    parsers/x12_999_parser.py</w:t>
        <w:br/>
        <w:t xml:space="preserve">    parsers/x12_277ca_parser.py</w:t>
        <w:br/>
        <w:t xml:space="preserve">    acks/x12_999_ack_service.py</w:t>
        <w:br/>
        <w:t xml:space="preserve">    normalized/normalized_claim.py</w:t>
        <w:br/>
        <w:t xml:space="preserve">    normalized/normalized_remittance.py</w:t>
        <w:br/>
        <w:t xml:space="preserve">  claims/</w:t>
        <w:br/>
        <w:t xml:space="preserve">    validation/claim_validation_engine.py</w:t>
        <w:br/>
        <w:t xml:space="preserve">    cms1500/cms1500_field_map.py</w:t>
        <w:br/>
        <w:t xml:space="preserve">    cms1500/cms1500_pdf_renderer.py</w:t>
        <w:br/>
        <w:t xml:space="preserve">  payments/</w:t>
        <w:br/>
        <w:t xml:space="preserve">    era_import_service.py</w:t>
        <w:br/>
        <w:t xml:space="preserve">    era_autopost_engine.py</w:t>
        <w:br/>
        <w:t xml:space="preserve">    payment_application_service.py</w:t>
        <w:br/>
        <w:t xml:space="preserve">    reversal_service.py</w:t>
        <w:br/>
        <w:t xml:space="preserve">    recoupment_service.py</w:t>
        <w:br/>
        <w:t xml:space="preserve">    deposit_reconciliation.py</w:t>
        <w:br/>
        <w:t xml:space="preserve">  codes/</w:t>
        <w:br/>
        <w:t xml:space="preserve">    importers/import_icd10cm.py</w:t>
        <w:br/>
        <w:t xml:space="preserve">    importers/import_hcpcs.py</w:t>
        <w:br/>
        <w:t xml:space="preserve">    importers/import_cpt_licensed.py</w:t>
        <w:br/>
        <w:t xml:space="preserve">    importers/import_ncci_ptp.py</w:t>
        <w:br/>
        <w:t xml:space="preserve">    importers/import_ncci_mue.py</w:t>
        <w:br/>
        <w:t xml:space="preserve">    importers/import_carc.py</w:t>
        <w:br/>
        <w:t xml:space="preserve">    importers/import_rarc.py</w:t>
        <w:br/>
        <w:t xml:space="preserve">  billing_rules/</w:t>
        <w:br/>
        <w:t xml:space="preserve">    ncci_ptp_validator.py</w:t>
        <w:br/>
        <w:t xml:space="preserve">    ncci_mue_validator.py</w:t>
        <w:br/>
        <w:t xml:space="preserve">    modifier_validator.py</w:t>
        <w:br/>
        <w:t xml:space="preserve">    laterality_validator.py</w:t>
        <w:br/>
        <w:t xml:space="preserve">    admit_discharge_validator.py</w:t>
        <w:br/>
        <w:t xml:space="preserve">    date_logic_validator.py</w:t>
        <w:br/>
        <w:t xml:space="preserve">    timely_filing_validator.py</w:t>
        <w:br/>
        <w:t xml:space="preserve">    hospice_modifier_validator.py</w:t>
        <w:br/>
        <w:t xml:space="preserve">    secondary_claim_validator.py</w:t>
      </w:r>
    </w:p>
    <w:p>
      <w:pPr>
        <w:pStyle w:val="Heading1"/>
      </w:pPr>
      <w:r>
        <w:t>10. Data Model Overview</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2122C"/>
            <w:vAlign w:val="center"/>
          </w:tcPr>
          <w:p>
            <w:pPr>
              <w:jc w:val="left"/>
            </w:pPr>
            <w:r>
              <w:rPr>
                <w:b/>
                <w:color w:val="FFFFFF"/>
                <w:sz w:val="17"/>
              </w:rPr>
              <w:t>Domain</w:t>
            </w:r>
          </w:p>
        </w:tc>
        <w:tc>
          <w:tcPr>
            <w:tcW w:type="dxa" w:w="8496"/>
            <w:shd w:fill="12122C"/>
            <w:vAlign w:val="center"/>
          </w:tcPr>
          <w:p>
            <w:pPr>
              <w:jc w:val="left"/>
            </w:pPr>
            <w:r>
              <w:rPr>
                <w:b/>
                <w:color w:val="FFFFFF"/>
                <w:sz w:val="17"/>
              </w:rPr>
              <w:t>Core entities</w:t>
            </w:r>
          </w:p>
        </w:tc>
      </w:tr>
      <w:tr>
        <w:tc>
          <w:tcPr>
            <w:tcW w:type="dxa" w:w="2592"/>
            <w:vAlign w:val="top"/>
          </w:tcPr>
          <w:p>
            <w:r>
              <w:rPr>
                <w:color w:val="12122C"/>
                <w:sz w:val="16"/>
              </w:rPr>
              <w:t>Identity/access</w:t>
            </w:r>
          </w:p>
        </w:tc>
        <w:tc>
          <w:tcPr>
            <w:tcW w:type="dxa" w:w="8496"/>
            <w:vAlign w:val="top"/>
          </w:tcPr>
          <w:p>
            <w:r>
              <w:rPr>
                <w:color w:val="12122C"/>
                <w:sz w:val="16"/>
              </w:rPr>
              <w:t>Tenant, Practice, Office/Location, User, Role, Permission, Staff Profile</w:t>
            </w:r>
          </w:p>
        </w:tc>
      </w:tr>
      <w:tr>
        <w:tc>
          <w:tcPr>
            <w:tcW w:type="dxa" w:w="2592"/>
            <w:vAlign w:val="top"/>
          </w:tcPr>
          <w:p>
            <w:r>
              <w:rPr>
                <w:color w:val="12122C"/>
                <w:sz w:val="16"/>
              </w:rPr>
              <w:t>Master data</w:t>
            </w:r>
          </w:p>
        </w:tc>
        <w:tc>
          <w:tcPr>
            <w:tcW w:type="dxa" w:w="8496"/>
            <w:vAlign w:val="top"/>
          </w:tcPr>
          <w:p>
            <w:r>
              <w:rPr>
                <w:color w:val="12122C"/>
                <w:sz w:val="16"/>
              </w:rPr>
              <w:t>Provider, Billing Provider, Referring/Supervising/Ordering Provider, Facility, Insurance/Payer, CPT/HCPCS Code, Diagnosis Code, Chart Account, Preferences</w:t>
            </w:r>
          </w:p>
        </w:tc>
      </w:tr>
      <w:tr>
        <w:tc>
          <w:tcPr>
            <w:tcW w:type="dxa" w:w="2592"/>
            <w:vAlign w:val="top"/>
          </w:tcPr>
          <w:p>
            <w:r>
              <w:rPr>
                <w:color w:val="12122C"/>
                <w:sz w:val="16"/>
              </w:rPr>
              <w:t>Patient</w:t>
            </w:r>
          </w:p>
        </w:tc>
        <w:tc>
          <w:tcPr>
            <w:tcW w:type="dxa" w:w="8496"/>
            <w:vAlign w:val="top"/>
          </w:tcPr>
          <w:p>
            <w:r>
              <w:rPr>
                <w:color w:val="12122C"/>
                <w:sz w:val="16"/>
              </w:rPr>
              <w:t>Patient, Patient Insurance, Guarantor, Eligibility Check, Patient Note, Patient Alert</w:t>
            </w:r>
          </w:p>
        </w:tc>
      </w:tr>
      <w:tr>
        <w:tc>
          <w:tcPr>
            <w:tcW w:type="dxa" w:w="2592"/>
            <w:vAlign w:val="top"/>
          </w:tcPr>
          <w:p>
            <w:r>
              <w:rPr>
                <w:color w:val="12122C"/>
                <w:sz w:val="16"/>
              </w:rPr>
              <w:t>Visits</w:t>
            </w:r>
          </w:p>
        </w:tc>
        <w:tc>
          <w:tcPr>
            <w:tcW w:type="dxa" w:w="8496"/>
            <w:vAlign w:val="top"/>
          </w:tcPr>
          <w:p>
            <w:r>
              <w:rPr>
                <w:color w:val="12122C"/>
                <w:sz w:val="16"/>
              </w:rPr>
              <w:t>Visit, Visit Note, Diagnosis Assignment, Charge Line, Visit Billing Options</w:t>
            </w:r>
          </w:p>
        </w:tc>
      </w:tr>
      <w:tr>
        <w:tc>
          <w:tcPr>
            <w:tcW w:type="dxa" w:w="2592"/>
            <w:vAlign w:val="top"/>
          </w:tcPr>
          <w:p>
            <w:r>
              <w:rPr>
                <w:color w:val="12122C"/>
                <w:sz w:val="16"/>
              </w:rPr>
              <w:t>Claims</w:t>
            </w:r>
          </w:p>
        </w:tc>
        <w:tc>
          <w:tcPr>
            <w:tcW w:type="dxa" w:w="8496"/>
            <w:vAlign w:val="top"/>
          </w:tcPr>
          <w:p>
            <w:r>
              <w:rPr>
                <w:color w:val="12122C"/>
                <w:sz w:val="16"/>
              </w:rPr>
              <w:t>Claim, Claim Line, Claim Validation Issue, Claim Submission, Claim Status Event, EDI Transaction</w:t>
            </w:r>
          </w:p>
        </w:tc>
      </w:tr>
      <w:tr>
        <w:tc>
          <w:tcPr>
            <w:tcW w:type="dxa" w:w="2592"/>
            <w:vAlign w:val="top"/>
          </w:tcPr>
          <w:p>
            <w:r>
              <w:rPr>
                <w:color w:val="12122C"/>
                <w:sz w:val="16"/>
              </w:rPr>
              <w:t>Payments</w:t>
            </w:r>
          </w:p>
        </w:tc>
        <w:tc>
          <w:tcPr>
            <w:tcW w:type="dxa" w:w="8496"/>
            <w:vAlign w:val="top"/>
          </w:tcPr>
          <w:p>
            <w:r>
              <w:rPr>
                <w:color w:val="12122C"/>
                <w:sz w:val="16"/>
              </w:rPr>
              <w:t>Payment, Payment Application, Adjustment, ERA File, ERA Payment, ERA Service Line, Reversal, Recoupment, Deposit Reconciliation</w:t>
            </w:r>
          </w:p>
        </w:tc>
      </w:tr>
      <w:tr>
        <w:tc>
          <w:tcPr>
            <w:tcW w:type="dxa" w:w="2592"/>
            <w:vAlign w:val="top"/>
          </w:tcPr>
          <w:p>
            <w:r>
              <w:rPr>
                <w:color w:val="12122C"/>
                <w:sz w:val="16"/>
              </w:rPr>
              <w:t>Operations</w:t>
            </w:r>
          </w:p>
        </w:tc>
        <w:tc>
          <w:tcPr>
            <w:tcW w:type="dxa" w:w="8496"/>
            <w:vAlign w:val="top"/>
          </w:tcPr>
          <w:p>
            <w:r>
              <w:rPr>
                <w:color w:val="12122C"/>
                <w:sz w:val="16"/>
              </w:rPr>
              <w:t>Work Item, Queue, Saved View, Activity Event, Audit Event, Background Job</w:t>
            </w:r>
          </w:p>
        </w:tc>
      </w:tr>
    </w:tbl>
    <w:p/>
    <w:p>
      <w:pPr>
        <w:pStyle w:val="Heading1"/>
      </w:pPr>
      <w:r>
        <w:t>11. Backend Architecture and API Groups</w:t>
      </w:r>
    </w:p>
    <w:p>
      <w:pPr>
        <w:pStyle w:val="ListBullet"/>
      </w:pPr>
      <w:r>
        <w:t>Frontend: React + TypeScript using BillerBay Command UI components/tokens.</w:t>
      </w:r>
    </w:p>
    <w:p>
      <w:pPr>
        <w:pStyle w:val="ListBullet"/>
      </w:pPr>
      <w:r>
        <w:t>Backend: Django / Django REST Framework or equivalent enterprise backend.</w:t>
      </w:r>
    </w:p>
    <w:p>
      <w:pPr>
        <w:pStyle w:val="ListBullet"/>
      </w:pPr>
      <w:r>
        <w:t>Database: PostgreSQL. Use JSONB only for raw/auxiliary parsed payloads, not as substitute for core relational claim/payment state.</w:t>
      </w:r>
    </w:p>
    <w:p>
      <w:pPr>
        <w:pStyle w:val="ListBullet"/>
      </w:pPr>
      <w:r>
        <w:t>Jobs: Celery or equivalent background queue with Redis/broker.</w:t>
      </w:r>
    </w:p>
    <w:p>
      <w:pPr>
        <w:pStyle w:val="ListBullet"/>
      </w:pPr>
      <w:r>
        <w:t>File storage: secure object storage for EDI files, PDFs, attachments, imports/exports, proof snapshots.</w:t>
      </w:r>
    </w:p>
    <w:p>
      <w:pPr>
        <w:pStyle w:val="ListBullet"/>
      </w:pPr>
      <w:r>
        <w:t>Search: PostgreSQL full-text for MVP; upgrade to OpenSearch only if needed.</w:t>
      </w:r>
    </w:p>
    <w:p>
      <w:pPr>
        <w:pStyle w:val="ListBullet"/>
      </w:pPr>
      <w:r>
        <w:t>Architecture: modular monolith separated by identity, master data, patients, visits, claims, payments, work queues, audit/activity, integrations.</w:t>
      </w:r>
    </w:p>
    <w:p>
      <w:pPr>
        <w:spacing w:after="160"/>
        <w:ind w:left="360"/>
      </w:pPr>
      <w:r>
        <w:rPr>
          <w:rFonts w:ascii="Consolas" w:hAnsi="Consolas"/>
          <w:color w:val="12122C"/>
          <w:sz w:val="16"/>
        </w:rPr>
        <w:t>/api/patients</w:t>
        <w:br/>
        <w:t>/api/patients/{id}/insurance</w:t>
        <w:br/>
        <w:t>/api/patients/{id}/visits</w:t>
        <w:br/>
        <w:t>/api/patients/{id}/claims</w:t>
        <w:br/>
        <w:t>/api/visits</w:t>
        <w:br/>
        <w:t>/api/visits/{id}/billing-lines</w:t>
        <w:br/>
        <w:t>/api/visits/{id}/billing-options</w:t>
        <w:br/>
        <w:t>/api/claims</w:t>
        <w:br/>
        <w:t>/api/claims/{id}/validate</w:t>
        <w:br/>
        <w:t>/api/claims/{id}/submit</w:t>
        <w:br/>
        <w:t>/api/claims/batch-submit</w:t>
        <w:br/>
        <w:t>/api/edi/transactions</w:t>
        <w:br/>
        <w:t>/api/era/import</w:t>
        <w:br/>
        <w:t>/api/era/{id}/auto-post</w:t>
        <w:br/>
        <w:t>/api/payments</w:t>
        <w:br/>
        <w:t>/api/payments/{id}/applications</w:t>
        <w:br/>
        <w:t>/api/work-items</w:t>
        <w:br/>
        <w:t>/api/settings/providers</w:t>
        <w:br/>
        <w:t>/api/settings/billing-providers</w:t>
        <w:br/>
        <w:t>/api/settings/facilities</w:t>
        <w:br/>
        <w:t>/api/settings/payers</w:t>
        <w:br/>
        <w:t>/api/settings/cpt-codes</w:t>
        <w:br/>
        <w:t>/api/settings/diagnosis-codes</w:t>
        <w:br/>
        <w:t>/api/settings/chart-accounts</w:t>
        <w:br/>
        <w:t>/api/audit-events</w:t>
        <w:br/>
        <w:t>/api/activity-events</w:t>
        <w:br/>
        <w:t>/api/search</w:t>
      </w:r>
    </w:p>
    <w:p>
      <w:pPr>
        <w:pStyle w:val="Heading1"/>
      </w:pPr>
      <w:r>
        <w:t>12. Build Backlog and Task Export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12122C"/>
            <w:vAlign w:val="center"/>
          </w:tcPr>
          <w:p>
            <w:pPr>
              <w:jc w:val="left"/>
            </w:pPr>
            <w:r>
              <w:rPr>
                <w:b/>
                <w:color w:val="FFFFFF"/>
                <w:sz w:val="17"/>
              </w:rPr>
              <w:t>Epic</w:t>
            </w:r>
          </w:p>
        </w:tc>
        <w:tc>
          <w:tcPr>
            <w:tcW w:type="dxa" w:w="8064"/>
            <w:shd w:fill="12122C"/>
            <w:vAlign w:val="center"/>
          </w:tcPr>
          <w:p>
            <w:pPr>
              <w:jc w:val="left"/>
            </w:pPr>
            <w:r>
              <w:rPr>
                <w:b/>
                <w:color w:val="FFFFFF"/>
                <w:sz w:val="17"/>
              </w:rPr>
              <w:t>Must build</w:t>
            </w:r>
          </w:p>
        </w:tc>
      </w:tr>
      <w:tr>
        <w:tc>
          <w:tcPr>
            <w:tcW w:type="dxa" w:w="3024"/>
            <w:vAlign w:val="top"/>
          </w:tcPr>
          <w:p>
            <w:r>
              <w:rPr>
                <w:color w:val="12122C"/>
                <w:sz w:val="16"/>
              </w:rPr>
              <w:t>E1 - Design system foundation</w:t>
            </w:r>
          </w:p>
        </w:tc>
        <w:tc>
          <w:tcPr>
            <w:tcW w:type="dxa" w:w="8064"/>
            <w:vAlign w:val="top"/>
          </w:tcPr>
          <w:p>
            <w:r>
              <w:rPr>
                <w:color w:val="12122C"/>
                <w:sz w:val="16"/>
              </w:rPr>
              <w:t>Tokens, AppShell, PageHeader, Button, StatusBadge, DataTable, FilterBar, SavedViews, Drawer, Modal, Stepper, ActivityFeed, AuditLogTable, CommandPalette, Toasts, Empty/Loading/Error/Success states.</w:t>
            </w:r>
          </w:p>
        </w:tc>
      </w:tr>
      <w:tr>
        <w:tc>
          <w:tcPr>
            <w:tcW w:type="dxa" w:w="3024"/>
            <w:vAlign w:val="top"/>
          </w:tcPr>
          <w:p>
            <w:r>
              <w:rPr>
                <w:color w:val="12122C"/>
                <w:sz w:val="16"/>
              </w:rPr>
              <w:t>E2 - Identity/security/audit</w:t>
            </w:r>
          </w:p>
        </w:tc>
        <w:tc>
          <w:tcPr>
            <w:tcW w:type="dxa" w:w="8064"/>
            <w:vAlign w:val="top"/>
          </w:tcPr>
          <w:p>
            <w:r>
              <w:rPr>
                <w:color w:val="12122C"/>
                <w:sz w:val="16"/>
              </w:rPr>
              <w:t>Tenancy, users, roles, permissions, MFA-ready UX, session timeout, audit events, sensitive masking/reveal logging, export logging.</w:t>
            </w:r>
          </w:p>
        </w:tc>
      </w:tr>
      <w:tr>
        <w:tc>
          <w:tcPr>
            <w:tcW w:type="dxa" w:w="3024"/>
            <w:vAlign w:val="top"/>
          </w:tcPr>
          <w:p>
            <w:r>
              <w:rPr>
                <w:color w:val="12122C"/>
                <w:sz w:val="16"/>
              </w:rPr>
              <w:t>E3 - Master data/settings</w:t>
            </w:r>
          </w:p>
        </w:tc>
        <w:tc>
          <w:tcPr>
            <w:tcW w:type="dxa" w:w="8064"/>
            <w:vAlign w:val="top"/>
          </w:tcPr>
          <w:p>
            <w:r>
              <w:rPr>
                <w:color w:val="12122C"/>
                <w:sz w:val="16"/>
              </w:rPr>
              <w:t>Practice, offices, providers, billing providers, referring providers, facilities, payers, CPT/HCPCS, DX, chart accounts, preferences, security settings, downstream impact copy.</w:t>
            </w:r>
          </w:p>
        </w:tc>
      </w:tr>
      <w:tr>
        <w:tc>
          <w:tcPr>
            <w:tcW w:type="dxa" w:w="3024"/>
            <w:vAlign w:val="top"/>
          </w:tcPr>
          <w:p>
            <w:r>
              <w:rPr>
                <w:color w:val="12122C"/>
                <w:sz w:val="16"/>
              </w:rPr>
              <w:t>E4 - Patients</w:t>
            </w:r>
          </w:p>
        </w:tc>
        <w:tc>
          <w:tcPr>
            <w:tcW w:type="dxa" w:w="8064"/>
            <w:vAlign w:val="top"/>
          </w:tcPr>
          <w:p>
            <w:r>
              <w:rPr>
                <w:color w:val="12122C"/>
                <w:sz w:val="16"/>
              </w:rPr>
              <w:t>Patient CRUD, demographics validation, duplicate detection, insurance/guarantor, eligibility summary, patient profile tabs, patient activity.</w:t>
            </w:r>
          </w:p>
        </w:tc>
      </w:tr>
      <w:tr>
        <w:tc>
          <w:tcPr>
            <w:tcW w:type="dxa" w:w="3024"/>
            <w:vAlign w:val="top"/>
          </w:tcPr>
          <w:p>
            <w:r>
              <w:rPr>
                <w:color w:val="12122C"/>
                <w:sz w:val="16"/>
              </w:rPr>
              <w:t>E5 - Visits</w:t>
            </w:r>
          </w:p>
        </w:tc>
        <w:tc>
          <w:tcPr>
            <w:tcW w:type="dxa" w:w="8064"/>
            <w:vAlign w:val="top"/>
          </w:tcPr>
          <w:p>
            <w:r>
              <w:rPr>
                <w:color w:val="12122C"/>
                <w:sz w:val="16"/>
              </w:rPr>
              <w:t>Visit CRUD, visit status, billing info grid, billing options, diagnosis/charge lines, balances, visit-to-claim readiness, notes/activity.</w:t>
            </w:r>
          </w:p>
        </w:tc>
      </w:tr>
      <w:tr>
        <w:tc>
          <w:tcPr>
            <w:tcW w:type="dxa" w:w="3024"/>
            <w:vAlign w:val="top"/>
          </w:tcPr>
          <w:p>
            <w:r>
              <w:rPr>
                <w:color w:val="12122C"/>
                <w:sz w:val="16"/>
              </w:rPr>
              <w:t>E6 - Claims</w:t>
            </w:r>
          </w:p>
        </w:tc>
        <w:tc>
          <w:tcPr>
            <w:tcW w:type="dxa" w:w="8064"/>
            <w:vAlign w:val="top"/>
          </w:tcPr>
          <w:p>
            <w:r>
              <w:rPr>
                <w:color w:val="12122C"/>
                <w:sz w:val="16"/>
              </w:rPr>
              <w:t>Claim generation from visit, claim composer, CMS-1500 model, validation engine, claim lifecycle, submission workflow, repair queue, secondary handling.</w:t>
            </w:r>
          </w:p>
        </w:tc>
      </w:tr>
      <w:tr>
        <w:tc>
          <w:tcPr>
            <w:tcW w:type="dxa" w:w="3024"/>
            <w:vAlign w:val="top"/>
          </w:tcPr>
          <w:p>
            <w:r>
              <w:rPr>
                <w:color w:val="12122C"/>
                <w:sz w:val="16"/>
              </w:rPr>
              <w:t>E7 - EDI and clearinghouse</w:t>
            </w:r>
          </w:p>
        </w:tc>
        <w:tc>
          <w:tcPr>
            <w:tcW w:type="dxa" w:w="8064"/>
            <w:vAlign w:val="top"/>
          </w:tcPr>
          <w:p>
            <w:r>
              <w:rPr>
                <w:color w:val="12122C"/>
                <w:sz w:val="16"/>
              </w:rPr>
              <w:t>837P builder/export, pyx12 validation, raw EDI storage, 999/997 parser, 277CA parser, submission/status events, payer companion-rule layer.</w:t>
            </w:r>
          </w:p>
        </w:tc>
      </w:tr>
      <w:tr>
        <w:tc>
          <w:tcPr>
            <w:tcW w:type="dxa" w:w="3024"/>
            <w:vAlign w:val="top"/>
          </w:tcPr>
          <w:p>
            <w:r>
              <w:rPr>
                <w:color w:val="12122C"/>
                <w:sz w:val="16"/>
              </w:rPr>
              <w:t>E8 - Payments/ERA</w:t>
            </w:r>
          </w:p>
        </w:tc>
        <w:tc>
          <w:tcPr>
            <w:tcW w:type="dxa" w:w="8064"/>
            <w:vAlign w:val="top"/>
          </w:tcPr>
          <w:p>
            <w:r>
              <w:rPr>
                <w:color w:val="12122C"/>
                <w:sz w:val="16"/>
              </w:rPr>
              <w:t>Payments/deposits, add payment workflow, 835 import, ERA parsing, auto-posting, exceptions, applied/unapplied, reversals, recoupments, reconciliation.</w:t>
            </w:r>
          </w:p>
        </w:tc>
      </w:tr>
      <w:tr>
        <w:tc>
          <w:tcPr>
            <w:tcW w:type="dxa" w:w="3024"/>
            <w:vAlign w:val="top"/>
          </w:tcPr>
          <w:p>
            <w:r>
              <w:rPr>
                <w:color w:val="12122C"/>
                <w:sz w:val="16"/>
              </w:rPr>
              <w:t>E9 - Billing queues</w:t>
            </w:r>
          </w:p>
        </w:tc>
        <w:tc>
          <w:tcPr>
            <w:tcW w:type="dxa" w:w="8064"/>
            <w:vAlign w:val="top"/>
          </w:tcPr>
          <w:p>
            <w:r>
              <w:rPr>
                <w:color w:val="12122C"/>
                <w:sz w:val="16"/>
              </w:rPr>
              <w:t>Queue cards, work item table, automatic work item rules, assignment, snooze, next action, bulk validate/submit, A/R aging, TFL alerts.</w:t>
            </w:r>
          </w:p>
        </w:tc>
      </w:tr>
      <w:tr>
        <w:tc>
          <w:tcPr>
            <w:tcW w:type="dxa" w:w="3024"/>
            <w:vAlign w:val="top"/>
          </w:tcPr>
          <w:p>
            <w:r>
              <w:rPr>
                <w:color w:val="12122C"/>
                <w:sz w:val="16"/>
              </w:rPr>
              <w:t>E10 - Reports/import/export</w:t>
            </w:r>
          </w:p>
        </w:tc>
        <w:tc>
          <w:tcPr>
            <w:tcW w:type="dxa" w:w="8064"/>
            <w:vAlign w:val="top"/>
          </w:tcPr>
          <w:p>
            <w:r>
              <w:rPr>
                <w:color w:val="12122C"/>
                <w:sz w:val="16"/>
              </w:rPr>
              <w:t>Operational exports, A/R reports, claim lifecycle reports, import migration, source ID tracking, data-quality status, PHI/PII export confirmation.</w:t>
            </w:r>
          </w:p>
        </w:tc>
      </w:tr>
      <w:tr>
        <w:tc>
          <w:tcPr>
            <w:tcW w:type="dxa" w:w="3024"/>
            <w:vAlign w:val="top"/>
          </w:tcPr>
          <w:p>
            <w:r>
              <w:rPr>
                <w:color w:val="12122C"/>
                <w:sz w:val="16"/>
              </w:rPr>
              <w:t>E11 - Interactive prototype parity</w:t>
            </w:r>
          </w:p>
        </w:tc>
        <w:tc>
          <w:tcPr>
            <w:tcW w:type="dxa" w:w="8064"/>
            <w:vAlign w:val="top"/>
          </w:tcPr>
          <w:p>
            <w:r>
              <w:rPr>
                <w:color w:val="12122C"/>
                <w:sz w:val="16"/>
              </w:rPr>
              <w:t>Keep HTML mock-up aligned with PRD flows. Every major module must have a populated table, detail page, action path, validation state, and next action.</w:t>
            </w:r>
          </w:p>
        </w:tc>
      </w:tr>
    </w:tbl>
    <w:p/>
    <w:p>
      <w:pPr>
        <w:pStyle w:val="Heading1"/>
      </w:pPr>
      <w:r>
        <w:t>13. Acceptance Criteria</w:t>
      </w:r>
    </w:p>
    <w:p>
      <w:pPr>
        <w:pStyle w:val="ListNumber"/>
      </w:pPr>
      <w:r>
        <w:t>User can search across patients, visits, claims, payments, providers, facilities, payers, CPT/DX, and settings from global search/command palette.</w:t>
      </w:r>
    </w:p>
    <w:p>
      <w:pPr>
        <w:pStyle w:val="ListNumber"/>
      </w:pPr>
      <w:r>
        <w:t>User can process high-volume work from queues without repeated module switching.</w:t>
      </w:r>
    </w:p>
    <w:p>
      <w:pPr>
        <w:pStyle w:val="ListNumber"/>
      </w:pPr>
      <w:r>
        <w:t>Patient row opens a full patient profile with demographics, insurance, visits, claims, payments, notes, and activity.</w:t>
      </w:r>
    </w:p>
    <w:p>
      <w:pPr>
        <w:pStyle w:val="ListNumber"/>
      </w:pPr>
      <w:r>
        <w:t>Visit row opens full visit detail with visit info, billing info, billing options, claim linkage, payments/balances, and activity.</w:t>
      </w:r>
    </w:p>
    <w:p>
      <w:pPr>
        <w:pStyle w:val="ListNumber"/>
      </w:pPr>
      <w:r>
        <w:t>User can create a claim from a visit and see exactly why the visit is or is not claim-ready.</w:t>
      </w:r>
    </w:p>
    <w:p>
      <w:pPr>
        <w:pStyle w:val="ListNumber"/>
      </w:pPr>
      <w:r>
        <w:t>Claim validation blocks critical errors and links directly to fields that need fixes.</w:t>
      </w:r>
    </w:p>
    <w:p>
      <w:pPr>
        <w:pStyle w:val="ListNumber"/>
      </w:pPr>
      <w:r>
        <w:t>User can batch submit ready claims while blocked claims are separated and preserved.</w:t>
      </w:r>
    </w:p>
    <w:p>
      <w:pPr>
        <w:pStyle w:val="ListNumber"/>
      </w:pPr>
      <w:r>
        <w:t>Claim lifecycle shows visit creation, claim creation, edits, validations, submissions, EDI acknowledgments, payer response, payments, denials, adjustments, and closure.</w:t>
      </w:r>
    </w:p>
    <w:p>
      <w:pPr>
        <w:pStyle w:val="ListNumber"/>
      </w:pPr>
      <w:r>
        <w:t>User can import or record ERA/EOB payments, auto-post clean lines, and review unmatched/unapplied exceptions.</w:t>
      </w:r>
    </w:p>
    <w:p>
      <w:pPr>
        <w:pStyle w:val="ListNumber"/>
      </w:pPr>
      <w:r>
        <w:t>Payment posting supports reversals/voids/refunds/recoupments with audit trail and permission control.</w:t>
      </w:r>
    </w:p>
    <w:p>
      <w:pPr>
        <w:pStyle w:val="ListNumber"/>
      </w:pPr>
      <w:r>
        <w:t>A/R aging and TFL reminders create actionable buckets with owner, age, reason, and next action.</w:t>
      </w:r>
    </w:p>
    <w:p>
      <w:pPr>
        <w:pStyle w:val="ListNumber"/>
      </w:pPr>
      <w:r>
        <w:t>Settings screens show downstream impact and audit changes.</w:t>
      </w:r>
    </w:p>
    <w:p>
      <w:pPr>
        <w:pStyle w:val="ListNumber"/>
      </w:pPr>
      <w:r>
        <w:t>All sensitive and financial actions are audited.</w:t>
      </w:r>
    </w:p>
    <w:p>
      <w:pPr>
        <w:pStyle w:val="ListNumber"/>
      </w:pPr>
      <w:r>
        <w:t>Every table supports filters, saved views, result count, row actions, empty/loading/error states, and no artificial row-selection ceiling.</w:t>
      </w:r>
    </w:p>
    <w:p>
      <w:pPr>
        <w:pStyle w:val="ListNumber"/>
      </w:pPr>
      <w:r>
        <w:t>All screens follow BillerBay Command UI from design.md.</w:t>
      </w:r>
    </w:p>
    <w:p>
      <w:pPr>
        <w:pStyle w:val="Heading1"/>
      </w:pPr>
      <w:r>
        <w:t>14. Interactive HTML Mock-up Requirements</w:t>
      </w:r>
    </w:p>
    <w:p>
      <w:r>
        <w:t>The included mock-up file is BillerBay_Master_PRD_Interactive_Mockup.html. It is a single-file prototype intended for product review, Claude UI guidance, and front-end implementation reference. It must be kept in sync with this PRD.</w:t>
      </w:r>
    </w:p>
    <w:p>
      <w:pPr>
        <w:pStyle w:val="ListBullet"/>
      </w:pPr>
      <w:r>
        <w:t>Clickable primary navigation: Dashboard, Patients, Visits, Claims, Billing, Payments, Settings, Audit where applicable.</w:t>
      </w:r>
    </w:p>
    <w:p>
      <w:pPr>
        <w:pStyle w:val="ListBullet"/>
      </w:pPr>
      <w:r>
        <w:t>Patient rows open full patient profile pages, not only drawers.</w:t>
      </w:r>
    </w:p>
    <w:p>
      <w:pPr>
        <w:pStyle w:val="ListBullet"/>
      </w:pPr>
      <w:r>
        <w:t>Visit rows open full visit detail pages.</w:t>
      </w:r>
    </w:p>
    <w:p>
      <w:pPr>
        <w:pStyle w:val="ListBullet"/>
      </w:pPr>
      <w:r>
        <w:t>Claim rows open full claim composer/detail pages.</w:t>
      </w:r>
    </w:p>
    <w:p>
      <w:pPr>
        <w:pStyle w:val="ListBullet"/>
      </w:pPr>
      <w:r>
        <w:t>Drawers are used for quick exception inspection, not as the only patient experience.</w:t>
      </w:r>
    </w:p>
    <w:p>
      <w:pPr>
        <w:pStyle w:val="ListBullet"/>
      </w:pPr>
      <w:r>
        <w:t>Mock data must be populated enough to avoid an empty feeling: queue counts, payer names, CPT/DX codes, balances, denial reasons, ERA exceptions, settings records, audit events.</w:t>
      </w:r>
    </w:p>
    <w:p>
      <w:pPr>
        <w:pStyle w:val="ListBullet"/>
      </w:pPr>
      <w:r>
        <w:t>Mock-up must show BillerBay tokens, tables, filters, tabs, badges, modals, command palette, guided workflows, and safe confirmations from design.md.</w:t>
      </w:r>
    </w:p>
    <w:p>
      <w:pPr>
        <w:pStyle w:val="ListBullet"/>
      </w:pPr>
      <w:r>
        <w:t>Prototype state may be simulated in JavaScript and reset on refresh, but every key PRD flow must have a clickable path.</w:t>
      </w:r>
    </w:p>
    <w:p>
      <w:pPr>
        <w:pStyle w:val="Heading1"/>
      </w:pPr>
      <w:r>
        <w:t>15. Claude / AI Implementation Contract</w:t>
      </w:r>
    </w:p>
    <w:p>
      <w:pPr>
        <w:spacing w:after="160"/>
        <w:ind w:left="360"/>
      </w:pPr>
      <w:r>
        <w:rPr>
          <w:rFonts w:ascii="Consolas" w:hAnsi="Consolas"/>
          <w:color w:val="12122C"/>
          <w:sz w:val="16"/>
        </w:rPr>
        <w:t>You are building BillerBay software. Follow this Master PRD and design.md exactly.</w:t>
        <w:br/>
        <w:t>Do not reinterpret this as generic SaaS. Do not use random colors or Tailwind defaults.</w:t>
        <w:br/>
        <w:t>Use BillerBay Command UI tokens, Inter typography, 4px spacing, dense operational tables,</w:t>
        <w:br/>
        <w:t>clear badges, keyboard-first workflows, saved views, right drawers, full record detail pages,</w:t>
        <w:br/>
        <w:t>modals, guided workflows, and audit/security UX.</w:t>
        <w:br/>
        <w:br/>
        <w:t>Build the MVP around Patients, Visits, Claims, Billing, Payments, Settings, Audit, EDI,</w:t>
        <w:br/>
        <w:t>and code-set validation. Do not build full scheduling, full clinical charting, eRx, portal,</w:t>
        <w:br/>
        <w:t>labs, inventory, or advanced BI unless explicitly requested.</w:t>
        <w:br/>
        <w:br/>
        <w:t>Every feature must include:</w:t>
        <w:br/>
        <w:t>- default, hover, active, focus, disabled, loading, error, success, and empty states</w:t>
        <w:br/>
        <w:t>- permissions and audit behavior</w:t>
        <w:br/>
        <w:t>- backend API contract</w:t>
        <w:br/>
        <w:t>- data model changes</w:t>
        <w:br/>
        <w:t>- acceptance tests</w:t>
        <w:br/>
        <w:t>- realistic mock data</w:t>
        <w:br/>
        <w:t>- source references for healthcare code sets and EDI requirements</w:t>
      </w:r>
    </w:p>
    <w:p>
      <w:pPr>
        <w:pStyle w:val="Heading1"/>
      </w:pPr>
      <w:r>
        <w:t>16. Source and Standards References</w:t>
      </w:r>
    </w:p>
    <w:p>
      <w:pPr>
        <w:pStyle w:val="ListBullet"/>
      </w:pPr>
      <w:r>
        <w:t>BillerBay EHR / EMR / Practice Management MVP PRD - uploaded source requirements for Patients, Visits, Claims, Billing, Payments, and Settings.</w:t>
      </w:r>
    </w:p>
    <w:p>
      <w:pPr>
        <w:pStyle w:val="ListBullet"/>
      </w:pPr>
      <w:r>
        <w:t>design.md - BillerBay Command UI design system, accessibility, security/privacy UX, component states, and copy standards.</w:t>
      </w:r>
    </w:p>
    <w:p>
      <w:pPr>
        <w:pStyle w:val="ListBullet"/>
      </w:pPr>
      <w:r>
        <w:t>ClinicTraq Original UX Critique - workflow/UX critique emphasizing operational guidance, readiness, next actions, drawers/panels, validation, and avoiding passive screens.</w:t>
      </w:r>
    </w:p>
    <w:p>
      <w:pPr>
        <w:pStyle w:val="ListBullet"/>
      </w:pPr>
      <w:r>
        <w:t>Pain Points Responses v2 - smart billing logic, NCCI, TFL, A/R reminders, lifecycle view, ERA/reversal issues, filters, and code-set intelligence requirements.</w:t>
      </w:r>
    </w:p>
    <w:p>
      <w:pPr>
        <w:pStyle w:val="ListBullet"/>
      </w:pPr>
      <w:r>
        <w:t>pyx12 - HIPAA X12 parser/validator/converter; evaluates 997/999 usage.</w:t>
      </w:r>
    </w:p>
    <w:p>
      <w:pPr>
        <w:pStyle w:val="ListBullet"/>
      </w:pPr>
      <w:r>
        <w:t>edi-835-parser / openx12 - Python candidates for 835 and 837 parsing evaluation.</w:t>
      </w:r>
    </w:p>
    <w:p>
      <w:pPr>
        <w:pStyle w:val="ListBullet"/>
      </w:pPr>
      <w:r>
        <w:t>CDC/CMS ICD-10-CM files, CMS HCPCS public-use files, CMS NCCI PTP/MUE files, X12 CARC/RARC lists, NUCC CMS-1500 02/12 instruction manual, AMA licensed CPT content.</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76687"/>
        <w:sz w:val="16"/>
      </w:rPr>
      <w:t>BillerBay Master PRD - Confidential - Generated 2026-06-29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212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12122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2122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212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