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EB38" w14:textId="1F0AA97D" w:rsidR="00325BF1" w:rsidRPr="00603E90" w:rsidRDefault="00DD07BE" w:rsidP="00603E90">
      <w:pPr>
        <w:jc w:val="both"/>
        <w:rPr>
          <w:rFonts w:ascii="Times New Roman" w:hAnsi="Times New Roman" w:cs="Times New Roman"/>
          <w:sz w:val="24"/>
          <w:szCs w:val="24"/>
          <w:lang w:val="pl-PL"/>
        </w:rPr>
      </w:pPr>
      <w:r w:rsidRPr="00603E90">
        <w:rPr>
          <w:rFonts w:ascii="Times New Roman" w:hAnsi="Times New Roman" w:cs="Times New Roman"/>
          <w:sz w:val="24"/>
          <w:szCs w:val="24"/>
          <w:lang w:val="pl-PL"/>
        </w:rPr>
        <w:t>Nastazja Stoch</w:t>
      </w:r>
    </w:p>
    <w:p w14:paraId="7714D30F" w14:textId="73BBECA3" w:rsidR="00DD07BE" w:rsidRPr="00603E90" w:rsidRDefault="00DD07BE" w:rsidP="00603E90">
      <w:pPr>
        <w:jc w:val="both"/>
        <w:rPr>
          <w:rFonts w:ascii="Times New Roman" w:hAnsi="Times New Roman" w:cs="Times New Roman"/>
          <w:sz w:val="24"/>
          <w:szCs w:val="24"/>
          <w:lang w:val="pl-PL"/>
        </w:rPr>
      </w:pPr>
      <w:r w:rsidRPr="00603E90">
        <w:rPr>
          <w:rFonts w:ascii="Times New Roman" w:hAnsi="Times New Roman" w:cs="Times New Roman"/>
          <w:sz w:val="24"/>
          <w:szCs w:val="24"/>
          <w:lang w:val="pl-PL"/>
        </w:rPr>
        <w:t xml:space="preserve">University of </w:t>
      </w:r>
      <w:proofErr w:type="spellStart"/>
      <w:r w:rsidRPr="00603E90">
        <w:rPr>
          <w:rFonts w:ascii="Times New Roman" w:hAnsi="Times New Roman" w:cs="Times New Roman"/>
          <w:sz w:val="24"/>
          <w:szCs w:val="24"/>
          <w:lang w:val="pl-PL"/>
        </w:rPr>
        <w:t>Warsaw</w:t>
      </w:r>
      <w:proofErr w:type="spellEnd"/>
    </w:p>
    <w:p w14:paraId="0B722EF7" w14:textId="3680760C" w:rsidR="00603E90" w:rsidRPr="00603E90" w:rsidRDefault="00603E90" w:rsidP="00603E90">
      <w:pPr>
        <w:jc w:val="both"/>
        <w:rPr>
          <w:rFonts w:ascii="Times New Roman" w:hAnsi="Times New Roman" w:cs="Times New Roman"/>
          <w:sz w:val="24"/>
          <w:szCs w:val="24"/>
          <w:lang w:val="pl-PL"/>
        </w:rPr>
      </w:pPr>
    </w:p>
    <w:p w14:paraId="3CF11FE1" w14:textId="6AD0C4B7" w:rsidR="0076234B" w:rsidRDefault="0076234B" w:rsidP="00603E90">
      <w:pPr>
        <w:ind w:firstLine="720"/>
        <w:jc w:val="both"/>
        <w:rPr>
          <w:rFonts w:ascii="Times New Roman" w:hAnsi="Times New Roman" w:cs="Times New Roman"/>
          <w:sz w:val="24"/>
          <w:szCs w:val="24"/>
        </w:rPr>
      </w:pPr>
      <w:r w:rsidRPr="0076234B">
        <w:rPr>
          <w:rFonts w:ascii="Times New Roman" w:hAnsi="Times New Roman" w:cs="Times New Roman"/>
          <w:sz w:val="24"/>
          <w:szCs w:val="24"/>
        </w:rPr>
        <w:t>Li</w:t>
      </w:r>
      <w:r>
        <w:rPr>
          <w:rFonts w:ascii="Times New Roman" w:hAnsi="Times New Roman" w:cs="Times New Roman"/>
          <w:sz w:val="24"/>
          <w:szCs w:val="24"/>
        </w:rPr>
        <w:t>nguistic diagrams may be classified in many ways. T</w:t>
      </w:r>
      <w:r w:rsidRPr="0076234B">
        <w:rPr>
          <w:rFonts w:ascii="Times New Roman" w:hAnsi="Times New Roman" w:cs="Times New Roman"/>
          <w:sz w:val="24"/>
          <w:szCs w:val="24"/>
        </w:rPr>
        <w:t>he most relevant</w:t>
      </w:r>
      <w:r>
        <w:rPr>
          <w:rFonts w:ascii="Times New Roman" w:hAnsi="Times New Roman" w:cs="Times New Roman"/>
          <w:sz w:val="24"/>
          <w:szCs w:val="24"/>
        </w:rPr>
        <w:t xml:space="preserve"> typology of diagrams</w:t>
      </w:r>
      <w:r w:rsidRPr="0076234B">
        <w:rPr>
          <w:rFonts w:ascii="Times New Roman" w:hAnsi="Times New Roman" w:cs="Times New Roman"/>
          <w:sz w:val="24"/>
          <w:szCs w:val="24"/>
        </w:rPr>
        <w:t xml:space="preserve"> in this </w:t>
      </w:r>
      <w:r w:rsidR="00412616">
        <w:rPr>
          <w:rFonts w:ascii="Times New Roman" w:hAnsi="Times New Roman" w:cs="Times New Roman"/>
          <w:sz w:val="24"/>
          <w:szCs w:val="24"/>
        </w:rPr>
        <w:t>paper</w:t>
      </w:r>
      <w:r w:rsidRPr="0076234B">
        <w:rPr>
          <w:rFonts w:ascii="Times New Roman" w:hAnsi="Times New Roman" w:cs="Times New Roman"/>
          <w:sz w:val="24"/>
          <w:szCs w:val="24"/>
        </w:rPr>
        <w:t xml:space="preserve"> is the one created </w:t>
      </w:r>
      <w:proofErr w:type="gramStart"/>
      <w:r w:rsidRPr="0076234B">
        <w:rPr>
          <w:rFonts w:ascii="Times New Roman" w:hAnsi="Times New Roman" w:cs="Times New Roman"/>
          <w:sz w:val="24"/>
          <w:szCs w:val="24"/>
        </w:rPr>
        <w:t>in regard to</w:t>
      </w:r>
      <w:proofErr w:type="gramEnd"/>
      <w:r w:rsidRPr="0076234B">
        <w:rPr>
          <w:rFonts w:ascii="Times New Roman" w:hAnsi="Times New Roman" w:cs="Times New Roman"/>
          <w:sz w:val="24"/>
          <w:szCs w:val="24"/>
        </w:rPr>
        <w:t xml:space="preserve"> the type of mapping between the linguistic form and meaning</w:t>
      </w:r>
      <w:r>
        <w:rPr>
          <w:rFonts w:ascii="Times New Roman" w:hAnsi="Times New Roman" w:cs="Times New Roman"/>
          <w:sz w:val="24"/>
          <w:szCs w:val="24"/>
        </w:rPr>
        <w:t xml:space="preserve">. </w:t>
      </w:r>
      <w:r w:rsidRPr="0076234B">
        <w:rPr>
          <w:rFonts w:ascii="Times New Roman" w:hAnsi="Times New Roman" w:cs="Times New Roman"/>
          <w:sz w:val="24"/>
          <w:szCs w:val="24"/>
        </w:rPr>
        <w:t xml:space="preserve">The mappings are formulated within the diagrammatic principles governing language, yielding an explanatory function of the motivation behind a given formal structure. </w:t>
      </w:r>
    </w:p>
    <w:p w14:paraId="16172A56" w14:textId="2421BA34" w:rsidR="00603E90" w:rsidRPr="00603E90" w:rsidRDefault="00603E90" w:rsidP="00603E90">
      <w:pPr>
        <w:ind w:firstLine="720"/>
        <w:jc w:val="both"/>
        <w:rPr>
          <w:rFonts w:ascii="Times New Roman" w:hAnsi="Times New Roman" w:cs="Times New Roman"/>
          <w:sz w:val="24"/>
          <w:szCs w:val="24"/>
        </w:rPr>
      </w:pPr>
      <w:r>
        <w:rPr>
          <w:rFonts w:ascii="Times New Roman" w:hAnsi="Times New Roman" w:cs="Times New Roman"/>
          <w:sz w:val="24"/>
          <w:szCs w:val="24"/>
        </w:rPr>
        <w:t>An</w:t>
      </w:r>
      <w:r w:rsidRPr="00603E90">
        <w:rPr>
          <w:rFonts w:ascii="Times New Roman" w:hAnsi="Times New Roman" w:cs="Times New Roman"/>
          <w:sz w:val="24"/>
          <w:szCs w:val="24"/>
        </w:rPr>
        <w:t xml:space="preserve"> overview of the typology of diagrammatic principles governing language exposed in the literature </w:t>
      </w:r>
      <w:r>
        <w:rPr>
          <w:rFonts w:ascii="Times New Roman" w:hAnsi="Times New Roman" w:cs="Times New Roman"/>
          <w:sz w:val="24"/>
          <w:szCs w:val="24"/>
        </w:rPr>
        <w:t>shows</w:t>
      </w:r>
      <w:r w:rsidRPr="00603E90">
        <w:rPr>
          <w:rFonts w:ascii="Times New Roman" w:hAnsi="Times New Roman" w:cs="Times New Roman"/>
          <w:sz w:val="24"/>
          <w:szCs w:val="24"/>
        </w:rPr>
        <w:t xml:space="preserve"> that it is not consistent. </w:t>
      </w:r>
      <w:r>
        <w:rPr>
          <w:rFonts w:ascii="Times New Roman" w:hAnsi="Times New Roman" w:cs="Times New Roman"/>
          <w:sz w:val="24"/>
          <w:szCs w:val="24"/>
        </w:rPr>
        <w:t>It required</w:t>
      </w:r>
      <w:r w:rsidRPr="00603E90">
        <w:rPr>
          <w:rFonts w:ascii="Times New Roman" w:hAnsi="Times New Roman" w:cs="Times New Roman"/>
          <w:sz w:val="24"/>
          <w:szCs w:val="24"/>
        </w:rPr>
        <w:t xml:space="preserve"> a meticulous analysis of different concepts under different names, often overlapping without explicit indication. It resulted in deriving three main diagrammatic principles in language: that of sequence, quantity, and proximity.</w:t>
      </w:r>
    </w:p>
    <w:p w14:paraId="0B1757EC" w14:textId="6617A015" w:rsidR="00603E90" w:rsidRPr="00603E90" w:rsidRDefault="00603E90" w:rsidP="00EE6278">
      <w:pPr>
        <w:ind w:firstLine="720"/>
        <w:jc w:val="both"/>
        <w:rPr>
          <w:rFonts w:ascii="Times New Roman" w:hAnsi="Times New Roman" w:cs="Times New Roman"/>
          <w:sz w:val="24"/>
          <w:szCs w:val="24"/>
        </w:rPr>
      </w:pPr>
      <w:r w:rsidRPr="00603E90">
        <w:rPr>
          <w:rFonts w:ascii="Times New Roman" w:hAnsi="Times New Roman" w:cs="Times New Roman"/>
          <w:sz w:val="24"/>
          <w:szCs w:val="24"/>
        </w:rPr>
        <w:t xml:space="preserve">Iconicity of sequence has been often interchangeably used with iconicity of temporality and iconicity of linearity. </w:t>
      </w:r>
      <w:proofErr w:type="spellStart"/>
      <w:r w:rsidRPr="00603E90">
        <w:rPr>
          <w:rFonts w:ascii="Times New Roman" w:hAnsi="Times New Roman" w:cs="Times New Roman"/>
          <w:sz w:val="24"/>
          <w:szCs w:val="24"/>
        </w:rPr>
        <w:t>Nöth’s</w:t>
      </w:r>
      <w:proofErr w:type="spellEnd"/>
      <w:r w:rsidRPr="00603E90">
        <w:rPr>
          <w:rFonts w:ascii="Times New Roman" w:hAnsi="Times New Roman" w:cs="Times New Roman"/>
          <w:sz w:val="24"/>
          <w:szCs w:val="24"/>
        </w:rPr>
        <w:t xml:space="preserve"> (1990) typology of syntagmatic diagrams was convincing enough to realize that iconicity of temporality and iconicity of linearity are merely subtypes of iconicity of sequence, because not any iconic sequence must be temporal or linear. It also proved that iconic temporality and linearity are distinctive. Therefore, after inspecting </w:t>
      </w:r>
      <w:proofErr w:type="spellStart"/>
      <w:r w:rsidRPr="00603E90">
        <w:rPr>
          <w:rFonts w:ascii="Times New Roman" w:hAnsi="Times New Roman" w:cs="Times New Roman"/>
          <w:sz w:val="24"/>
          <w:szCs w:val="24"/>
        </w:rPr>
        <w:t>Nöth’s</w:t>
      </w:r>
      <w:proofErr w:type="spellEnd"/>
      <w:r w:rsidRPr="00603E90">
        <w:rPr>
          <w:rFonts w:ascii="Times New Roman" w:hAnsi="Times New Roman" w:cs="Times New Roman"/>
          <w:sz w:val="24"/>
          <w:szCs w:val="24"/>
        </w:rPr>
        <w:t xml:space="preserve"> proposal, I adapted this division of possible sequential diagrams in language between temporal sequence, spatial and conceptual sequence, the latter, in turn, being divided into causal, linear, and hierarchical sequence. The only modification to this proposal concerns moving causal sequence under the governance of temporal sequence (due to the argument that causality involves temporal perception of the cause-effect relation), and offering one more dimension of iconic sequence, namely, iconicity of epistemic sequence.</w:t>
      </w:r>
    </w:p>
    <w:p w14:paraId="424CFF49" w14:textId="77777777" w:rsidR="00412616" w:rsidRDefault="00603E90" w:rsidP="00412616">
      <w:pPr>
        <w:pStyle w:val="Default"/>
        <w:snapToGrid w:val="0"/>
        <w:spacing w:after="160"/>
        <w:ind w:firstLine="720"/>
        <w:jc w:val="both"/>
        <w:rPr>
          <w:rFonts w:ascii="Times New Roman" w:hAnsi="Times New Roman" w:cs="Times New Roman"/>
        </w:rPr>
      </w:pPr>
      <w:r w:rsidRPr="00603E90">
        <w:rPr>
          <w:rFonts w:ascii="Times New Roman" w:hAnsi="Times New Roman" w:cs="Times New Roman"/>
        </w:rPr>
        <w:t xml:space="preserve">Iconicity of quantity has also been studied under different labels. In particular, the most often term associated with it is iconicity of complexity. However, I formulated arguments to view it as a subtype of iconicity of quantity. Another term related to the quantity diagram in language is markedness. I debunked the idea to identify iconicity of complexity with markedness, even though they partially overlap in the extension of </w:t>
      </w:r>
      <w:r w:rsidR="00EE6278" w:rsidRPr="00603E90">
        <w:rPr>
          <w:rFonts w:ascii="Times New Roman" w:hAnsi="Times New Roman" w:cs="Times New Roman"/>
        </w:rPr>
        <w:t>instantiating</w:t>
      </w:r>
      <w:r w:rsidRPr="00603E90">
        <w:rPr>
          <w:rFonts w:ascii="Times New Roman" w:hAnsi="Times New Roman" w:cs="Times New Roman"/>
        </w:rPr>
        <w:t xml:space="preserve"> them. Another confusion is caused by listing iconicity of repetition and iconicity of reduplication as (implicitly) disjunctive principle, although they are univocally prescribed under the overarching principle of quantity. I have then decisively classified the iconic principle of reduplication as specific type of the iconic principle of repetition being manifested on the morphological level. In result, the principle of quantity has two subtypes: repetition (having</w:t>
      </w:r>
      <w:r w:rsidRPr="00603E90">
        <w:rPr>
          <w:rFonts w:ascii="Times New Roman" w:hAnsi="Times New Roman" w:cs="Times New Roman"/>
        </w:rPr>
        <w:t xml:space="preserve"> </w:t>
      </w:r>
      <w:r w:rsidRPr="00603E90">
        <w:rPr>
          <w:rFonts w:ascii="Times New Roman" w:hAnsi="Times New Roman" w:cs="Times New Roman"/>
        </w:rPr>
        <w:t xml:space="preserve">reduplication is its subtype) and complexity. Lastly, iconicity of absence was joined to this first-level division of types of iconic quantity, next to iconicity of intensification and informativeness, none of which could be subdued to neither repetition nor complexity in their entirety. </w:t>
      </w:r>
    </w:p>
    <w:p w14:paraId="7A52E7B7" w14:textId="5E4A489B" w:rsidR="00603E90" w:rsidRDefault="00603E90" w:rsidP="00412616">
      <w:pPr>
        <w:pStyle w:val="Default"/>
        <w:snapToGrid w:val="0"/>
        <w:spacing w:after="120"/>
        <w:ind w:firstLine="720"/>
        <w:jc w:val="both"/>
        <w:rPr>
          <w:rFonts w:ascii="Times New Roman" w:hAnsi="Times New Roman" w:cs="Times New Roman"/>
        </w:rPr>
      </w:pPr>
      <w:r w:rsidRPr="00603E90">
        <w:rPr>
          <w:rFonts w:ascii="Times New Roman" w:hAnsi="Times New Roman" w:cs="Times New Roman"/>
        </w:rPr>
        <w:lastRenderedPageBreak/>
        <w:t xml:space="preserve">Iconicity of proximity may have required most clarification. I discovered that iconicity of distance, alienation, adjacency, </w:t>
      </w:r>
      <w:proofErr w:type="gramStart"/>
      <w:r w:rsidRPr="00603E90">
        <w:rPr>
          <w:rFonts w:ascii="Times New Roman" w:hAnsi="Times New Roman" w:cs="Times New Roman"/>
        </w:rPr>
        <w:t>cohesion</w:t>
      </w:r>
      <w:proofErr w:type="gramEnd"/>
      <w:r w:rsidRPr="00603E90">
        <w:rPr>
          <w:rFonts w:ascii="Times New Roman" w:hAnsi="Times New Roman" w:cs="Times New Roman"/>
        </w:rPr>
        <w:t xml:space="preserve"> and contiguity are indistinguishable concepts, defined in the same way as iconicity of proximity. However, after further inspection, I preserved only iconicity of distance as a true synonymy of iconicity of proximity. I excluded the plausibility of using the terms “cohesion” or “contiguity” to refer to iconicity of proximity by pointing out their conventionalized applications in describing different linguistic phenomena. “Iconicity of alienation” is </w:t>
      </w:r>
      <w:proofErr w:type="gramStart"/>
      <w:r w:rsidRPr="00603E90">
        <w:rPr>
          <w:rFonts w:ascii="Times New Roman" w:hAnsi="Times New Roman" w:cs="Times New Roman"/>
        </w:rPr>
        <w:t>similar to</w:t>
      </w:r>
      <w:proofErr w:type="gramEnd"/>
      <w:r w:rsidRPr="00603E90">
        <w:rPr>
          <w:rFonts w:ascii="Times New Roman" w:hAnsi="Times New Roman" w:cs="Times New Roman"/>
        </w:rPr>
        <w:t xml:space="preserve"> “iconicity of (in)alienability”, therefore I did not use it extensively to not confuse it with (in)alienability, which I classified as a specific manifestation of iconicity of proximity. Iconicity of adjacency (divided into iconicity of grammatical adjacency and iconicity of head proximity) has been also defined to be a particular case of iconicity of proximity, next to iconicity of causal distance and juxtaposition.</w:t>
      </w:r>
    </w:p>
    <w:p w14:paraId="3FE4B417" w14:textId="43DDB73D" w:rsidR="00887F45" w:rsidRDefault="00887F45" w:rsidP="00887F45">
      <w:pPr>
        <w:pStyle w:val="Default"/>
        <w:snapToGrid w:val="0"/>
        <w:spacing w:after="120"/>
        <w:jc w:val="both"/>
        <w:rPr>
          <w:rFonts w:ascii="Times New Roman" w:hAnsi="Times New Roman" w:cs="Times New Roman"/>
        </w:rPr>
      </w:pPr>
    </w:p>
    <w:p w14:paraId="2BCB73AE" w14:textId="5F02676D" w:rsidR="00887F45" w:rsidRDefault="00887F45" w:rsidP="00887F45">
      <w:pPr>
        <w:pStyle w:val="Default"/>
        <w:snapToGrid w:val="0"/>
        <w:spacing w:after="120"/>
        <w:jc w:val="both"/>
        <w:rPr>
          <w:rFonts w:ascii="Times New Roman" w:hAnsi="Times New Roman" w:cs="Times New Roman"/>
        </w:rPr>
      </w:pPr>
      <w:r>
        <w:rPr>
          <w:rFonts w:ascii="Times New Roman" w:hAnsi="Times New Roman" w:cs="Times New Roman"/>
        </w:rPr>
        <w:t>References:</w:t>
      </w:r>
    </w:p>
    <w:p w14:paraId="7A469A35" w14:textId="0847037F" w:rsidR="00887F45" w:rsidRDefault="00887F45" w:rsidP="00887F45">
      <w:pPr>
        <w:pStyle w:val="Default"/>
        <w:snapToGrid w:val="0"/>
        <w:spacing w:after="120"/>
        <w:jc w:val="both"/>
        <w:rPr>
          <w:rFonts w:ascii="Times New Roman" w:hAnsi="Times New Roman" w:cs="Times New Roman"/>
        </w:rPr>
      </w:pPr>
      <w:proofErr w:type="spellStart"/>
      <w:r w:rsidRPr="00887F45">
        <w:rPr>
          <w:rFonts w:ascii="Times New Roman" w:hAnsi="Times New Roman" w:cs="Times New Roman"/>
        </w:rPr>
        <w:t>Givón</w:t>
      </w:r>
      <w:proofErr w:type="spellEnd"/>
      <w:r w:rsidRPr="00887F45">
        <w:rPr>
          <w:rFonts w:ascii="Times New Roman" w:hAnsi="Times New Roman" w:cs="Times New Roman"/>
        </w:rPr>
        <w:t xml:space="preserve">, T. (1995(1991)). Isomorphism in the grammatical code: cognitive and biological considerations. In R. Simone (Ed.), </w:t>
      </w:r>
      <w:r w:rsidRPr="00887F45">
        <w:rPr>
          <w:rFonts w:ascii="Times New Roman" w:hAnsi="Times New Roman" w:cs="Times New Roman"/>
          <w:i/>
          <w:iCs/>
        </w:rPr>
        <w:t xml:space="preserve">Iconicity in Language </w:t>
      </w:r>
      <w:r w:rsidRPr="00887F45">
        <w:rPr>
          <w:rFonts w:ascii="Times New Roman" w:hAnsi="Times New Roman" w:cs="Times New Roman"/>
        </w:rPr>
        <w:t>(pp. 47-76). Amsterdam &amp; Philadelphia: John Benjamins Publishing Company.</w:t>
      </w:r>
    </w:p>
    <w:p w14:paraId="275DE439" w14:textId="63ECB356"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Greenberg, J. H. (1966). Some universals of grammar with </w:t>
      </w:r>
      <w:proofErr w:type="gramStart"/>
      <w:r w:rsidRPr="00887F45">
        <w:rPr>
          <w:rFonts w:ascii="Times New Roman" w:hAnsi="Times New Roman" w:cs="Times New Roman"/>
        </w:rPr>
        <w:t>particular reference</w:t>
      </w:r>
      <w:proofErr w:type="gramEnd"/>
      <w:r w:rsidRPr="00887F45">
        <w:rPr>
          <w:rFonts w:ascii="Times New Roman" w:hAnsi="Times New Roman" w:cs="Times New Roman"/>
        </w:rPr>
        <w:t xml:space="preserve"> to the order of meaningful elements. In J. H. Greenberg (Ed.), </w:t>
      </w:r>
      <w:r w:rsidRPr="00887F45">
        <w:rPr>
          <w:rFonts w:ascii="Times New Roman" w:hAnsi="Times New Roman" w:cs="Times New Roman"/>
          <w:i/>
          <w:iCs/>
        </w:rPr>
        <w:t xml:space="preserve">Universals of Language </w:t>
      </w:r>
      <w:r w:rsidRPr="00887F45">
        <w:rPr>
          <w:rFonts w:ascii="Times New Roman" w:hAnsi="Times New Roman" w:cs="Times New Roman"/>
        </w:rPr>
        <w:t>(2nd ed., pp. 73-113). Cambridge &amp; London: The M.I.T. Press.</w:t>
      </w:r>
    </w:p>
    <w:p w14:paraId="0AA8C608" w14:textId="5746820F"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Haiman, J. (1985). </w:t>
      </w:r>
      <w:r w:rsidRPr="00887F45">
        <w:rPr>
          <w:rFonts w:ascii="Times New Roman" w:hAnsi="Times New Roman" w:cs="Times New Roman"/>
          <w:i/>
          <w:iCs/>
        </w:rPr>
        <w:t xml:space="preserve">Natural Syntax: Iconicity and Erosion. </w:t>
      </w:r>
      <w:r w:rsidRPr="00887F45">
        <w:rPr>
          <w:rFonts w:ascii="Times New Roman" w:hAnsi="Times New Roman" w:cs="Times New Roman"/>
        </w:rPr>
        <w:t>Cambridge: Cambridge University Press.</w:t>
      </w:r>
    </w:p>
    <w:p w14:paraId="46F85EE7" w14:textId="1259FA22" w:rsidR="00887F45" w:rsidRDefault="00887F45" w:rsidP="00887F45">
      <w:pPr>
        <w:pStyle w:val="Default"/>
        <w:snapToGrid w:val="0"/>
        <w:spacing w:after="120"/>
        <w:jc w:val="both"/>
        <w:rPr>
          <w:rFonts w:ascii="Times New Roman" w:hAnsi="Times New Roman" w:cs="Times New Roman"/>
        </w:rPr>
      </w:pPr>
      <w:proofErr w:type="spellStart"/>
      <w:r w:rsidRPr="00887F45">
        <w:rPr>
          <w:rFonts w:ascii="Times New Roman" w:hAnsi="Times New Roman" w:cs="Times New Roman"/>
        </w:rPr>
        <w:t>Haspelmath</w:t>
      </w:r>
      <w:proofErr w:type="spellEnd"/>
      <w:r w:rsidRPr="00887F45">
        <w:rPr>
          <w:rFonts w:ascii="Times New Roman" w:hAnsi="Times New Roman" w:cs="Times New Roman"/>
        </w:rPr>
        <w:t xml:space="preserve">, M. (2008). Frequency vs. iconicity in explaining grammatical asymmetries. </w:t>
      </w:r>
      <w:r w:rsidRPr="00887F45">
        <w:rPr>
          <w:rFonts w:ascii="Times New Roman" w:hAnsi="Times New Roman" w:cs="Times New Roman"/>
          <w:i/>
          <w:iCs/>
        </w:rPr>
        <w:t>Cognitive Linguistics, 19</w:t>
      </w:r>
      <w:r w:rsidRPr="00887F45">
        <w:rPr>
          <w:rFonts w:ascii="Times New Roman" w:hAnsi="Times New Roman" w:cs="Times New Roman"/>
        </w:rPr>
        <w:t>(1), 1-33.</w:t>
      </w:r>
    </w:p>
    <w:p w14:paraId="20DD9F07" w14:textId="73FCF9BC" w:rsidR="00887F45" w:rsidRDefault="00887F45" w:rsidP="00887F45">
      <w:pPr>
        <w:pStyle w:val="Default"/>
        <w:snapToGrid w:val="0"/>
        <w:spacing w:after="120"/>
        <w:jc w:val="both"/>
        <w:rPr>
          <w:rFonts w:ascii="Times New Roman" w:hAnsi="Times New Roman" w:cs="Times New Roman"/>
        </w:rPr>
      </w:pPr>
      <w:proofErr w:type="spellStart"/>
      <w:r w:rsidRPr="00887F45">
        <w:rPr>
          <w:rFonts w:ascii="Times New Roman" w:hAnsi="Times New Roman" w:cs="Times New Roman"/>
        </w:rPr>
        <w:t>Hiraga</w:t>
      </w:r>
      <w:proofErr w:type="spellEnd"/>
      <w:r w:rsidRPr="00887F45">
        <w:rPr>
          <w:rFonts w:ascii="Times New Roman" w:hAnsi="Times New Roman" w:cs="Times New Roman"/>
        </w:rPr>
        <w:t xml:space="preserve">, M. K. (1994). Diagrams and metaphors: Iconic aspects in language. </w:t>
      </w:r>
      <w:r w:rsidRPr="00887F45">
        <w:rPr>
          <w:rFonts w:ascii="Times New Roman" w:hAnsi="Times New Roman" w:cs="Times New Roman"/>
          <w:i/>
          <w:iCs/>
        </w:rPr>
        <w:t>Journal of Pragmatics, 22</w:t>
      </w:r>
      <w:r w:rsidRPr="00887F45">
        <w:rPr>
          <w:rFonts w:ascii="Times New Roman" w:hAnsi="Times New Roman" w:cs="Times New Roman"/>
        </w:rPr>
        <w:t>, 5-21.</w:t>
      </w:r>
    </w:p>
    <w:p w14:paraId="4B058C12" w14:textId="1FBFF076" w:rsidR="00887F45" w:rsidRDefault="00887F45" w:rsidP="00887F45">
      <w:pPr>
        <w:pStyle w:val="Default"/>
        <w:snapToGrid w:val="0"/>
        <w:spacing w:after="120"/>
        <w:jc w:val="both"/>
        <w:rPr>
          <w:rFonts w:ascii="Times New Roman" w:hAnsi="Times New Roman" w:cs="Times New Roman"/>
        </w:rPr>
      </w:pPr>
      <w:proofErr w:type="spellStart"/>
      <w:r w:rsidRPr="00887F45">
        <w:rPr>
          <w:rFonts w:ascii="Times New Roman" w:hAnsi="Times New Roman" w:cs="Times New Roman"/>
        </w:rPr>
        <w:t>Lacková</w:t>
      </w:r>
      <w:proofErr w:type="spellEnd"/>
      <w:r w:rsidRPr="00887F45">
        <w:rPr>
          <w:rFonts w:ascii="Times New Roman" w:hAnsi="Times New Roman" w:cs="Times New Roman"/>
        </w:rPr>
        <w:t xml:space="preserve">, </w:t>
      </w:r>
      <w:r>
        <w:rPr>
          <w:rFonts w:ascii="Times New Roman" w:hAnsi="Times New Roman" w:cs="Times New Roman"/>
        </w:rPr>
        <w:t>L</w:t>
      </w:r>
      <w:r w:rsidRPr="00887F45">
        <w:rPr>
          <w:rFonts w:ascii="Times New Roman" w:hAnsi="Times New Roman" w:cs="Times New Roman"/>
        </w:rPr>
        <w:t xml:space="preserve">. (2015). Iconicity and topic-focus </w:t>
      </w:r>
      <w:proofErr w:type="spellStart"/>
      <w:r w:rsidRPr="00887F45">
        <w:rPr>
          <w:rFonts w:ascii="Times New Roman" w:hAnsi="Times New Roman" w:cs="Times New Roman"/>
        </w:rPr>
        <w:t>sequentiality</w:t>
      </w:r>
      <w:proofErr w:type="spellEnd"/>
      <w:r w:rsidRPr="00887F45">
        <w:rPr>
          <w:rFonts w:ascii="Times New Roman" w:hAnsi="Times New Roman" w:cs="Times New Roman"/>
        </w:rPr>
        <w:t xml:space="preserve">. </w:t>
      </w:r>
      <w:r w:rsidRPr="00887F45">
        <w:rPr>
          <w:rFonts w:ascii="Times New Roman" w:hAnsi="Times New Roman" w:cs="Times New Roman"/>
          <w:i/>
          <w:iCs/>
        </w:rPr>
        <w:t>Czech and Slovak Linguistic Review, 1</w:t>
      </w:r>
      <w:r w:rsidRPr="00887F45">
        <w:rPr>
          <w:rFonts w:ascii="Times New Roman" w:hAnsi="Times New Roman" w:cs="Times New Roman"/>
        </w:rPr>
        <w:t>, 44-55.</w:t>
      </w:r>
    </w:p>
    <w:p w14:paraId="2178AAB2" w14:textId="76187E2E"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Leech, G. N., &amp; Short, M. (2007). </w:t>
      </w:r>
      <w:r w:rsidRPr="00887F45">
        <w:rPr>
          <w:rFonts w:ascii="Times New Roman" w:hAnsi="Times New Roman" w:cs="Times New Roman"/>
          <w:i/>
          <w:iCs/>
        </w:rPr>
        <w:t xml:space="preserve">Style in Fiction: A Linguistic Introduction to English Fictional Prose </w:t>
      </w:r>
      <w:r w:rsidRPr="00887F45">
        <w:rPr>
          <w:rFonts w:ascii="Times New Roman" w:hAnsi="Times New Roman" w:cs="Times New Roman"/>
        </w:rPr>
        <w:t>(2nd ed.). Harlow: Pearson.</w:t>
      </w:r>
    </w:p>
    <w:p w14:paraId="24AD97CF" w14:textId="67958544" w:rsidR="00887F45" w:rsidRDefault="00887F45" w:rsidP="00887F45">
      <w:pPr>
        <w:pStyle w:val="Default"/>
        <w:snapToGrid w:val="0"/>
        <w:spacing w:after="120"/>
        <w:jc w:val="both"/>
        <w:rPr>
          <w:rFonts w:ascii="Times New Roman" w:hAnsi="Times New Roman" w:cs="Times New Roman"/>
        </w:rPr>
      </w:pPr>
      <w:proofErr w:type="spellStart"/>
      <w:r w:rsidRPr="00887F45">
        <w:rPr>
          <w:rFonts w:ascii="Times New Roman" w:hAnsi="Times New Roman" w:cs="Times New Roman"/>
        </w:rPr>
        <w:t>Newmeyer</w:t>
      </w:r>
      <w:proofErr w:type="spellEnd"/>
      <w:r w:rsidRPr="00887F45">
        <w:rPr>
          <w:rFonts w:ascii="Times New Roman" w:hAnsi="Times New Roman" w:cs="Times New Roman"/>
        </w:rPr>
        <w:t xml:space="preserve">, F. J. (1992). Iconicity and generative grammar. </w:t>
      </w:r>
      <w:r w:rsidRPr="00887F45">
        <w:rPr>
          <w:rFonts w:ascii="Times New Roman" w:hAnsi="Times New Roman" w:cs="Times New Roman"/>
          <w:i/>
          <w:iCs/>
        </w:rPr>
        <w:t>Language, 68</w:t>
      </w:r>
      <w:r w:rsidRPr="00887F45">
        <w:rPr>
          <w:rFonts w:ascii="Times New Roman" w:hAnsi="Times New Roman" w:cs="Times New Roman"/>
        </w:rPr>
        <w:t>(4), 756-796.</w:t>
      </w:r>
    </w:p>
    <w:p w14:paraId="6E266E92" w14:textId="0C1685F1"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Nöth, W. (1990). The semiotic potential for iconicity in spoken and written language. </w:t>
      </w:r>
      <w:proofErr w:type="spellStart"/>
      <w:r w:rsidRPr="00887F45">
        <w:rPr>
          <w:rFonts w:ascii="Times New Roman" w:hAnsi="Times New Roman" w:cs="Times New Roman"/>
          <w:i/>
          <w:iCs/>
        </w:rPr>
        <w:t>Kodikas</w:t>
      </w:r>
      <w:proofErr w:type="spellEnd"/>
      <w:r w:rsidRPr="00887F45">
        <w:rPr>
          <w:rFonts w:ascii="Times New Roman" w:hAnsi="Times New Roman" w:cs="Times New Roman"/>
          <w:i/>
          <w:iCs/>
        </w:rPr>
        <w:t xml:space="preserve">/Code: Ars </w:t>
      </w:r>
      <w:proofErr w:type="spellStart"/>
      <w:r w:rsidRPr="00887F45">
        <w:rPr>
          <w:rFonts w:ascii="Times New Roman" w:hAnsi="Times New Roman" w:cs="Times New Roman"/>
          <w:i/>
          <w:iCs/>
        </w:rPr>
        <w:t>Semiotica</w:t>
      </w:r>
      <w:proofErr w:type="spellEnd"/>
      <w:r w:rsidRPr="00887F45">
        <w:rPr>
          <w:rFonts w:ascii="Times New Roman" w:hAnsi="Times New Roman" w:cs="Times New Roman"/>
          <w:i/>
          <w:iCs/>
        </w:rPr>
        <w:t>, 13</w:t>
      </w:r>
      <w:r w:rsidRPr="00887F45">
        <w:rPr>
          <w:rFonts w:ascii="Times New Roman" w:hAnsi="Times New Roman" w:cs="Times New Roman"/>
        </w:rPr>
        <w:t>(3/4), 191-209.</w:t>
      </w:r>
    </w:p>
    <w:p w14:paraId="571D2865" w14:textId="5744230C"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Tai, J. H.-Y. (1985). Temporal sequence and Chinese word order. In J. Haiman (Ed.), </w:t>
      </w:r>
      <w:r w:rsidRPr="00887F45">
        <w:rPr>
          <w:rFonts w:ascii="Times New Roman" w:hAnsi="Times New Roman" w:cs="Times New Roman"/>
          <w:i/>
          <w:iCs/>
        </w:rPr>
        <w:t xml:space="preserve">Iconicity in Syntax </w:t>
      </w:r>
      <w:r w:rsidRPr="00887F45">
        <w:rPr>
          <w:rFonts w:ascii="Times New Roman" w:hAnsi="Times New Roman" w:cs="Times New Roman"/>
        </w:rPr>
        <w:t>(pp. 49-72). Amsterdam &amp; Philadelphia: John Benjamins Publishing Company.</w:t>
      </w:r>
    </w:p>
    <w:p w14:paraId="6C017938" w14:textId="718E08BF" w:rsidR="00887F45"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Van </w:t>
      </w:r>
      <w:proofErr w:type="spellStart"/>
      <w:r w:rsidRPr="00887F45">
        <w:rPr>
          <w:rFonts w:ascii="Times New Roman" w:hAnsi="Times New Roman" w:cs="Times New Roman"/>
        </w:rPr>
        <w:t>Langendonck</w:t>
      </w:r>
      <w:proofErr w:type="spellEnd"/>
      <w:r w:rsidRPr="00887F45">
        <w:rPr>
          <w:rFonts w:ascii="Times New Roman" w:hAnsi="Times New Roman" w:cs="Times New Roman"/>
        </w:rPr>
        <w:t xml:space="preserve">, W. (2007). Iconicity. In D. Geeraerts, &amp; H. </w:t>
      </w:r>
      <w:proofErr w:type="spellStart"/>
      <w:r w:rsidRPr="00887F45">
        <w:rPr>
          <w:rFonts w:ascii="Times New Roman" w:hAnsi="Times New Roman" w:cs="Times New Roman"/>
        </w:rPr>
        <w:t>Cuyckens</w:t>
      </w:r>
      <w:proofErr w:type="spellEnd"/>
      <w:r w:rsidRPr="00887F45">
        <w:rPr>
          <w:rFonts w:ascii="Times New Roman" w:hAnsi="Times New Roman" w:cs="Times New Roman"/>
        </w:rPr>
        <w:t xml:space="preserve"> (Eds.), </w:t>
      </w:r>
      <w:r w:rsidRPr="00887F45">
        <w:rPr>
          <w:rFonts w:ascii="Times New Roman" w:hAnsi="Times New Roman" w:cs="Times New Roman"/>
          <w:i/>
          <w:iCs/>
        </w:rPr>
        <w:t xml:space="preserve">The Oxford Handbook of Cognitive Linguistics. </w:t>
      </w:r>
      <w:r w:rsidRPr="00887F45">
        <w:rPr>
          <w:rFonts w:ascii="Times New Roman" w:hAnsi="Times New Roman" w:cs="Times New Roman"/>
        </w:rPr>
        <w:t>Oxford: Oxford University Press.</w:t>
      </w:r>
    </w:p>
    <w:p w14:paraId="70F27F1F" w14:textId="136FAE7D" w:rsidR="00887F45" w:rsidRPr="00603E90" w:rsidRDefault="00887F45" w:rsidP="00887F45">
      <w:pPr>
        <w:pStyle w:val="Default"/>
        <w:snapToGrid w:val="0"/>
        <w:spacing w:after="120"/>
        <w:jc w:val="both"/>
        <w:rPr>
          <w:rFonts w:ascii="Times New Roman" w:hAnsi="Times New Roman" w:cs="Times New Roman"/>
        </w:rPr>
      </w:pPr>
      <w:r w:rsidRPr="00887F45">
        <w:rPr>
          <w:rFonts w:ascii="Times New Roman" w:hAnsi="Times New Roman" w:cs="Times New Roman"/>
        </w:rPr>
        <w:t xml:space="preserve">Wescott, R. W. (1971). Linguistic iconism. </w:t>
      </w:r>
      <w:r w:rsidRPr="00887F45">
        <w:rPr>
          <w:rFonts w:ascii="Times New Roman" w:hAnsi="Times New Roman" w:cs="Times New Roman"/>
          <w:i/>
          <w:iCs/>
        </w:rPr>
        <w:t>Language, 47</w:t>
      </w:r>
      <w:r w:rsidRPr="00887F45">
        <w:rPr>
          <w:rFonts w:ascii="Times New Roman" w:hAnsi="Times New Roman" w:cs="Times New Roman"/>
        </w:rPr>
        <w:t>(2), 416-428.</w:t>
      </w:r>
    </w:p>
    <w:sectPr w:rsidR="00887F45" w:rsidRPr="00603E90" w:rsidSect="00603E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EB Garamond">
    <w:altName w:val="EB Garamond Italic"/>
    <w:panose1 w:val="00000000000000000000"/>
    <w:charset w:val="00"/>
    <w:family w:val="auto"/>
    <w:pitch w:val="variable"/>
    <w:sig w:usb0="E00002FF" w:usb1="5201E4F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E3"/>
    <w:rsid w:val="00325BF1"/>
    <w:rsid w:val="00412616"/>
    <w:rsid w:val="00603E90"/>
    <w:rsid w:val="0076234B"/>
    <w:rsid w:val="007A4AE3"/>
    <w:rsid w:val="00887F45"/>
    <w:rsid w:val="00DD07BE"/>
    <w:rsid w:val="00EE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F7DD"/>
  <w15:chartTrackingRefBased/>
  <w15:docId w15:val="{22E161A2-C7B6-453C-8EFE-3CE46937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3E90"/>
    <w:pPr>
      <w:autoSpaceDE w:val="0"/>
      <w:autoSpaceDN w:val="0"/>
      <w:adjustRightInd w:val="0"/>
      <w:spacing w:after="0" w:line="240" w:lineRule="auto"/>
    </w:pPr>
    <w:rPr>
      <w:rFonts w:ascii="EB Garamond" w:hAnsi="EB Garamond" w:cs="EB 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Nastazja Stoch</dc:creator>
  <cp:keywords/>
  <dc:description/>
  <cp:lastModifiedBy>Nastazja Stoch</cp:lastModifiedBy>
  <cp:revision>2</cp:revision>
  <dcterms:created xsi:type="dcterms:W3CDTF">2022-09-28T12:36:00Z</dcterms:created>
  <dcterms:modified xsi:type="dcterms:W3CDTF">2022-09-28T14:15:00Z</dcterms:modified>
</cp:coreProperties>
</file>