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1F4E6B"/>
          <w:sz w:val="44"/>
        </w:rPr>
        <w:t>Informe de proceso educativo realizado a persona, familia y/o comunidad</w:t>
      </w:r>
    </w:p>
    <w:p>
      <w:pPr>
        <w:jc w:val="center"/>
      </w:pPr>
      <w:r>
        <w:rPr>
          <w:i/>
          <w:color w:val="595959"/>
          <w:sz w:val="26"/>
        </w:rPr>
        <w:t>Pausa sensorial: herramientas de autorregulación para el manejo del estrés laboral en funcionarios del CECOSF Barrios Bajos</w:t>
      </w:r>
    </w:p>
    <w:p/>
    <w:p/>
    <w:p/>
    <w:p/>
    <w:p/>
    <w:p/>
    <w:p/>
    <w:p/>
    <w:p/>
    <w:p/>
    <w:p/>
    <w:p/>
    <w:p>
      <w:pPr>
        <w:jc w:val="center"/>
      </w:pPr>
      <w:r>
        <w:t>Nombre: Catalina Pino Moena</w:t>
      </w:r>
    </w:p>
    <w:p>
      <w:pPr>
        <w:jc w:val="center"/>
      </w:pPr>
      <w:r>
        <w:t>Asignatura: Internado Extrahospitalario</w:t>
      </w:r>
    </w:p>
    <w:p>
      <w:pPr>
        <w:jc w:val="center"/>
      </w:pPr>
      <w:r>
        <w:t>Docente: Lorena Mondaca Pavie</w:t>
      </w:r>
    </w:p>
    <w:p>
      <w:pPr>
        <w:jc w:val="center"/>
      </w:pPr>
      <w:r>
        <w:t>Fecha: 07/09/2026</w:t>
      </w:r>
    </w:p>
    <w:p>
      <w:r>
        <w:br w:type="page"/>
      </w:r>
    </w:p>
    <w:p>
      <w:pPr>
        <w:jc w:val="center"/>
      </w:pPr>
      <w:r>
        <w:rPr>
          <w:b/>
          <w:color w:val="1F4E6B"/>
          <w:sz w:val="28"/>
        </w:rPr>
        <w:t>Tabla de contenido</w:t>
      </w:r>
    </w:p>
    <w:p>
      <w:r>
        <w:fldChar w:fldCharType="begin"/>
        <w:instrText xml:space="preserve">TOC \o "1-2" \h \z \u</w:instrText>
        <w:fldChar w:fldCharType="separate"/>
      </w:r>
      <w:r>
        <w:rPr>
          <w:i/>
        </w:rPr>
        <w:t>(Clic derecho → "Actualizar campo" para generar la tabla de contenido con números de página.)</w:t>
      </w:r>
      <w:r>
        <w:fldChar w:fldCharType="end"/>
      </w:r>
    </w:p>
    <w:p>
      <w:r>
        <w:br w:type="page"/>
      </w:r>
    </w:p>
    <w:p>
      <w:pPr>
        <w:pStyle w:val="Heading1"/>
        <w:jc w:val="center"/>
      </w:pPr>
      <w:r>
        <w:rPr>
          <w:rFonts w:ascii="Calibri" w:hAnsi="Calibri"/>
          <w:color w:val="1F4E6B"/>
        </w:rPr>
        <w:t>Introducción</w:t>
      </w:r>
    </w:p>
    <w:p>
      <w:pPr>
        <w:spacing w:line="360" w:lineRule="auto" w:after="160"/>
        <w:jc w:val="both"/>
      </w:pPr>
      <w:r>
        <w:t>El estrés laboral constituye una problemática relevante para la salud y el bienestar de los trabajadores, especialmente en aquellos contextos donde las demandas laborales pueden generar una sobrecarga física, emocional y mental. En el ámbito sanitario, las características propias del trabajo implican una exposición constante a diversas demandas asistenciales, administrativas y relacionales, las cuales pueden influir en la capacidad de los funcionarios para afrontar adecuadamente las situaciones de tensión presentes durante la jornada laboral. Esta situación adquiere especial importancia en la Atención Primaria de Salud (APS), donde los equipos mantienen un contacto permanente con la comunidad y deben responder a una amplia diversidad de necesidades de salud (Ipsos, 2024).</w:t>
      </w:r>
    </w:p>
    <w:p>
      <w:pPr>
        <w:spacing w:line="360" w:lineRule="auto" w:after="160"/>
        <w:jc w:val="both"/>
      </w:pPr>
      <w:r>
        <w:t xml:space="preserve">El presente informe se desarrolla en el marco de la práctica profesional de la asignatura Internado Extrahospitalario de la carrera de Enfermería de la Universidad San Sebastián, realizada en el Centro Comunitario de Salud Familiar (CECOSF) Barrios Bajos. Los CECOSF son establecimientos de baja complejidad que forman parte de la red de APS y dependen de un Centro de Salud Familiar (CESFAM) base; su objetivo es acercar la atención de salud a un sector territorial acotado, con un enfoque de salud familiar y comunitario y con participación activa de la comunidad (Ministerio de Salud [MINSAL], 2013). En este caso, el CECOSF Barrios Bajos depende del </w:t>
      </w:r>
      <w:r>
        <w:rPr>
          <w:highlight w:val="yellow"/>
        </w:rPr>
        <w:t>[CESFAM base]</w:t>
      </w:r>
      <w:r>
        <w:t xml:space="preserve"> y de la administración de salud de la </w:t>
      </w:r>
      <w:r>
        <w:rPr>
          <w:highlight w:val="yellow"/>
        </w:rPr>
        <w:t>[municipalidad / comuna]</w:t>
      </w:r>
      <w:r>
        <w:t xml:space="preserve">, y atiende a la población del sector </w:t>
      </w:r>
      <w:r>
        <w:rPr>
          <w:highlight w:val="yellow"/>
        </w:rPr>
        <w:t>[sector territorial]</w:t>
      </w:r>
      <w:r>
        <w:t>.</w:t>
      </w:r>
    </w:p>
    <w:p>
      <w:pPr>
        <w:spacing w:line="360" w:lineRule="auto" w:after="160"/>
        <w:jc w:val="both"/>
      </w:pPr>
      <w:r>
        <w:t>En este contexto, el personal que se desempeña en los establecimientos de APS puede experimentar situaciones de estrés asociadas a las exigencias propias de su labor, lo que hace necesario promover herramientas que favorezcan su bienestar y permitan desarrollar estrategias de manejo frente a estas situaciones. En el CECOSF Barrios Bajos se aplicó una encuesta dirigida al personal de salud, la cual permitió identificar la presencia de niveles elevados de estrés y la percepción de que existen escasas estrategias de regulación disponibles. Esta información permitió reconocer la necesidad de abordar el manejo del estrés como una temática educativa dirigida a los funcionarios del establecimiento (Anexo 1).</w:t>
      </w:r>
    </w:p>
    <w:p>
      <w:pPr>
        <w:spacing w:line="360" w:lineRule="auto" w:after="160"/>
        <w:jc w:val="both"/>
      </w:pPr>
      <w:r>
        <w:t>A partir de la necesidad identificada, este informe propone una intervención educativa orientada a la implementación de estrategias de autorregulación, con énfasis en la regulación sensorial, como herramienta para favorecer el manejo del estrés laboral. Esta intervención busca entregar al personal conocimientos y herramientas prácticas que puedan ser utilizadas durante su jornada, promoviendo el reconocimiento de las propias necesidades y el desarrollo de estrategias de autocuidado. De esta manera, se pretende contribuir al bienestar de los funcionarios y favorecer la incorporación de estas herramientas para afrontar las demandas de su entorno laboral (Neurodivergent Insights, s. f.).</w:t>
      </w:r>
    </w:p>
    <w:p>
      <w:pPr>
        <w:pStyle w:val="Heading1"/>
        <w:jc w:val="center"/>
      </w:pPr>
      <w:r>
        <w:rPr>
          <w:rFonts w:ascii="Calibri" w:hAnsi="Calibri"/>
          <w:color w:val="1F4E6B"/>
        </w:rPr>
        <w:t>Marco teórico</w:t>
      </w:r>
    </w:p>
    <w:p>
      <w:pPr>
        <w:pStyle w:val="Heading2"/>
        <w:jc w:val="left"/>
      </w:pPr>
      <w:r>
        <w:rPr>
          <w:rFonts w:ascii="Calibri" w:hAnsi="Calibri"/>
          <w:color w:val="1F4E6B"/>
        </w:rPr>
        <w:t>Estrés y estrés laboral</w:t>
      </w:r>
    </w:p>
    <w:p>
      <w:pPr>
        <w:spacing w:line="360" w:lineRule="auto" w:after="160"/>
        <w:jc w:val="both"/>
      </w:pPr>
      <w:r>
        <w:t xml:space="preserve">En Chile, el estrés constituye una problemática relevante para la salud y el bienestar de la población. Según el estudio </w:t>
      </w:r>
      <w:r>
        <w:rPr>
          <w:i/>
        </w:rPr>
        <w:t>World Mental Health Day 2024</w:t>
      </w:r>
      <w:r>
        <w:t>, realizado por Ipsos a partir de 23.500 personas encuestadas en 31 países, un 73 % de los chilenos señaló haberse sentido estresado durante el año, al punto de ver afectada su vida cotidiana, y ese mismo porcentaje manifestó que su nivel de estrés le generó la sensación de no poder afrontar adecuadamente las situaciones. Además, un 54 % declaró haber experimentado un nivel de estrés que le impidió asistir a su trabajo. Estos resultados permiten dimensionar la relevancia del estrés en la población chilena y evidencian que sus efectos pueden trascender el bienestar individual, interfiriendo también en las actividades cotidianas y laborales (Ipsos, 2024).</w:t>
      </w:r>
    </w:p>
    <w:p>
      <w:pPr>
        <w:spacing w:line="360" w:lineRule="auto" w:after="160"/>
        <w:jc w:val="both"/>
      </w:pPr>
      <w:r>
        <w:t>El estrés laboral es una respuesta que se produce cuando las personas se enfrentan a exigencias, demandas o condiciones de trabajo que superan sus recursos y capacidades de afrontamiento. Esta respuesta no depende exclusivamente de las características individuales del trabajador, sino también de las condiciones y de la organización del trabajo, lo que puede generar consecuencias tanto para el bienestar de las personas como para su desempeño laboral. El estrés laboral constituye una problemática relevante dentro de las organizaciones, ya que las condiciones pueden convertirse en factores estresores capaces de afectar la salud y de generar respuestas físicas, psicológicas y conductuales en los trabajadores (Patlán Pérez, 2019).</w:t>
      </w:r>
    </w:p>
    <w:p>
      <w:pPr>
        <w:spacing w:line="360" w:lineRule="auto" w:after="160"/>
        <w:jc w:val="both"/>
      </w:pPr>
      <w:r>
        <w:t>La APS constituye el primer nivel de contacto de las personas, familias y comunidades con el sistema sanitario, y desarrolla acciones orientadas a la promoción de la salud, la prevención de enfermedades, el tratamiento, la rehabilitación y los cuidados a lo largo del curso de vida (MINSAL, 2013). Debido a su cercanía con la comunidad, los equipos se enfrentan diariamente a una amplia diversidad de necesidades de salud, junto con demandas asistenciales, administrativas y organizacionales que pueden representar desafíos para los trabajadores. Un estudio realizado en Chile sobre las condiciones laborales de profesionales de la salud evidenció una importante percepción de riesgos para la salud asociados al trabajo en APS, identificando el estrés laboral como uno de los factores relevantes. Estos antecedentes permiten reconocer la importancia de abordar el estrés en los equipos de atención primaria, promoviendo estrategias que favorezcan el bienestar y el manejo de las demandas propias del entorno laboral (Colegio Médico de Chile, Regional Santiago, 2021).</w:t>
      </w:r>
    </w:p>
    <w:p>
      <w:pPr>
        <w:pStyle w:val="Heading2"/>
        <w:jc w:val="left"/>
      </w:pPr>
      <w:r>
        <w:rPr>
          <w:rFonts w:ascii="Calibri" w:hAnsi="Calibri"/>
          <w:color w:val="1F4E6B"/>
        </w:rPr>
        <w:t>Autocuidado</w:t>
      </w:r>
    </w:p>
    <w:p>
      <w:pPr>
        <w:spacing w:line="360" w:lineRule="auto" w:after="160"/>
        <w:jc w:val="both"/>
      </w:pPr>
      <w:r>
        <w:t>El autocuidado corresponde a las acciones que las personas realizan de forma deliberada, en su propio beneficio, para mantener la vida, la salud y el bienestar (Orem, 2001). Desde la teoría del déficit de autocuidado de Dorothea Orem, la enfermería cumple un rol educativo de apoyo cuando la persona requiere desarrollar conocimientos y habilidades para cuidar de sí misma, lo que sustenta la pertinencia de una intervención educativa dirigida a los funcionarios. En el contexto laboral, el autocuidado de los equipos de salud no solo protege la salud del trabajador, sino que también repercute en la calidad y seguridad de la atención entregada a los usuarios.</w:t>
      </w:r>
    </w:p>
    <w:p>
      <w:pPr>
        <w:pStyle w:val="Heading2"/>
        <w:jc w:val="left"/>
      </w:pPr>
      <w:r>
        <w:rPr>
          <w:rFonts w:ascii="Calibri" w:hAnsi="Calibri"/>
          <w:color w:val="1F4E6B"/>
        </w:rPr>
        <w:t>Estrategias de autorregulación frente al estrés</w:t>
      </w:r>
    </w:p>
    <w:p>
      <w:pPr>
        <w:spacing w:line="360" w:lineRule="auto" w:after="160"/>
        <w:jc w:val="both"/>
      </w:pPr>
      <w:r>
        <w:t>Las estrategias de autorregulación son recursos que permiten a la persona modular su nivel de activación fisiológica, sus emociones y su conducta frente a situaciones demandantes. Entre las más utilizadas se encuentran las técnicas de respiración y relajación, las pausas activas, la atención plena (</w:t>
      </w:r>
      <w:r>
        <w:rPr>
          <w:i/>
        </w:rPr>
        <w:t>mindfulness</w:t>
      </w:r>
      <w:r>
        <w:t>), la actividad física, el apoyo social y las estrategias de regulación sensorial. Estas herramientas actúan como recursos complementarios de afrontamiento y se caracterizan por ser de bajo costo, breves y factibles de aplicar durante la jornada laboral, lo que las hace especialmente pertinentes para equipos con alta carga asistencial (Patlán Pérez, 2019).</w:t>
      </w:r>
    </w:p>
    <w:p>
      <w:pPr>
        <w:pStyle w:val="Heading2"/>
        <w:jc w:val="left"/>
      </w:pPr>
      <w:r>
        <w:rPr>
          <w:rFonts w:ascii="Calibri" w:hAnsi="Calibri"/>
          <w:color w:val="1F4E6B"/>
        </w:rPr>
        <w:t>Regulación sensorial</w:t>
      </w:r>
    </w:p>
    <w:p>
      <w:pPr>
        <w:spacing w:line="360" w:lineRule="auto" w:after="160"/>
        <w:jc w:val="both"/>
      </w:pPr>
      <w:r>
        <w:t>Dentro de las estrategias de autorregulación, la regulación sensorial corresponde al proceso mediante el cual el sistema nervioso integra y ajusta la información proveniente de los estímulos sensoriales, permitiendo mantener niveles adecuados de activación, atención y respuesta emocional. Esto constituye una base importante para la autorregulación, dado que las dificultades para procesar o modular los estímulos favorecen estados de sobrecarga y dificultan la regulación de las emociones, la atención y la conducta. En este sentido, las estrategias de regulación sensorial pueden contribuir a generar condiciones que favorezcan la autorregulación y el bienestar, especialmente frente a situaciones de sobrecarga o estrés (Neurodivergent Insights, s. f.).</w:t>
      </w:r>
    </w:p>
    <w:p>
      <w:pPr>
        <w:pStyle w:val="Heading2"/>
        <w:jc w:val="left"/>
      </w:pPr>
      <w:r>
        <w:rPr>
          <w:rFonts w:ascii="Calibri" w:hAnsi="Calibri"/>
          <w:color w:val="1F4E6B"/>
        </w:rPr>
        <w:t>Herramientas de regulación sensorial</w:t>
      </w:r>
    </w:p>
    <w:p>
      <w:pPr>
        <w:spacing w:line="360" w:lineRule="auto" w:after="160"/>
        <w:jc w:val="both"/>
      </w:pPr>
      <w:r>
        <w:t xml:space="preserve">Las herramientas de estimulación sensorial, como los objetos manipulables o juguetes tipo </w:t>
      </w:r>
      <w:r>
        <w:rPr>
          <w:i/>
        </w:rPr>
        <w:t>fidget</w:t>
      </w:r>
      <w:r>
        <w:t>, son una estrategia complementaria para favorecer la autorregulación frente a situaciones de estrés. Su uso proporciona estímulos táctiles y propioceptivos mediante movimientos repetitivos, los cuales favorecen la focalización de la atención y ofrecen una vía de descarga motora ante estados de activación o tensión. En este sentido, se plantea que estas herramientas se relacionan con la respuesta fisiológica frente al estrés como recurso complementario y no como una intervención terapéutica por sí sola (Elahi et al., 2025).</w:t>
      </w:r>
    </w:p>
    <w:p>
      <w:pPr>
        <w:spacing w:line="360" w:lineRule="auto" w:after="160"/>
        <w:jc w:val="both"/>
      </w:pPr>
      <w:r>
        <w:t>La aromaterapia es una herramienta complementaria que utiliza aceites esenciales, principalmente mediante inhalación y aplicación tópica, con el propósito de favorecer el bienestar físico y psicológico. El principal beneficio descrito por la literatura se relaciona con la relajación y el manejo de síntomas de estrés y ansiedad, ya que los compuestos de estos aceites generan respuestas asociadas a la regulación emocional y fisiológica (Caballero-Gallardo et al., 2025).</w:t>
      </w:r>
    </w:p>
    <w:p>
      <w:pPr>
        <w:spacing w:line="360" w:lineRule="auto" w:after="160"/>
        <w:jc w:val="both"/>
      </w:pPr>
      <w:r>
        <w:t>La aromaterapia también se ha estudiado como estrategia complementaria y no farmacológica para el manejo del estrés laboral en profesionales de enfermería. Un ensayo clínico aleatorizado en enfermeras evaluó el efecto de los aromas de rosa y lavanda sobre el estrés laboral y observó una disminución significativa del estrés en los grupos de intervención en comparación con el grupo placebo, lo que sugiere que la aromaterapia puede contribuir como herramienta complementaria para el manejo del estrés laboral (Emadikhalaf et al., 2023).</w:t>
      </w:r>
    </w:p>
    <w:p>
      <w:pPr>
        <w:pStyle w:val="Heading1"/>
        <w:jc w:val="center"/>
      </w:pPr>
      <w:r>
        <w:rPr>
          <w:rFonts w:ascii="Calibri" w:hAnsi="Calibri"/>
          <w:color w:val="1F4E6B"/>
        </w:rPr>
        <w:t>Valoración de la población objetivo</w:t>
      </w:r>
    </w:p>
    <w:p>
      <w:pPr>
        <w:spacing w:line="360" w:lineRule="auto" w:after="160"/>
        <w:jc w:val="both"/>
      </w:pPr>
      <w:r>
        <w:t xml:space="preserve">La población objetivo está constituida por los funcionarios del CECOSF Barrios Bajos, que corresponden a </w:t>
      </w:r>
      <w:r>
        <w:rPr>
          <w:highlight w:val="yellow"/>
        </w:rPr>
        <w:t>[N°]</w:t>
      </w:r>
      <w:r>
        <w:t xml:space="preserve"> personas, adultas en edad laboral, con edades entre </w:t>
      </w:r>
      <w:r>
        <w:rPr>
          <w:highlight w:val="yellow"/>
        </w:rPr>
        <w:t>[XX]</w:t>
      </w:r>
      <w:r>
        <w:t xml:space="preserve"> y </w:t>
      </w:r>
      <w:r>
        <w:rPr>
          <w:highlight w:val="yellow"/>
        </w:rPr>
        <w:t>[XX]</w:t>
      </w:r>
      <w:r>
        <w:t xml:space="preserve"> años y predominantemente de sexo femenino. El equipo está conformado por </w:t>
      </w:r>
      <w:r>
        <w:rPr>
          <w:highlight w:val="yellow"/>
        </w:rPr>
        <w:t>[detallar: ej. N° enfermeras/os, N° técnicos en enfermería (TENS), N° matrón/a, N° administrativos, N° auxiliar de servicio, médico/a con horario parcial, etc.]</w:t>
      </w:r>
      <w:r>
        <w:t>.</w:t>
      </w:r>
    </w:p>
    <w:p>
      <w:pPr>
        <w:spacing w:line="360" w:lineRule="auto" w:after="160"/>
        <w:jc w:val="both"/>
      </w:pPr>
      <w:r>
        <w:t xml:space="preserve">El CECOSF atiende a una población inscrita de aproximadamente </w:t>
      </w:r>
      <w:r>
        <w:rPr>
          <w:highlight w:val="yellow"/>
        </w:rPr>
        <w:t>[N°]</w:t>
      </w:r>
      <w:r>
        <w:t xml:space="preserve"> usuarios del sector </w:t>
      </w:r>
      <w:r>
        <w:rPr>
          <w:highlight w:val="yellow"/>
        </w:rPr>
        <w:t>[sector]</w:t>
      </w:r>
      <w:r>
        <w:t xml:space="preserve">, correspondiente a </w:t>
      </w:r>
      <w:r>
        <w:rPr>
          <w:highlight w:val="yellow"/>
        </w:rPr>
        <w:t>[describir: familias, niños, adultos mayores, usuarios con enfermedades crónicas, etc.]</w:t>
      </w:r>
      <w:r>
        <w:t xml:space="preserve">, con una demanda mensual aproximada de </w:t>
      </w:r>
      <w:r>
        <w:rPr>
          <w:highlight w:val="yellow"/>
        </w:rPr>
        <w:t>[N°]</w:t>
      </w:r>
      <w:r>
        <w:t xml:space="preserve"> atenciones. La relación entre la dotación de funcionarios y la población usuaria es reducida, lo que se traduce en una elevada demanda asistencial para cada funcionario y justifica la necesidad de entregar herramientas de autocuidado al equipo.</w:t>
      </w:r>
    </w:p>
    <w:p>
      <w:pPr>
        <w:spacing w:line="360" w:lineRule="auto" w:after="160"/>
        <w:jc w:val="both"/>
      </w:pPr>
      <w:r>
        <w:t>Además, el CECOSF funciona en una dependencia arrendada que presenta diversas dificultades de infraestructura, entre ellas problemas de ventilación, de electricidad y episodios de filtraciones e inundaciones, condiciones que interfieren en el desarrollo de las actividades laborales y generan un ambiente menos favorable para el desempeño del equipo de salud. A esto se suma que el establecimiento se encuentra a la espera de la construcción de un nuevo CESFAM, por lo que los funcionarios trabajan en un espacio físico que no responde completamente a las necesidades de atención de la población. Estas condiciones ambientales y estructurales constituyen factores que incrementan el estrés laboral del equipo, especialmente en un contexto de alta demanda asistencial.</w:t>
      </w:r>
    </w:p>
    <w:p>
      <w:pPr>
        <w:spacing w:line="360" w:lineRule="auto" w:after="160"/>
        <w:jc w:val="both"/>
      </w:pPr>
      <w:r>
        <w:t>A pesar de estas condiciones, se observa una buena disposición por parte de los funcionarios hacia las instancias de capacitación, lo que constituye un elemento favorable para la implementación de la intervención educativa.</w:t>
      </w:r>
    </w:p>
    <w:p>
      <w:pPr>
        <w:pStyle w:val="Heading2"/>
        <w:jc w:val="left"/>
      </w:pPr>
      <w:r>
        <w:rPr>
          <w:rFonts w:ascii="Calibri" w:hAnsi="Calibri"/>
          <w:color w:val="1F4E6B"/>
        </w:rPr>
        <w:t>Encuesta aplicada</w:t>
      </w:r>
    </w:p>
    <w:p>
      <w:pPr>
        <w:spacing w:line="360" w:lineRule="auto" w:after="160"/>
        <w:jc w:val="both"/>
      </w:pPr>
      <w:r>
        <w:t xml:space="preserve">Para conocer la percepción de estrés y las estrategias de regulación utilizadas, se aplicó una encuesta autoadministrada, anónima y voluntaria, mediante </w:t>
      </w:r>
      <w:r>
        <w:rPr>
          <w:highlight w:val="yellow"/>
        </w:rPr>
        <w:t>[Google Forms / formato papel]</w:t>
      </w:r>
      <w:r>
        <w:t xml:space="preserve">, durante </w:t>
      </w:r>
      <w:r>
        <w:rPr>
          <w:highlight w:val="yellow"/>
        </w:rPr>
        <w:t>[fecha o mes]</w:t>
      </w:r>
      <w:r>
        <w:t xml:space="preserve"> de 2026, a </w:t>
      </w:r>
      <w:r>
        <w:rPr>
          <w:highlight w:val="yellow"/>
        </w:rPr>
        <w:t>[N°]</w:t>
      </w:r>
      <w:r>
        <w:t xml:space="preserve"> funcionarios del CECOSF (</w:t>
      </w:r>
      <w:r>
        <w:rPr>
          <w:highlight w:val="yellow"/>
        </w:rPr>
        <w:t>[N°]</w:t>
      </w:r>
      <w:r>
        <w:t xml:space="preserve"> % de la dotación). El instrumento incluyó </w:t>
      </w:r>
      <w:r>
        <w:rPr>
          <w:highlight w:val="yellow"/>
        </w:rPr>
        <w:t>[N°]</w:t>
      </w:r>
      <w:r>
        <w:t xml:space="preserve"> preguntas cerradas y abiertas sobre percepción de estrés, situaciones que lo generan, síntomas asociados, estrategias de manejo utilizadas e interés en capacitarse. Los principales resultados fueron:</w:t>
      </w:r>
    </w:p>
    <w:tbl>
      <w:tblPr>
        <w:tblStyle w:val="TableGrid"/>
        <w:tblW w:type="auto" w:w="0"/>
        <w:tblLook w:firstColumn="1" w:firstRow="1" w:lastColumn="0" w:lastRow="0" w:noHBand="0" w:noVBand="1" w:val="04A0"/>
      </w:tblPr>
      <w:tblGrid>
        <w:gridCol w:w="4703"/>
        <w:gridCol w:w="4703"/>
      </w:tblGrid>
      <w:tr>
        <w:tc>
          <w:tcPr>
            <w:tcW w:type="dxa" w:w="5669"/>
            <w:shd w:val="clear" w:fill="D9E2F3"/>
          </w:tcPr>
          <w:p>
            <w:r>
              <w:rPr>
                <w:b/>
                <w:sz w:val="20"/>
              </w:rPr>
            </w:r>
            <w:r>
              <w:rPr>
                <w:b/>
                <w:sz w:val="20"/>
              </w:rPr>
              <w:t>Ítem evaluado</w:t>
            </w:r>
          </w:p>
        </w:tc>
        <w:tc>
          <w:tcPr>
            <w:tcW w:type="dxa" w:w="3402"/>
            <w:shd w:val="clear" w:fill="D9E2F3"/>
          </w:tcPr>
          <w:p>
            <w:r>
              <w:rPr>
                <w:b/>
                <w:sz w:val="20"/>
              </w:rPr>
            </w:r>
            <w:r>
              <w:rPr>
                <w:b/>
                <w:sz w:val="20"/>
              </w:rPr>
              <w:t>Resultado</w:t>
            </w:r>
          </w:p>
        </w:tc>
      </w:tr>
      <w:tr>
        <w:tc>
          <w:tcPr>
            <w:tcW w:type="dxa" w:w="5669"/>
          </w:tcPr>
          <w:p>
            <w:r>
              <w:rPr>
                <w:sz w:val="20"/>
              </w:rPr>
            </w:r>
            <w:r>
              <w:rPr>
                <w:sz w:val="20"/>
              </w:rPr>
              <w:t>Agotamiento emocional al finalizar la jornada laboral</w:t>
            </w:r>
          </w:p>
        </w:tc>
        <w:tc>
          <w:tcPr>
            <w:tcW w:type="dxa" w:w="3402"/>
          </w:tcPr>
          <w:p>
            <w:r>
              <w:rPr>
                <w:sz w:val="20"/>
              </w:rPr>
            </w:r>
            <w:r>
              <w:rPr>
                <w:sz w:val="20"/>
              </w:rPr>
              <w:t>87,5 % refiere experimentarlo</w:t>
            </w:r>
          </w:p>
        </w:tc>
      </w:tr>
      <w:tr>
        <w:tc>
          <w:tcPr>
            <w:tcW w:type="dxa" w:w="5669"/>
          </w:tcPr>
          <w:p>
            <w:r>
              <w:rPr>
                <w:sz w:val="20"/>
              </w:rPr>
            </w:r>
            <w:r>
              <w:rPr>
                <w:sz w:val="20"/>
              </w:rPr>
              <w:t>Estrés asociado a la atención de usuarios</w:t>
            </w:r>
          </w:p>
        </w:tc>
        <w:tc>
          <w:tcPr>
            <w:tcW w:type="dxa" w:w="3402"/>
          </w:tcPr>
          <w:p>
            <w:r>
              <w:rPr>
                <w:sz w:val="20"/>
              </w:rPr>
            </w:r>
            <w:r>
              <w:rPr>
                <w:sz w:val="20"/>
                <w:highlight w:val="yellow"/>
              </w:rPr>
              <w:t>[__ %]</w:t>
            </w:r>
          </w:p>
        </w:tc>
      </w:tr>
      <w:tr>
        <w:tc>
          <w:tcPr>
            <w:tcW w:type="dxa" w:w="5669"/>
          </w:tcPr>
          <w:p>
            <w:r>
              <w:rPr>
                <w:sz w:val="20"/>
              </w:rPr>
            </w:r>
            <w:r>
              <w:rPr>
                <w:sz w:val="20"/>
              </w:rPr>
              <w:t>Percepción de que el estrés afecta su calidad de vida</w:t>
            </w:r>
          </w:p>
        </w:tc>
        <w:tc>
          <w:tcPr>
            <w:tcW w:type="dxa" w:w="3402"/>
          </w:tcPr>
          <w:p>
            <w:r>
              <w:rPr>
                <w:sz w:val="20"/>
              </w:rPr>
            </w:r>
            <w:r>
              <w:rPr>
                <w:sz w:val="20"/>
                <w:highlight w:val="yellow"/>
              </w:rPr>
              <w:t>[__ %]</w:t>
            </w:r>
          </w:p>
        </w:tc>
      </w:tr>
      <w:tr>
        <w:tc>
          <w:tcPr>
            <w:tcW w:type="dxa" w:w="5669"/>
          </w:tcPr>
          <w:p>
            <w:r>
              <w:rPr>
                <w:sz w:val="20"/>
              </w:rPr>
            </w:r>
            <w:r>
              <w:rPr>
                <w:sz w:val="20"/>
              </w:rPr>
              <w:t>Conoce o utiliza estrategias de regulación durante la jornada</w:t>
            </w:r>
          </w:p>
        </w:tc>
        <w:tc>
          <w:tcPr>
            <w:tcW w:type="dxa" w:w="3402"/>
          </w:tcPr>
          <w:p>
            <w:r>
              <w:rPr>
                <w:sz w:val="20"/>
              </w:rPr>
            </w:r>
            <w:r>
              <w:rPr>
                <w:sz w:val="20"/>
                <w:highlight w:val="yellow"/>
              </w:rPr>
              <w:t>[__ %]</w:t>
            </w:r>
          </w:p>
        </w:tc>
      </w:tr>
      <w:tr>
        <w:tc>
          <w:tcPr>
            <w:tcW w:type="dxa" w:w="5669"/>
          </w:tcPr>
          <w:p>
            <w:r>
              <w:rPr>
                <w:sz w:val="20"/>
              </w:rPr>
            </w:r>
            <w:r>
              <w:rPr>
                <w:sz w:val="20"/>
              </w:rPr>
              <w:t>Conoce la regulación sensorial / aromaterapia</w:t>
            </w:r>
          </w:p>
        </w:tc>
        <w:tc>
          <w:tcPr>
            <w:tcW w:type="dxa" w:w="3402"/>
          </w:tcPr>
          <w:p>
            <w:r>
              <w:rPr>
                <w:sz w:val="20"/>
              </w:rPr>
            </w:r>
            <w:r>
              <w:rPr>
                <w:sz w:val="20"/>
                <w:highlight w:val="yellow"/>
              </w:rPr>
              <w:t>[__ %]</w:t>
            </w:r>
          </w:p>
        </w:tc>
      </w:tr>
      <w:tr>
        <w:tc>
          <w:tcPr>
            <w:tcW w:type="dxa" w:w="5669"/>
          </w:tcPr>
          <w:p>
            <w:r>
              <w:rPr>
                <w:sz w:val="20"/>
              </w:rPr>
            </w:r>
            <w:r>
              <w:rPr>
                <w:sz w:val="20"/>
              </w:rPr>
              <w:t>Interés en participar en una capacitación sobre el tema</w:t>
            </w:r>
          </w:p>
        </w:tc>
        <w:tc>
          <w:tcPr>
            <w:tcW w:type="dxa" w:w="3402"/>
          </w:tcPr>
          <w:p>
            <w:r>
              <w:rPr>
                <w:sz w:val="20"/>
              </w:rPr>
            </w:r>
            <w:r>
              <w:rPr>
                <w:sz w:val="20"/>
                <w:highlight w:val="yellow"/>
              </w:rPr>
              <w:t>[__ %]</w:t>
            </w:r>
          </w:p>
        </w:tc>
      </w:tr>
    </w:tbl>
    <w:p/>
    <w:p>
      <w:pPr>
        <w:spacing w:line="360" w:lineRule="auto" w:after="160"/>
        <w:jc w:val="both"/>
      </w:pPr>
      <w:r>
        <w:t>Para la valoración de la población se utilizó el modelo PRECEDE-PROCEDE, debido a que permite realizar un diagnóstico en una población amplia, identificar los factores que influyen en la situación de salud y orientar la planificación de intervenciones educativas de acuerdo con sus características y necesidades. En este caso, permitió analizar los factores individuales y ambientales relacionados con los funcionarios del CECOSF Barrios Bajos, con el propósito de identificar los elementos que favorecen o dificultan la incorporación de estrategias de autorregulación.</w:t>
      </w:r>
    </w:p>
    <w:p>
      <w:pPr>
        <w:pStyle w:val="Heading2"/>
        <w:jc w:val="left"/>
      </w:pPr>
      <w:r>
        <w:rPr>
          <w:rFonts w:ascii="Calibri" w:hAnsi="Calibri"/>
          <w:color w:val="1F4E6B"/>
        </w:rPr>
        <w:t>Modelo PRECEDE-PROCEDE</w:t>
      </w:r>
    </w:p>
    <w:p>
      <w:pPr>
        <w:spacing w:line="360" w:lineRule="auto" w:after="160"/>
        <w:jc w:val="both"/>
      </w:pPr>
      <w:r>
        <w:rPr>
          <w:b/>
        </w:rPr>
        <w:t>Conducta por potenciar:</w:t>
      </w:r>
      <w:r>
        <w:t xml:space="preserve"> incorporación de herramientas de autorregulación frente a situaciones de estrés durante la jornada laboral.</w:t>
      </w:r>
    </w:p>
    <w:p>
      <w:pPr>
        <w:spacing w:line="360" w:lineRule="auto" w:after="160"/>
        <w:jc w:val="both"/>
      </w:pPr>
      <w:r>
        <w:rPr>
          <w:b/>
        </w:rPr>
        <w:t>Población diana:</w:t>
      </w:r>
      <w:r>
        <w:t xml:space="preserve"> funcionarios del CECOSF Barrios Bajos.</w:t>
      </w:r>
    </w:p>
    <w:tbl>
      <w:tblPr>
        <w:tblStyle w:val="TableGrid"/>
        <w:tblW w:type="auto" w:w="0"/>
        <w:tblLook w:firstColumn="1" w:firstRow="1" w:lastColumn="0" w:lastRow="0" w:noHBand="0" w:noVBand="1" w:val="04A0"/>
      </w:tblPr>
      <w:tblGrid>
        <w:gridCol w:w="3135"/>
        <w:gridCol w:w="3135"/>
        <w:gridCol w:w="3135"/>
      </w:tblGrid>
      <w:tr>
        <w:tc>
          <w:tcPr>
            <w:tcW w:type="dxa" w:w="1701"/>
            <w:shd w:val="clear" w:fill="D9E2F3"/>
          </w:tcPr>
          <w:p>
            <w:r>
              <w:rPr>
                <w:b/>
                <w:sz w:val="18"/>
              </w:rPr>
            </w:r>
            <w:r>
              <w:rPr>
                <w:b/>
                <w:sz w:val="18"/>
              </w:rPr>
              <w:t>Factores</w:t>
            </w:r>
          </w:p>
        </w:tc>
        <w:tc>
          <w:tcPr>
            <w:tcW w:type="dxa" w:w="3685"/>
            <w:shd w:val="clear" w:fill="D9E2F3"/>
          </w:tcPr>
          <w:p>
            <w:r>
              <w:rPr>
                <w:b/>
                <w:sz w:val="18"/>
              </w:rPr>
            </w:r>
            <w:r>
              <w:rPr>
                <w:b/>
                <w:sz w:val="18"/>
              </w:rPr>
              <w:t>A favor</w:t>
            </w:r>
          </w:p>
        </w:tc>
        <w:tc>
          <w:tcPr>
            <w:tcW w:type="dxa" w:w="3685"/>
            <w:shd w:val="clear" w:fill="D9E2F3"/>
          </w:tcPr>
          <w:p>
            <w:r>
              <w:rPr>
                <w:b/>
                <w:sz w:val="18"/>
              </w:rPr>
            </w:r>
            <w:r>
              <w:rPr>
                <w:b/>
                <w:sz w:val="18"/>
              </w:rPr>
              <w:t>En contra</w:t>
            </w:r>
          </w:p>
        </w:tc>
      </w:tr>
      <w:tr>
        <w:tc>
          <w:tcPr>
            <w:tcW w:type="dxa" w:w="1701"/>
          </w:tcPr>
          <w:p>
            <w:r>
              <w:rPr>
                <w:sz w:val="18"/>
              </w:rPr>
            </w:r>
            <w:r>
              <w:rPr>
                <w:b/>
                <w:sz w:val="18"/>
              </w:rPr>
              <w:t>Predisponentes</w:t>
            </w:r>
          </w:p>
        </w:tc>
        <w:tc>
          <w:tcPr>
            <w:tcW w:type="dxa" w:w="3685"/>
          </w:tcPr>
          <w:p>
            <w:r>
              <w:rPr>
                <w:sz w:val="18"/>
              </w:rPr>
            </w:r>
            <w:r>
              <w:rPr>
                <w:sz w:val="18"/>
              </w:rPr>
              <w:t>- Los funcionarios encuestados refieren experimentar estrés al atender usuarios.</w:t>
            </w:r>
          </w:p>
          <w:p>
            <w:r>
              <w:rPr>
                <w:sz w:val="18"/>
              </w:rPr>
              <w:t>- Existe reconocimiento de la presencia de estrés laboral y sus repercusiones.</w:t>
            </w:r>
          </w:p>
          <w:p>
            <w:r>
              <w:rPr>
                <w:sz w:val="18"/>
              </w:rPr>
              <w:t>- Existe disposición favorable hacia instancias de capacitación.</w:t>
            </w:r>
          </w:p>
          <w:p>
            <w:r>
              <w:rPr>
                <w:sz w:val="18"/>
              </w:rPr>
              <w:t>- El personal percibe que el estrés influye en su calidad de vida.</w:t>
            </w:r>
          </w:p>
        </w:tc>
        <w:tc>
          <w:tcPr>
            <w:tcW w:type="dxa" w:w="3685"/>
          </w:tcPr>
          <w:p>
            <w:r>
              <w:rPr>
                <w:sz w:val="18"/>
              </w:rPr>
            </w:r>
            <w:r>
              <w:rPr>
                <w:sz w:val="18"/>
              </w:rPr>
              <w:t>- El estrés puede normalizarse en el contexto laboral.</w:t>
            </w:r>
          </w:p>
          <w:p>
            <w:r>
              <w:rPr>
                <w:sz w:val="18"/>
              </w:rPr>
              <w:t>- Las demandas laborales dificultan el autocuidado.</w:t>
            </w:r>
          </w:p>
          <w:p>
            <w:r>
              <w:rPr>
                <w:sz w:val="18"/>
              </w:rPr>
              <w:t>- Los funcionarios desconocen estrategias de autorregulación, en particular de regulación sensorial y aromaterapia.</w:t>
            </w:r>
          </w:p>
        </w:tc>
      </w:tr>
      <w:tr>
        <w:tc>
          <w:tcPr>
            <w:tcW w:type="dxa" w:w="1701"/>
          </w:tcPr>
          <w:p>
            <w:r>
              <w:rPr>
                <w:sz w:val="18"/>
              </w:rPr>
            </w:r>
            <w:r>
              <w:rPr>
                <w:b/>
                <w:sz w:val="18"/>
              </w:rPr>
              <w:t>Facilitadores</w:t>
            </w:r>
          </w:p>
        </w:tc>
        <w:tc>
          <w:tcPr>
            <w:tcW w:type="dxa" w:w="3685"/>
          </w:tcPr>
          <w:p>
            <w:r>
              <w:rPr>
                <w:sz w:val="18"/>
              </w:rPr>
            </w:r>
            <w:r>
              <w:rPr>
                <w:sz w:val="18"/>
              </w:rPr>
              <w:t>- Existen instancias educativas (reuniones de equipo) para entregar herramientas de manejo del estrés.</w:t>
            </w:r>
          </w:p>
          <w:p>
            <w:r>
              <w:rPr>
                <w:sz w:val="18"/>
              </w:rPr>
              <w:t>- Buena disposición del personal para participar en capacitaciones.</w:t>
            </w:r>
          </w:p>
          <w:p>
            <w:r>
              <w:rPr>
                <w:sz w:val="18"/>
              </w:rPr>
              <w:t>- Las estrategias son de bajo costo y se pueden adaptar al entorno de trabajo.</w:t>
            </w:r>
          </w:p>
        </w:tc>
        <w:tc>
          <w:tcPr>
            <w:tcW w:type="dxa" w:w="3685"/>
          </w:tcPr>
          <w:p>
            <w:r>
              <w:rPr>
                <w:sz w:val="18"/>
              </w:rPr>
            </w:r>
            <w:r>
              <w:rPr>
                <w:sz w:val="18"/>
              </w:rPr>
              <w:t>- Espacio físico reducido en el CECOSF.</w:t>
            </w:r>
          </w:p>
          <w:p>
            <w:r>
              <w:rPr>
                <w:sz w:val="18"/>
              </w:rPr>
              <w:t>- Problemas recurrentes de infraestructura.</w:t>
            </w:r>
          </w:p>
          <w:p>
            <w:r>
              <w:rPr>
                <w:sz w:val="18"/>
              </w:rPr>
              <w:t>- Dotación de funcionarios reducida en relación con la población inscrita.</w:t>
            </w:r>
          </w:p>
          <w:p>
            <w:r>
              <w:rPr>
                <w:sz w:val="18"/>
              </w:rPr>
              <w:t>- Alta carga asistencial que dificulta la implementación de las estrategias.</w:t>
            </w:r>
          </w:p>
        </w:tc>
      </w:tr>
      <w:tr>
        <w:tc>
          <w:tcPr>
            <w:tcW w:type="dxa" w:w="1701"/>
          </w:tcPr>
          <w:p>
            <w:r>
              <w:rPr>
                <w:sz w:val="18"/>
              </w:rPr>
            </w:r>
            <w:r>
              <w:rPr>
                <w:b/>
                <w:sz w:val="18"/>
              </w:rPr>
              <w:t>Reforzantes</w:t>
            </w:r>
          </w:p>
        </w:tc>
        <w:tc>
          <w:tcPr>
            <w:tcW w:type="dxa" w:w="3685"/>
          </w:tcPr>
          <w:p>
            <w:r>
              <w:rPr>
                <w:sz w:val="18"/>
              </w:rPr>
            </w:r>
            <w:r>
              <w:rPr>
                <w:sz w:val="18"/>
              </w:rPr>
              <w:t>- Eventual incorporación de las estrategias como parte del autocuidado.</w:t>
            </w:r>
          </w:p>
          <w:p>
            <w:r>
              <w:rPr>
                <w:sz w:val="18"/>
              </w:rPr>
              <w:t>- La percepción de que el estrés influye en la calidad de vida puede favorecer la valoración de estas herramientas.</w:t>
            </w:r>
          </w:p>
        </w:tc>
        <w:tc>
          <w:tcPr>
            <w:tcW w:type="dxa" w:w="3685"/>
          </w:tcPr>
          <w:p>
            <w:r>
              <w:rPr>
                <w:sz w:val="18"/>
              </w:rPr>
            </w:r>
            <w:r>
              <w:rPr>
                <w:sz w:val="18"/>
              </w:rPr>
              <w:t>- Las demandas asistenciales podrían dificultar la práctica de estas herramientas.</w:t>
            </w:r>
          </w:p>
          <w:p>
            <w:r>
              <w:rPr>
                <w:sz w:val="18"/>
              </w:rPr>
              <w:t>- La ausencia de seguimiento podría dificultar la mantención de la conducta en el tiempo.</w:t>
            </w:r>
          </w:p>
        </w:tc>
      </w:tr>
    </w:tbl>
    <w:p/>
    <w:p>
      <w:pPr>
        <w:pStyle w:val="Heading1"/>
        <w:jc w:val="center"/>
      </w:pPr>
      <w:r>
        <w:rPr>
          <w:rFonts w:ascii="Calibri" w:hAnsi="Calibri"/>
          <w:color w:val="1F4E6B"/>
        </w:rPr>
        <w:t>Detección de las necesidades educativas</w:t>
      </w:r>
    </w:p>
    <w:p>
      <w:pPr>
        <w:spacing w:line="360" w:lineRule="auto" w:after="160"/>
        <w:jc w:val="both"/>
      </w:pPr>
      <w:r>
        <w:t>A partir de la valoración realizada, se pesquisaron las siguientes necesidades educativas:</w:t>
      </w:r>
    </w:p>
    <w:p>
      <w:pPr>
        <w:pStyle w:val="ListNumber"/>
        <w:spacing w:line="312" w:lineRule="auto"/>
        <w:jc w:val="both"/>
      </w:pPr>
      <w:r>
        <w:t>Déficit de conocimiento sobre estrategias de autorregulación frente al estrés laboral, evidenciado en que los funcionarios refieren escasas estrategias de regulación durante la jornada.</w:t>
      </w:r>
    </w:p>
    <w:p>
      <w:pPr>
        <w:pStyle w:val="ListNumber"/>
        <w:spacing w:line="312" w:lineRule="auto"/>
        <w:jc w:val="both"/>
      </w:pPr>
      <w:r>
        <w:t>Desconocimiento de herramientas de regulación sensorial (estimulación táctil y propioceptiva) y de su utilidad como recurso de autocuidado.</w:t>
      </w:r>
    </w:p>
    <w:p>
      <w:pPr>
        <w:pStyle w:val="ListNumber"/>
        <w:spacing w:line="312" w:lineRule="auto"/>
        <w:jc w:val="both"/>
      </w:pPr>
      <w:r>
        <w:t>Desconocimiento de la aromaterapia como estrategia complementaria de bienestar, incluyendo sus usos, formas de aplicación y precauciones.</w:t>
      </w:r>
    </w:p>
    <w:p>
      <w:pPr>
        <w:pStyle w:val="ListNumber"/>
        <w:spacing w:line="312" w:lineRule="auto"/>
        <w:jc w:val="both"/>
      </w:pPr>
      <w:r>
        <w:t>Escasa incorporación de prácticas de autocuidado durante la jornada laboral, asociada a la normalización del estrés y a la alta carga asistencial.</w:t>
      </w:r>
    </w:p>
    <w:p>
      <w:pPr>
        <w:spacing w:line="360" w:lineRule="auto" w:after="160"/>
        <w:jc w:val="both"/>
      </w:pPr>
      <w:r>
        <w:t>Cabe señalar que la dotación reducida de personal, el espacio físico limitado y las condiciones deficientes de infraestructura corresponden a factores condicionantes del estrés identificados en la valoración; sin embargo, no constituyen necesidades educativas, ya que su resolución depende de decisiones administrativas y de gestión que exceden el alcance de una intervención educativa.</w:t>
      </w:r>
    </w:p>
    <w:p>
      <w:pPr>
        <w:pStyle w:val="Heading1"/>
        <w:jc w:val="center"/>
      </w:pPr>
      <w:r>
        <w:rPr>
          <w:rFonts w:ascii="Calibri" w:hAnsi="Calibri"/>
          <w:color w:val="1F4E6B"/>
        </w:rPr>
        <w:t>Matriz decisional</w:t>
      </w:r>
    </w:p>
    <w:p>
      <w:pPr>
        <w:spacing w:line="360" w:lineRule="auto" w:after="160"/>
        <w:jc w:val="both"/>
      </w:pPr>
      <w:r>
        <w:t>Puntaje por criterio: 0 = no cumple; 1 = bajo; 2 = medio; 3 = alto.</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3118"/>
            <w:shd w:val="clear" w:fill="D9E2F3"/>
          </w:tcPr>
          <w:p>
            <w:r>
              <w:rPr>
                <w:b/>
                <w:sz w:val="18"/>
              </w:rPr>
            </w:r>
            <w:r>
              <w:rPr>
                <w:b/>
                <w:sz w:val="18"/>
              </w:rPr>
              <w:t>Necesidad educativa</w:t>
            </w:r>
          </w:p>
        </w:tc>
        <w:tc>
          <w:tcPr>
            <w:tcW w:type="dxa" w:w="1134"/>
            <w:shd w:val="clear" w:fill="D9E2F3"/>
          </w:tcPr>
          <w:p>
            <w:r>
              <w:rPr>
                <w:b/>
                <w:sz w:val="18"/>
              </w:rPr>
            </w:r>
            <w:r>
              <w:rPr>
                <w:b/>
                <w:sz w:val="18"/>
              </w:rPr>
              <w:t>C1 Interés de la población</w:t>
            </w:r>
          </w:p>
        </w:tc>
        <w:tc>
          <w:tcPr>
            <w:tcW w:type="dxa" w:w="1134"/>
            <w:shd w:val="clear" w:fill="D9E2F3"/>
          </w:tcPr>
          <w:p>
            <w:r>
              <w:rPr>
                <w:b/>
                <w:sz w:val="18"/>
              </w:rPr>
            </w:r>
            <w:r>
              <w:rPr>
                <w:b/>
                <w:sz w:val="18"/>
              </w:rPr>
              <w:t>C2 Personas afectadas</w:t>
            </w:r>
          </w:p>
        </w:tc>
        <w:tc>
          <w:tcPr>
            <w:tcW w:type="dxa" w:w="907"/>
            <w:shd w:val="clear" w:fill="D9E2F3"/>
          </w:tcPr>
          <w:p>
            <w:r>
              <w:rPr>
                <w:b/>
                <w:sz w:val="18"/>
              </w:rPr>
            </w:r>
            <w:r>
              <w:rPr>
                <w:b/>
                <w:sz w:val="18"/>
              </w:rPr>
              <w:t>C3 Riesgo</w:t>
            </w:r>
          </w:p>
        </w:tc>
        <w:tc>
          <w:tcPr>
            <w:tcW w:type="dxa" w:w="1247"/>
            <w:shd w:val="clear" w:fill="D9E2F3"/>
          </w:tcPr>
          <w:p>
            <w:r>
              <w:rPr>
                <w:b/>
                <w:sz w:val="18"/>
              </w:rPr>
            </w:r>
            <w:r>
              <w:rPr>
                <w:b/>
                <w:sz w:val="18"/>
              </w:rPr>
              <w:t>C4 Independencia de la solución</w:t>
            </w:r>
          </w:p>
        </w:tc>
        <w:tc>
          <w:tcPr>
            <w:tcW w:type="dxa" w:w="1134"/>
            <w:shd w:val="clear" w:fill="D9E2F3"/>
          </w:tcPr>
          <w:p>
            <w:r>
              <w:rPr>
                <w:b/>
                <w:sz w:val="18"/>
              </w:rPr>
            </w:r>
            <w:r>
              <w:rPr>
                <w:b/>
                <w:sz w:val="18"/>
              </w:rPr>
              <w:t>C5 Recursos a utilizar</w:t>
            </w:r>
          </w:p>
        </w:tc>
        <w:tc>
          <w:tcPr>
            <w:tcW w:type="dxa" w:w="737"/>
            <w:shd w:val="clear" w:fill="D9E2F3"/>
          </w:tcPr>
          <w:p>
            <w:r>
              <w:rPr>
                <w:b/>
                <w:sz w:val="18"/>
              </w:rPr>
            </w:r>
            <w:r>
              <w:rPr>
                <w:b/>
                <w:sz w:val="18"/>
              </w:rPr>
              <w:t>Total</w:t>
            </w:r>
          </w:p>
        </w:tc>
      </w:tr>
      <w:tr>
        <w:tc>
          <w:tcPr>
            <w:tcW w:type="dxa" w:w="3118"/>
          </w:tcPr>
          <w:p>
            <w:r>
              <w:rPr>
                <w:sz w:val="18"/>
              </w:rPr>
            </w:r>
            <w:r>
              <w:rPr>
                <w:sz w:val="18"/>
              </w:rPr>
              <w:t>1. Déficit de conocimiento sobre estrategias de autorregulación frente al estrés laboral</w:t>
            </w:r>
          </w:p>
        </w:tc>
        <w:tc>
          <w:tcPr>
            <w:tcW w:type="dxa" w:w="1134"/>
          </w:tcPr>
          <w:p>
            <w:r>
              <w:rPr>
                <w:sz w:val="18"/>
              </w:rPr>
            </w:r>
            <w:r>
              <w:rPr>
                <w:sz w:val="18"/>
              </w:rPr>
              <w:t>3</w:t>
            </w:r>
          </w:p>
        </w:tc>
        <w:tc>
          <w:tcPr>
            <w:tcW w:type="dxa" w:w="1134"/>
          </w:tcPr>
          <w:p>
            <w:r>
              <w:rPr>
                <w:sz w:val="18"/>
              </w:rPr>
            </w:r>
            <w:r>
              <w:rPr>
                <w:sz w:val="18"/>
              </w:rPr>
              <w:t>3</w:t>
            </w:r>
          </w:p>
        </w:tc>
        <w:tc>
          <w:tcPr>
            <w:tcW w:type="dxa" w:w="907"/>
          </w:tcPr>
          <w:p>
            <w:r>
              <w:rPr>
                <w:sz w:val="18"/>
              </w:rPr>
            </w:r>
            <w:r>
              <w:rPr>
                <w:sz w:val="18"/>
              </w:rPr>
              <w:t>3</w:t>
            </w:r>
          </w:p>
        </w:tc>
        <w:tc>
          <w:tcPr>
            <w:tcW w:type="dxa" w:w="1247"/>
          </w:tcPr>
          <w:p>
            <w:r>
              <w:rPr>
                <w:sz w:val="18"/>
              </w:rPr>
            </w:r>
            <w:r>
              <w:rPr>
                <w:sz w:val="18"/>
              </w:rPr>
              <w:t>3</w:t>
            </w:r>
          </w:p>
        </w:tc>
        <w:tc>
          <w:tcPr>
            <w:tcW w:type="dxa" w:w="1134"/>
          </w:tcPr>
          <w:p>
            <w:r>
              <w:rPr>
                <w:sz w:val="18"/>
              </w:rPr>
            </w:r>
            <w:r>
              <w:rPr>
                <w:sz w:val="18"/>
              </w:rPr>
              <w:t>3</w:t>
            </w:r>
          </w:p>
        </w:tc>
        <w:tc>
          <w:tcPr>
            <w:tcW w:type="dxa" w:w="737"/>
          </w:tcPr>
          <w:p>
            <w:r>
              <w:rPr>
                <w:sz w:val="18"/>
              </w:rPr>
            </w:r>
            <w:r>
              <w:rPr>
                <w:sz w:val="18"/>
              </w:rPr>
              <w:t>15</w:t>
            </w:r>
          </w:p>
        </w:tc>
      </w:tr>
      <w:tr>
        <w:tc>
          <w:tcPr>
            <w:tcW w:type="dxa" w:w="3118"/>
          </w:tcPr>
          <w:p>
            <w:r>
              <w:rPr>
                <w:sz w:val="18"/>
              </w:rPr>
            </w:r>
            <w:r>
              <w:rPr>
                <w:sz w:val="18"/>
              </w:rPr>
              <w:t>2. Desconocimiento de herramientas de regulación sensorial</w:t>
            </w:r>
          </w:p>
        </w:tc>
        <w:tc>
          <w:tcPr>
            <w:tcW w:type="dxa" w:w="1134"/>
          </w:tcPr>
          <w:p>
            <w:r>
              <w:rPr>
                <w:sz w:val="18"/>
              </w:rPr>
            </w:r>
            <w:r>
              <w:rPr>
                <w:sz w:val="18"/>
              </w:rPr>
              <w:t>3</w:t>
            </w:r>
          </w:p>
        </w:tc>
        <w:tc>
          <w:tcPr>
            <w:tcW w:type="dxa" w:w="1134"/>
          </w:tcPr>
          <w:p>
            <w:r>
              <w:rPr>
                <w:sz w:val="18"/>
              </w:rPr>
            </w:r>
            <w:r>
              <w:rPr>
                <w:sz w:val="18"/>
              </w:rPr>
              <w:t>3</w:t>
            </w:r>
          </w:p>
        </w:tc>
        <w:tc>
          <w:tcPr>
            <w:tcW w:type="dxa" w:w="907"/>
          </w:tcPr>
          <w:p>
            <w:r>
              <w:rPr>
                <w:sz w:val="18"/>
              </w:rPr>
            </w:r>
            <w:r>
              <w:rPr>
                <w:sz w:val="18"/>
              </w:rPr>
              <w:t>2</w:t>
            </w:r>
          </w:p>
        </w:tc>
        <w:tc>
          <w:tcPr>
            <w:tcW w:type="dxa" w:w="1247"/>
          </w:tcPr>
          <w:p>
            <w:r>
              <w:rPr>
                <w:sz w:val="18"/>
              </w:rPr>
            </w:r>
            <w:r>
              <w:rPr>
                <w:sz w:val="18"/>
              </w:rPr>
              <w:t>3</w:t>
            </w:r>
          </w:p>
        </w:tc>
        <w:tc>
          <w:tcPr>
            <w:tcW w:type="dxa" w:w="1134"/>
          </w:tcPr>
          <w:p>
            <w:r>
              <w:rPr>
                <w:sz w:val="18"/>
              </w:rPr>
            </w:r>
            <w:r>
              <w:rPr>
                <w:sz w:val="18"/>
              </w:rPr>
              <w:t>3</w:t>
            </w:r>
          </w:p>
        </w:tc>
        <w:tc>
          <w:tcPr>
            <w:tcW w:type="dxa" w:w="737"/>
          </w:tcPr>
          <w:p>
            <w:r>
              <w:rPr>
                <w:sz w:val="18"/>
              </w:rPr>
            </w:r>
            <w:r>
              <w:rPr>
                <w:sz w:val="18"/>
              </w:rPr>
              <w:t>14</w:t>
            </w:r>
          </w:p>
        </w:tc>
      </w:tr>
      <w:tr>
        <w:tc>
          <w:tcPr>
            <w:tcW w:type="dxa" w:w="3118"/>
          </w:tcPr>
          <w:p>
            <w:r>
              <w:rPr>
                <w:sz w:val="18"/>
              </w:rPr>
            </w:r>
            <w:r>
              <w:rPr>
                <w:sz w:val="18"/>
              </w:rPr>
              <w:t>3. Desconocimiento de la aromaterapia como estrategia complementaria</w:t>
            </w:r>
          </w:p>
        </w:tc>
        <w:tc>
          <w:tcPr>
            <w:tcW w:type="dxa" w:w="1134"/>
          </w:tcPr>
          <w:p>
            <w:r>
              <w:rPr>
                <w:sz w:val="18"/>
              </w:rPr>
            </w:r>
            <w:r>
              <w:rPr>
                <w:sz w:val="18"/>
              </w:rPr>
              <w:t>2</w:t>
            </w:r>
          </w:p>
        </w:tc>
        <w:tc>
          <w:tcPr>
            <w:tcW w:type="dxa" w:w="1134"/>
          </w:tcPr>
          <w:p>
            <w:r>
              <w:rPr>
                <w:sz w:val="18"/>
              </w:rPr>
            </w:r>
            <w:r>
              <w:rPr>
                <w:sz w:val="18"/>
              </w:rPr>
              <w:t>3</w:t>
            </w:r>
          </w:p>
        </w:tc>
        <w:tc>
          <w:tcPr>
            <w:tcW w:type="dxa" w:w="907"/>
          </w:tcPr>
          <w:p>
            <w:r>
              <w:rPr>
                <w:sz w:val="18"/>
              </w:rPr>
            </w:r>
            <w:r>
              <w:rPr>
                <w:sz w:val="18"/>
              </w:rPr>
              <w:t>2</w:t>
            </w:r>
          </w:p>
        </w:tc>
        <w:tc>
          <w:tcPr>
            <w:tcW w:type="dxa" w:w="1247"/>
          </w:tcPr>
          <w:p>
            <w:r>
              <w:rPr>
                <w:sz w:val="18"/>
              </w:rPr>
            </w:r>
            <w:r>
              <w:rPr>
                <w:sz w:val="18"/>
              </w:rPr>
              <w:t>3</w:t>
            </w:r>
          </w:p>
        </w:tc>
        <w:tc>
          <w:tcPr>
            <w:tcW w:type="dxa" w:w="1134"/>
          </w:tcPr>
          <w:p>
            <w:r>
              <w:rPr>
                <w:sz w:val="18"/>
              </w:rPr>
            </w:r>
            <w:r>
              <w:rPr>
                <w:sz w:val="18"/>
              </w:rPr>
              <w:t>2</w:t>
            </w:r>
          </w:p>
        </w:tc>
        <w:tc>
          <w:tcPr>
            <w:tcW w:type="dxa" w:w="737"/>
          </w:tcPr>
          <w:p>
            <w:r>
              <w:rPr>
                <w:sz w:val="18"/>
              </w:rPr>
            </w:r>
            <w:r>
              <w:rPr>
                <w:sz w:val="18"/>
              </w:rPr>
              <w:t>12</w:t>
            </w:r>
          </w:p>
        </w:tc>
      </w:tr>
      <w:tr>
        <w:tc>
          <w:tcPr>
            <w:tcW w:type="dxa" w:w="3118"/>
          </w:tcPr>
          <w:p>
            <w:r>
              <w:rPr>
                <w:sz w:val="18"/>
              </w:rPr>
            </w:r>
            <w:r>
              <w:rPr>
                <w:sz w:val="18"/>
              </w:rPr>
              <w:t>4. Escasa incorporación de prácticas de autocuidado en la jornada</w:t>
            </w:r>
          </w:p>
        </w:tc>
        <w:tc>
          <w:tcPr>
            <w:tcW w:type="dxa" w:w="1134"/>
          </w:tcPr>
          <w:p>
            <w:r>
              <w:rPr>
                <w:sz w:val="18"/>
              </w:rPr>
            </w:r>
            <w:r>
              <w:rPr>
                <w:sz w:val="18"/>
              </w:rPr>
              <w:t>3</w:t>
            </w:r>
          </w:p>
        </w:tc>
        <w:tc>
          <w:tcPr>
            <w:tcW w:type="dxa" w:w="1134"/>
          </w:tcPr>
          <w:p>
            <w:r>
              <w:rPr>
                <w:sz w:val="18"/>
              </w:rPr>
            </w:r>
            <w:r>
              <w:rPr>
                <w:sz w:val="18"/>
              </w:rPr>
              <w:t>3</w:t>
            </w:r>
          </w:p>
        </w:tc>
        <w:tc>
          <w:tcPr>
            <w:tcW w:type="dxa" w:w="907"/>
          </w:tcPr>
          <w:p>
            <w:r>
              <w:rPr>
                <w:sz w:val="18"/>
              </w:rPr>
            </w:r>
            <w:r>
              <w:rPr>
                <w:sz w:val="18"/>
              </w:rPr>
              <w:t>2</w:t>
            </w:r>
          </w:p>
        </w:tc>
        <w:tc>
          <w:tcPr>
            <w:tcW w:type="dxa" w:w="1247"/>
          </w:tcPr>
          <w:p>
            <w:r>
              <w:rPr>
                <w:sz w:val="18"/>
              </w:rPr>
            </w:r>
            <w:r>
              <w:rPr>
                <w:sz w:val="18"/>
              </w:rPr>
              <w:t>2</w:t>
            </w:r>
          </w:p>
        </w:tc>
        <w:tc>
          <w:tcPr>
            <w:tcW w:type="dxa" w:w="1134"/>
          </w:tcPr>
          <w:p>
            <w:r>
              <w:rPr>
                <w:sz w:val="18"/>
              </w:rPr>
            </w:r>
            <w:r>
              <w:rPr>
                <w:sz w:val="18"/>
              </w:rPr>
              <w:t>2</w:t>
            </w:r>
          </w:p>
        </w:tc>
        <w:tc>
          <w:tcPr>
            <w:tcW w:type="dxa" w:w="737"/>
          </w:tcPr>
          <w:p>
            <w:r>
              <w:rPr>
                <w:sz w:val="18"/>
              </w:rPr>
            </w:r>
            <w:r>
              <w:rPr>
                <w:sz w:val="18"/>
              </w:rPr>
              <w:t>12</w:t>
            </w:r>
          </w:p>
        </w:tc>
      </w:tr>
    </w:tbl>
    <w:p/>
    <w:p>
      <w:pPr>
        <w:spacing w:line="360" w:lineRule="auto" w:after="160"/>
        <w:jc w:val="both"/>
      </w:pPr>
      <w:r>
        <w:rPr>
          <w:b/>
        </w:rPr>
        <w:t>Justificación:</w:t>
      </w:r>
      <w:r>
        <w:t xml:space="preserve"> la necesidad priorizada corresponde al déficit de conocimiento sobre estrategias de autorregulación para el manejo del estrés durante la jornada laboral en los funcionarios del CECOSF Barrios Bajos. Esta priorización se fundamenta en los resultados de la encuesta aplicada al equipo, en la cual el 87,5 % de los funcionarios manifestó experimentar agotamiento emocional al finalizar la jornada laboral (Anexo 1). Al tratarse de una necesidad que puede abordarse de forma independiente por el equipo de enfermería y con recursos de bajo costo, obtiene el mayor puntaje. Las necesidades 2 y 3 se integran como contenidos específicos de la intervención.</w:t>
      </w:r>
    </w:p>
    <w:p>
      <w:pPr>
        <w:pStyle w:val="Heading1"/>
        <w:jc w:val="center"/>
      </w:pPr>
      <w:r>
        <w:rPr>
          <w:rFonts w:ascii="Calibri" w:hAnsi="Calibri"/>
          <w:color w:val="1F4E6B"/>
        </w:rPr>
        <w:t>Diagnóstico educativo</w:t>
      </w:r>
    </w:p>
    <w:p>
      <w:pPr>
        <w:spacing w:line="360" w:lineRule="auto" w:after="160"/>
        <w:jc w:val="both"/>
      </w:pPr>
      <w:r>
        <w:t>Los funcionarios del CECOSF Barrios Bajos presentan un déficit de conocimiento sobre estrategias de autorregulación para el manejo del estrés durante la jornada laboral, relacionado con el desconocimiento de herramientas de regulación sensorial y aromaterapia y con la alta carga asistencial, manifestado por que el 87,5 % de los funcionarios encuestados refiere agotamiento emocional al finalizar la jornada y reconoce la presencia de estrés durante la atención de usuarios, con posible influencia en la calidad de la atención.</w:t>
      </w:r>
    </w:p>
    <w:p>
      <w:pPr>
        <w:spacing w:line="360" w:lineRule="auto" w:after="160"/>
        <w:jc w:val="both"/>
      </w:pPr>
      <w:r>
        <w:t>Si bien existen factores asociados al contexto laboral, como la dotación reducida, el espacio físico y la infraestructura, la necesidad priorizada corresponde a un aspecto que puede ser abordado mediante la intervención educativa de enfermería. En este contexto, se identifica la necesidad de que los funcionarios adquieran conocimientos y herramientas prácticas de regulación sensorial que puedan utilizar como recurso de autorregulación frente a situaciones de estrés durante su jornada laboral.</w:t>
      </w:r>
    </w:p>
    <w:p>
      <w:pPr>
        <w:pStyle w:val="Heading1"/>
        <w:jc w:val="center"/>
      </w:pPr>
      <w:r>
        <w:rPr>
          <w:rFonts w:ascii="Calibri" w:hAnsi="Calibri"/>
          <w:color w:val="1F4E6B"/>
        </w:rPr>
        <w:t>Necesidad o tema educativo</w:t>
      </w:r>
    </w:p>
    <w:p>
      <w:pPr>
        <w:spacing w:line="360" w:lineRule="auto" w:after="160"/>
        <w:jc w:val="both"/>
      </w:pPr>
      <w:r>
        <w:t>Estrategias de autorregulación para el manejo del estrés durante la jornada laboral en funcionarios del CECOSF Barrios Bajos.</w:t>
      </w:r>
    </w:p>
    <w:p>
      <w:pPr>
        <w:pStyle w:val="Heading1"/>
        <w:jc w:val="center"/>
      </w:pPr>
      <w:r>
        <w:rPr>
          <w:rFonts w:ascii="Calibri" w:hAnsi="Calibri"/>
          <w:color w:val="1F4E6B"/>
        </w:rPr>
        <w:t>Propósito del educador</w:t>
      </w:r>
    </w:p>
    <w:p>
      <w:pPr>
        <w:spacing w:line="360" w:lineRule="auto" w:after="160"/>
        <w:jc w:val="both"/>
      </w:pPr>
      <w:r>
        <w:t>Favorecer el desarrollo de conocimientos y habilidades de los funcionarios del CECOSF Barrios Bajos para el reconocimiento y la utilización de estrategias de regulación sensorial como herramienta de autorregulación frente a situaciones de estrés durante la jornada laboral.</w:t>
      </w:r>
    </w:p>
    <w:p>
      <w:pPr>
        <w:pStyle w:val="Heading1"/>
        <w:jc w:val="center"/>
      </w:pPr>
      <w:r>
        <w:rPr>
          <w:rFonts w:ascii="Calibri" w:hAnsi="Calibri"/>
          <w:color w:val="1F4E6B"/>
        </w:rPr>
        <w:t>Diseño o planificación de la actividad educativa</w:t>
      </w:r>
    </w:p>
    <w:p>
      <w:pPr>
        <w:spacing w:line="360" w:lineRule="auto" w:after="160"/>
        <w:jc w:val="both"/>
      </w:pPr>
      <w:r>
        <w:rPr>
          <w:b/>
        </w:rPr>
        <w:t>Título:</w:t>
      </w:r>
      <w:r>
        <w:t xml:space="preserve"> "Pausa sensorial: herramientas para regular el estrés en tu jornada".</w:t>
      </w:r>
    </w:p>
    <w:p>
      <w:pPr>
        <w:spacing w:line="360" w:lineRule="auto" w:after="160"/>
        <w:jc w:val="both"/>
      </w:pPr>
      <w:r>
        <w:rPr>
          <w:b/>
        </w:rPr>
        <w:t>Objetivo general:</w:t>
      </w:r>
      <w:r>
        <w:t xml:space="preserve"> que los funcionarios del CECOSF Barrios Bajos conozcan estrategias de regulación sensorial como herramienta complementaria de autocuidado para el manejo del estrés laboral, mediante tres sesiones educativas teórico-prácticas realizadas en la sala de reuniones del CECOSF durante </w:t>
      </w:r>
      <w:r>
        <w:rPr>
          <w:highlight w:val="yellow"/>
        </w:rPr>
        <w:t>[mes]</w:t>
      </w:r>
      <w:r>
        <w:t xml:space="preserve"> de 2026.</w:t>
      </w:r>
    </w:p>
    <w:p>
      <w:pPr>
        <w:spacing w:line="360" w:lineRule="auto" w:after="160"/>
        <w:jc w:val="both"/>
      </w:pPr>
      <w:r>
        <w:rPr>
          <w:b/>
        </w:rPr>
        <w:t>Lugar:</w:t>
      </w:r>
      <w:r>
        <w:t xml:space="preserve"> sala de reuniones del CECOSF Barrios Bajos.</w:t>
      </w:r>
    </w:p>
    <w:p>
      <w:pPr>
        <w:spacing w:line="360" w:lineRule="auto" w:after="160"/>
        <w:jc w:val="both"/>
      </w:pPr>
      <w:r>
        <w:rPr>
          <w:b/>
        </w:rPr>
        <w:t>Fechas:</w:t>
      </w:r>
      <w:r>
        <w:t xml:space="preserve"> sesión 1: </w:t>
      </w:r>
      <w:r>
        <w:rPr>
          <w:highlight w:val="yellow"/>
        </w:rPr>
        <w:t>[fecha]</w:t>
      </w:r>
      <w:r>
        <w:t xml:space="preserve">; sesión 2: </w:t>
      </w:r>
      <w:r>
        <w:rPr>
          <w:highlight w:val="yellow"/>
        </w:rPr>
        <w:t>[fecha]</w:t>
      </w:r>
      <w:r>
        <w:t xml:space="preserve">; sesión 3: </w:t>
      </w:r>
      <w:r>
        <w:rPr>
          <w:highlight w:val="yellow"/>
        </w:rPr>
        <w:t>[fecha]</w:t>
      </w:r>
      <w:r>
        <w:t>, en horario de reunión de equipo (</w:t>
      </w:r>
      <w:r>
        <w:rPr>
          <w:highlight w:val="yellow"/>
        </w:rPr>
        <w:t>[hora]</w:t>
      </w:r>
      <w:r>
        <w:t>).</w:t>
      </w:r>
    </w:p>
    <w:p>
      <w:pPr>
        <w:spacing w:line="360" w:lineRule="auto" w:after="160"/>
        <w:jc w:val="both"/>
      </w:pPr>
      <w:r>
        <w:rPr>
          <w:b/>
        </w:rPr>
        <w:t>Recurso humano:</w:t>
      </w:r>
      <w:r>
        <w:t xml:space="preserve"> interna de Enfermería Catalina Pino Moena (educadora responsable); enfermera/o supervisor/a de práctica del CECOSF </w:t>
      </w:r>
      <w:r>
        <w:rPr>
          <w:highlight w:val="yellow"/>
        </w:rPr>
        <w:t>[nombre]</w:t>
      </w:r>
      <w:r>
        <w:t xml:space="preserve"> (apoyo y supervisión); docente guía Lorena Mondaca Pavie.</w:t>
      </w:r>
    </w:p>
    <w:p>
      <w:pPr>
        <w:spacing w:line="360" w:lineRule="auto" w:after="160"/>
        <w:jc w:val="both"/>
      </w:pPr>
      <w:r>
        <w:rPr>
          <w:b/>
        </w:rPr>
        <w:t>Número de sesiones y duración:</w:t>
      </w:r>
      <w:r>
        <w:t xml:space="preserve"> 3 sesiones educativas de 60 minutos cada una (tiempo total: 3 horas).</w:t>
      </w:r>
    </w:p>
    <w:tbl>
      <w:tblPr>
        <w:tblStyle w:val="TableGrid"/>
        <w:tblW w:type="auto" w:w="0"/>
        <w:tblLook w:firstColumn="1" w:firstRow="1" w:lastColumn="0" w:lastRow="0" w:noHBand="0" w:noVBand="1" w:val="04A0"/>
      </w:tblPr>
      <w:tblGrid>
        <w:gridCol w:w="4703"/>
        <w:gridCol w:w="4703"/>
      </w:tblGrid>
      <w:tr>
        <w:tc>
          <w:tcPr>
            <w:tcW w:type="dxa" w:w="4535"/>
            <w:shd w:val="clear" w:fill="D9E2F3"/>
          </w:tcPr>
          <w:p>
            <w:r>
              <w:rPr>
                <w:b/>
                <w:sz w:val="20"/>
              </w:rPr>
            </w:r>
            <w:r>
              <w:rPr>
                <w:b/>
                <w:sz w:val="20"/>
              </w:rPr>
              <w:t>Momento</w:t>
            </w:r>
          </w:p>
        </w:tc>
        <w:tc>
          <w:tcPr>
            <w:tcW w:type="dxa" w:w="3402"/>
            <w:shd w:val="clear" w:fill="D9E2F3"/>
          </w:tcPr>
          <w:p>
            <w:r>
              <w:rPr>
                <w:b/>
                <w:sz w:val="20"/>
              </w:rPr>
            </w:r>
            <w:r>
              <w:rPr>
                <w:b/>
                <w:sz w:val="20"/>
              </w:rPr>
              <w:t>Tiempo por sesión</w:t>
            </w:r>
          </w:p>
        </w:tc>
      </w:tr>
      <w:tr>
        <w:tc>
          <w:tcPr>
            <w:tcW w:type="dxa" w:w="4535"/>
          </w:tcPr>
          <w:p>
            <w:r>
              <w:rPr>
                <w:sz w:val="20"/>
              </w:rPr>
            </w:r>
            <w:r>
              <w:rPr>
                <w:sz w:val="20"/>
              </w:rPr>
              <w:t>Motivación</w:t>
            </w:r>
          </w:p>
        </w:tc>
        <w:tc>
          <w:tcPr>
            <w:tcW w:type="dxa" w:w="3402"/>
          </w:tcPr>
          <w:p>
            <w:r>
              <w:rPr>
                <w:sz w:val="20"/>
              </w:rPr>
            </w:r>
            <w:r>
              <w:rPr>
                <w:sz w:val="20"/>
              </w:rPr>
              <w:t>10 minutos</w:t>
            </w:r>
          </w:p>
        </w:tc>
      </w:tr>
      <w:tr>
        <w:tc>
          <w:tcPr>
            <w:tcW w:type="dxa" w:w="4535"/>
          </w:tcPr>
          <w:p>
            <w:r>
              <w:rPr>
                <w:sz w:val="20"/>
              </w:rPr>
            </w:r>
            <w:r>
              <w:rPr>
                <w:sz w:val="20"/>
              </w:rPr>
              <w:t>Desarrollo</w:t>
            </w:r>
          </w:p>
        </w:tc>
        <w:tc>
          <w:tcPr>
            <w:tcW w:type="dxa" w:w="3402"/>
          </w:tcPr>
          <w:p>
            <w:r>
              <w:rPr>
                <w:sz w:val="20"/>
              </w:rPr>
            </w:r>
            <w:r>
              <w:rPr>
                <w:sz w:val="20"/>
              </w:rPr>
              <w:t>35 minutos</w:t>
            </w:r>
          </w:p>
        </w:tc>
      </w:tr>
      <w:tr>
        <w:tc>
          <w:tcPr>
            <w:tcW w:type="dxa" w:w="4535"/>
          </w:tcPr>
          <w:p>
            <w:r>
              <w:rPr>
                <w:sz w:val="20"/>
              </w:rPr>
            </w:r>
            <w:r>
              <w:rPr>
                <w:sz w:val="20"/>
              </w:rPr>
              <w:t>Evaluación</w:t>
            </w:r>
          </w:p>
        </w:tc>
        <w:tc>
          <w:tcPr>
            <w:tcW w:type="dxa" w:w="3402"/>
          </w:tcPr>
          <w:p>
            <w:r>
              <w:rPr>
                <w:sz w:val="20"/>
              </w:rPr>
            </w:r>
            <w:r>
              <w:rPr>
                <w:sz w:val="20"/>
              </w:rPr>
              <w:t>10 minutos</w:t>
            </w:r>
          </w:p>
        </w:tc>
      </w:tr>
      <w:tr>
        <w:tc>
          <w:tcPr>
            <w:tcW w:type="dxa" w:w="4535"/>
          </w:tcPr>
          <w:p>
            <w:r>
              <w:rPr>
                <w:sz w:val="20"/>
              </w:rPr>
            </w:r>
            <w:r>
              <w:rPr>
                <w:sz w:val="20"/>
              </w:rPr>
              <w:t>Cierre</w:t>
            </w:r>
          </w:p>
        </w:tc>
        <w:tc>
          <w:tcPr>
            <w:tcW w:type="dxa" w:w="3402"/>
          </w:tcPr>
          <w:p>
            <w:r>
              <w:rPr>
                <w:sz w:val="20"/>
              </w:rPr>
            </w:r>
            <w:r>
              <w:rPr>
                <w:sz w:val="20"/>
              </w:rPr>
              <w:t>5 minutos</w:t>
            </w:r>
          </w:p>
        </w:tc>
      </w:tr>
      <w:tr>
        <w:tc>
          <w:tcPr>
            <w:tcW w:type="dxa" w:w="4535"/>
          </w:tcPr>
          <w:p>
            <w:r>
              <w:rPr>
                <w:sz w:val="20"/>
              </w:rPr>
            </w:r>
            <w:r>
              <w:rPr>
                <w:b/>
                <w:sz w:val="20"/>
              </w:rPr>
              <w:t>Total por sesión</w:t>
            </w:r>
          </w:p>
        </w:tc>
        <w:tc>
          <w:tcPr>
            <w:tcW w:type="dxa" w:w="3402"/>
          </w:tcPr>
          <w:p>
            <w:r>
              <w:rPr>
                <w:sz w:val="20"/>
              </w:rPr>
            </w:r>
            <w:r>
              <w:rPr>
                <w:b/>
                <w:sz w:val="20"/>
              </w:rPr>
              <w:t>60 minutos</w:t>
            </w:r>
          </w:p>
        </w:tc>
      </w:tr>
    </w:tbl>
    <w:p/>
    <w:p>
      <w:pPr>
        <w:spacing w:line="360" w:lineRule="auto" w:after="160"/>
        <w:jc w:val="both"/>
      </w:pPr>
      <w:r>
        <w:rPr>
          <w:b/>
        </w:rPr>
        <w:t>Criterio de logro de cada objetivo específico:</w:t>
      </w:r>
      <w:r>
        <w:t xml:space="preserve"> el objetivo se considerará logrado cuando al menos el 70 % de los participantes alcance el indicador definido en la columna de evaluación.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7"/>
            <w:shd w:val="clear" w:fill="D9E2F3"/>
          </w:tcPr>
          <w:p>
            <w:r>
              <w:rPr>
                <w:b/>
                <w:sz w:val="16"/>
              </w:rPr>
            </w:r>
            <w:r>
              <w:rPr>
                <w:b/>
                <w:sz w:val="16"/>
              </w:rPr>
              <w:t>Objetivo específico</w:t>
            </w:r>
          </w:p>
        </w:tc>
        <w:tc>
          <w:tcPr>
            <w:tcW w:type="dxa" w:w="1587"/>
            <w:shd w:val="clear" w:fill="D9E2F3"/>
          </w:tcPr>
          <w:p>
            <w:r>
              <w:rPr>
                <w:b/>
                <w:sz w:val="16"/>
              </w:rPr>
            </w:r>
            <w:r>
              <w:rPr>
                <w:b/>
                <w:sz w:val="16"/>
              </w:rPr>
              <w:t>Contenidos</w:t>
            </w:r>
          </w:p>
        </w:tc>
        <w:tc>
          <w:tcPr>
            <w:tcW w:type="dxa" w:w="1247"/>
            <w:shd w:val="clear" w:fill="D9E2F3"/>
          </w:tcPr>
          <w:p>
            <w:r>
              <w:rPr>
                <w:b/>
                <w:sz w:val="16"/>
              </w:rPr>
            </w:r>
            <w:r>
              <w:rPr>
                <w:b/>
                <w:sz w:val="16"/>
              </w:rPr>
              <w:t>Metodología</w:t>
            </w:r>
          </w:p>
        </w:tc>
        <w:tc>
          <w:tcPr>
            <w:tcW w:type="dxa" w:w="1928"/>
            <w:shd w:val="clear" w:fill="D9E2F3"/>
          </w:tcPr>
          <w:p>
            <w:r>
              <w:rPr>
                <w:b/>
                <w:sz w:val="16"/>
              </w:rPr>
            </w:r>
            <w:r>
              <w:rPr>
                <w:b/>
                <w:sz w:val="16"/>
              </w:rPr>
              <w:t>Actividades</w:t>
            </w:r>
          </w:p>
        </w:tc>
        <w:tc>
          <w:tcPr>
            <w:tcW w:type="dxa" w:w="1474"/>
            <w:shd w:val="clear" w:fill="D9E2F3"/>
          </w:tcPr>
          <w:p>
            <w:r>
              <w:rPr>
                <w:b/>
                <w:sz w:val="16"/>
              </w:rPr>
            </w:r>
            <w:r>
              <w:rPr>
                <w:b/>
                <w:sz w:val="16"/>
              </w:rPr>
              <w:t>Recursos</w:t>
            </w:r>
          </w:p>
        </w:tc>
        <w:tc>
          <w:tcPr>
            <w:tcW w:type="dxa" w:w="1701"/>
            <w:shd w:val="clear" w:fill="D9E2F3"/>
          </w:tcPr>
          <w:p>
            <w:r>
              <w:rPr>
                <w:b/>
                <w:sz w:val="16"/>
              </w:rPr>
            </w:r>
            <w:r>
              <w:rPr>
                <w:b/>
                <w:sz w:val="16"/>
              </w:rPr>
              <w:t>Evaluación</w:t>
            </w:r>
          </w:p>
        </w:tc>
      </w:tr>
      <w:tr>
        <w:tc>
          <w:tcPr>
            <w:tcW w:type="dxa" w:w="1587"/>
          </w:tcPr>
          <w:p>
            <w:r>
              <w:rPr>
                <w:sz w:val="16"/>
              </w:rPr>
            </w:r>
            <w:r>
              <w:rPr>
                <w:b/>
                <w:sz w:val="16"/>
              </w:rPr>
              <w:t>Sesión 1.</w:t>
            </w:r>
            <w:r>
              <w:rPr>
                <w:sz w:val="16"/>
              </w:rPr>
              <w:t xml:space="preserve"> Identificar herramientas de estimulación sensorial y su utilidad como estrategias de autorregulación frente al estrés laboral.</w:t>
            </w:r>
          </w:p>
        </w:tc>
        <w:tc>
          <w:tcPr>
            <w:tcW w:type="dxa" w:w="1587"/>
          </w:tcPr>
          <w:p>
            <w:r>
              <w:rPr>
                <w:sz w:val="16"/>
              </w:rPr>
            </w:r>
            <w:r>
              <w:rPr>
                <w:sz w:val="16"/>
              </w:rPr>
              <w:t>Estrés laboral y autocuidado. Estrategias de autorregulación. Herramientas de regulación sensorial: función de cada elemento, formas de uso, situaciones en que se pueden utilizar y selección según necesidad individual.</w:t>
            </w:r>
          </w:p>
        </w:tc>
        <w:tc>
          <w:tcPr>
            <w:tcW w:type="dxa" w:w="1247"/>
          </w:tcPr>
          <w:p>
            <w:r>
              <w:rPr>
                <w:sz w:val="16"/>
              </w:rPr>
            </w:r>
            <w:r>
              <w:rPr>
                <w:sz w:val="16"/>
              </w:rPr>
              <w:t>Expositiva-participativa y taller práctico.</w:t>
            </w:r>
          </w:p>
        </w:tc>
        <w:tc>
          <w:tcPr>
            <w:tcW w:type="dxa" w:w="1928"/>
          </w:tcPr>
          <w:p>
            <w:r>
              <w:rPr>
                <w:sz w:val="16"/>
              </w:rPr>
            </w:r>
            <w:r>
              <w:rPr>
                <w:sz w:val="16"/>
              </w:rPr>
              <w:t>Motivación: lluvia de ideas "¿Qué hago cuando me estreso en el trabajo?".</w:t>
            </w:r>
          </w:p>
          <w:p>
            <w:r>
              <w:rPr>
                <w:sz w:val="16"/>
              </w:rPr>
              <w:t>Desarrollo: presentación breve de herramientas de regulación sensorial y su finalidad; taller "Creando una herramienta sensorial", en el que cada participante elabora un juguete de regulación sensorial experimentando con texturas, movimientos y materiales.</w:t>
            </w:r>
          </w:p>
        </w:tc>
        <w:tc>
          <w:tcPr>
            <w:tcW w:type="dxa" w:w="1474"/>
          </w:tcPr>
          <w:p>
            <w:r>
              <w:rPr>
                <w:sz w:val="16"/>
              </w:rPr>
            </w:r>
            <w:r>
              <w:rPr>
                <w:sz w:val="16"/>
              </w:rPr>
              <w:t>Humanos: interna de Enfermería, enfermera/o supervisor/a.</w:t>
            </w:r>
          </w:p>
          <w:p>
            <w:r>
              <w:rPr>
                <w:sz w:val="16"/>
              </w:rPr>
              <w:t>Materiales: kit sensorial del CECOSF, presentación PowerPoint, proyector y computador, material de papelería para elaborar la herramienta.</w:t>
            </w:r>
          </w:p>
        </w:tc>
        <w:tc>
          <w:tcPr>
            <w:tcW w:type="dxa" w:w="1701"/>
          </w:tcPr>
          <w:p>
            <w:r>
              <w:rPr>
                <w:sz w:val="16"/>
              </w:rPr>
            </w:r>
            <w:r>
              <w:rPr>
                <w:b/>
                <w:sz w:val="16"/>
              </w:rPr>
              <w:t>Técnica:</w:t>
            </w:r>
            <w:r>
              <w:rPr>
                <w:sz w:val="16"/>
              </w:rPr>
              <w:t xml:space="preserve"> cuestionario de 5 preguntas en Kahoot.</w:t>
            </w:r>
          </w:p>
          <w:p>
            <w:r>
              <w:rPr>
                <w:b/>
                <w:sz w:val="16"/>
              </w:rPr>
              <w:t>Indicador:</w:t>
            </w:r>
            <w:r>
              <w:rPr>
                <w:sz w:val="16"/>
              </w:rPr>
              <w:t xml:space="preserve"> el participante responde correctamente al menos 4 de 5 preguntas (80 %) sobre las herramientas presentadas y su utilidad.</w:t>
            </w:r>
          </w:p>
          <w:p>
            <w:r>
              <w:rPr>
                <w:b/>
                <w:sz w:val="16"/>
              </w:rPr>
              <w:t>Logrado:</w:t>
            </w:r>
            <w:r>
              <w:rPr>
                <w:sz w:val="16"/>
              </w:rPr>
              <w:t xml:space="preserve"> ≥ 70 % de los participantes alcanza el indicador.</w:t>
            </w:r>
          </w:p>
        </w:tc>
      </w:tr>
      <w:tr>
        <w:tc>
          <w:tcPr>
            <w:tcW w:type="dxa" w:w="1587"/>
          </w:tcPr>
          <w:p>
            <w:r>
              <w:rPr>
                <w:sz w:val="16"/>
              </w:rPr>
            </w:r>
            <w:r>
              <w:rPr>
                <w:b/>
                <w:sz w:val="16"/>
              </w:rPr>
              <w:t>Sesión 2.</w:t>
            </w:r>
            <w:r>
              <w:rPr>
                <w:sz w:val="16"/>
              </w:rPr>
              <w:t xml:space="preserve"> Reconocer los principales conceptos, usos y consideraciones básicas de la aromaterapia como estrategia complementaria de bienestar y autocuidado.</w:t>
            </w:r>
          </w:p>
        </w:tc>
        <w:tc>
          <w:tcPr>
            <w:tcW w:type="dxa" w:w="1587"/>
          </w:tcPr>
          <w:p>
            <w:r>
              <w:rPr>
                <w:sz w:val="16"/>
              </w:rPr>
            </w:r>
            <w:r>
              <w:rPr>
                <w:sz w:val="16"/>
              </w:rPr>
              <w:t>Concepto de aromaterapia, clasificación y características de los aromas, formas básicas de utilización, precauciones y contraindicaciones en su uso.</w:t>
            </w:r>
          </w:p>
        </w:tc>
        <w:tc>
          <w:tcPr>
            <w:tcW w:type="dxa" w:w="1247"/>
          </w:tcPr>
          <w:p>
            <w:r>
              <w:rPr>
                <w:sz w:val="16"/>
              </w:rPr>
            </w:r>
            <w:r>
              <w:rPr>
                <w:sz w:val="16"/>
              </w:rPr>
              <w:t>Expositiva-participativa con demostración práctica.</w:t>
            </w:r>
          </w:p>
        </w:tc>
        <w:tc>
          <w:tcPr>
            <w:tcW w:type="dxa" w:w="1928"/>
          </w:tcPr>
          <w:p>
            <w:r>
              <w:rPr>
                <w:sz w:val="16"/>
              </w:rPr>
            </w:r>
            <w:r>
              <w:rPr>
                <w:sz w:val="16"/>
              </w:rPr>
              <w:t>Motivación: dinámica "adivina el aroma" con ojos cerrados.</w:t>
            </w:r>
          </w:p>
          <w:p>
            <w:r>
              <w:rPr>
                <w:sz w:val="16"/>
              </w:rPr>
              <w:t>Desarrollo: actividad "Conociendo la aromaterapia": presentación sobre qué es la aromaterapia, sus usos y clasificaciones; demostración y prueba de aceites esenciales por parte de los participantes.</w:t>
            </w:r>
          </w:p>
        </w:tc>
        <w:tc>
          <w:tcPr>
            <w:tcW w:type="dxa" w:w="1474"/>
          </w:tcPr>
          <w:p>
            <w:r>
              <w:rPr>
                <w:sz w:val="16"/>
              </w:rPr>
            </w:r>
            <w:r>
              <w:rPr>
                <w:sz w:val="16"/>
              </w:rPr>
              <w:t>Humanos: interna de Enfermería, enfermera/o supervisor/a.</w:t>
            </w:r>
          </w:p>
          <w:p>
            <w:r>
              <w:rPr>
                <w:sz w:val="16"/>
              </w:rPr>
              <w:t>Materiales: proyector, presentación PowerPoint, computador, aceites esenciales (lavanda, rosa, menta, cítricos), tiras de papel secante, material visual.</w:t>
            </w:r>
          </w:p>
        </w:tc>
        <w:tc>
          <w:tcPr>
            <w:tcW w:type="dxa" w:w="1701"/>
          </w:tcPr>
          <w:p>
            <w:r>
              <w:rPr>
                <w:sz w:val="16"/>
              </w:rPr>
            </w:r>
            <w:r>
              <w:rPr>
                <w:b/>
                <w:sz w:val="16"/>
              </w:rPr>
              <w:t>Técnica:</w:t>
            </w:r>
            <w:r>
              <w:rPr>
                <w:sz w:val="16"/>
              </w:rPr>
              <w:t xml:space="preserve"> cuestionario de 5 preguntas en Kahoot.</w:t>
            </w:r>
          </w:p>
          <w:p>
            <w:r>
              <w:rPr>
                <w:b/>
                <w:sz w:val="16"/>
              </w:rPr>
              <w:t>Indicador:</w:t>
            </w:r>
            <w:r>
              <w:rPr>
                <w:sz w:val="16"/>
              </w:rPr>
              <w:t xml:space="preserve"> el participante responde correctamente al menos 4 de 5 preguntas sobre usos y precauciones de la aromaterapia.</w:t>
            </w:r>
          </w:p>
          <w:p>
            <w:r>
              <w:rPr>
                <w:b/>
                <w:sz w:val="16"/>
              </w:rPr>
              <w:t>Logrado:</w:t>
            </w:r>
            <w:r>
              <w:rPr>
                <w:sz w:val="16"/>
              </w:rPr>
              <w:t xml:space="preserve"> ≥ 70 % de los participantes alcanza el indicador.</w:t>
            </w:r>
          </w:p>
        </w:tc>
      </w:tr>
      <w:tr>
        <w:tc>
          <w:tcPr>
            <w:tcW w:type="dxa" w:w="1587"/>
          </w:tcPr>
          <w:p>
            <w:r>
              <w:rPr>
                <w:sz w:val="16"/>
              </w:rPr>
            </w:r>
            <w:r>
              <w:rPr>
                <w:b/>
                <w:sz w:val="16"/>
              </w:rPr>
              <w:t>Sesión 3.</w:t>
            </w:r>
            <w:r>
              <w:rPr>
                <w:sz w:val="16"/>
              </w:rPr>
              <w:t xml:space="preserve"> Aplicar los conocimientos adquiridos elaborando una bolsa aromática como herramienta de autorregulación para la jornada laboral.</w:t>
            </w:r>
          </w:p>
        </w:tc>
        <w:tc>
          <w:tcPr>
            <w:tcW w:type="dxa" w:w="1587"/>
          </w:tcPr>
          <w:p>
            <w:r>
              <w:rPr>
                <w:sz w:val="16"/>
              </w:rPr>
            </w:r>
            <w:r>
              <w:rPr>
                <w:sz w:val="16"/>
              </w:rPr>
              <w:t>Elaboración de bolsa aromática: selección de materiales, combinación de aromas, formas de utilización y uso como recurso de autocuidado.</w:t>
            </w:r>
          </w:p>
        </w:tc>
        <w:tc>
          <w:tcPr>
            <w:tcW w:type="dxa" w:w="1247"/>
          </w:tcPr>
          <w:p>
            <w:r>
              <w:rPr>
                <w:sz w:val="16"/>
              </w:rPr>
            </w:r>
            <w:r>
              <w:rPr>
                <w:sz w:val="16"/>
              </w:rPr>
              <w:t>Participativa: taller práctico (demostración y redemostración).</w:t>
            </w:r>
          </w:p>
        </w:tc>
        <w:tc>
          <w:tcPr>
            <w:tcW w:type="dxa" w:w="1928"/>
          </w:tcPr>
          <w:p>
            <w:r>
              <w:rPr>
                <w:sz w:val="16"/>
              </w:rPr>
            </w:r>
            <w:r>
              <w:rPr>
                <w:sz w:val="16"/>
              </w:rPr>
              <w:t>Motivación: recordatorio de lo aprendido en las sesiones anteriores.</w:t>
            </w:r>
          </w:p>
          <w:p>
            <w:r>
              <w:rPr>
                <w:sz w:val="16"/>
              </w:rPr>
              <w:t>Desarrollo: taller "Creando mi bolsa de aromas": se demuestra el procedimiento y cada participante elabora su bolsa seleccionando materiales y aromas. Cierre: conversación sobre cómo utilizarla como recurso de autocuidado en la jornada laboral.</w:t>
            </w:r>
          </w:p>
        </w:tc>
        <w:tc>
          <w:tcPr>
            <w:tcW w:type="dxa" w:w="1474"/>
          </w:tcPr>
          <w:p>
            <w:r>
              <w:rPr>
                <w:sz w:val="16"/>
              </w:rPr>
            </w:r>
            <w:r>
              <w:rPr>
                <w:sz w:val="16"/>
              </w:rPr>
              <w:t>Humanos: interna de Enfermería, enfermera/o supervisor/a.</w:t>
            </w:r>
          </w:p>
          <w:p>
            <w:r>
              <w:rPr>
                <w:sz w:val="16"/>
              </w:rPr>
              <w:t>Materiales: bolsas de tela, hierbas aromáticas, aceites esenciales, material de papelería.</w:t>
            </w:r>
          </w:p>
        </w:tc>
        <w:tc>
          <w:tcPr>
            <w:tcW w:type="dxa" w:w="1701"/>
          </w:tcPr>
          <w:p>
            <w:r>
              <w:rPr>
                <w:sz w:val="16"/>
              </w:rPr>
            </w:r>
            <w:r>
              <w:rPr>
                <w:b/>
                <w:sz w:val="16"/>
              </w:rPr>
              <w:t>Técnica:</w:t>
            </w:r>
            <w:r>
              <w:rPr>
                <w:sz w:val="16"/>
              </w:rPr>
              <w:t xml:space="preserve"> observación directa con lista de cotejo (Anexo 2).</w:t>
            </w:r>
          </w:p>
          <w:p>
            <w:r>
              <w:rPr>
                <w:b/>
                <w:sz w:val="16"/>
              </w:rPr>
              <w:t>Indicador:</w:t>
            </w:r>
            <w:r>
              <w:rPr>
                <w:sz w:val="16"/>
              </w:rPr>
              <w:t xml:space="preserve"> el participante elabora la bolsa aromática siguiendo los pasos indicados y verbaliza al menos una situación de su jornada laboral en que la utilizaría.</w:t>
            </w:r>
          </w:p>
          <w:p>
            <w:r>
              <w:rPr>
                <w:b/>
                <w:sz w:val="16"/>
              </w:rPr>
              <w:t>Logrado:</w:t>
            </w:r>
            <w:r>
              <w:rPr>
                <w:sz w:val="16"/>
              </w:rPr>
              <w:t xml:space="preserve"> ≥ 70 % de los participantes alcanza el indicador.</w:t>
            </w:r>
          </w:p>
        </w:tc>
      </w:tr>
    </w:tbl>
    <w:p/>
    <w:p>
      <w:pPr>
        <w:pStyle w:val="Heading1"/>
        <w:jc w:val="center"/>
      </w:pPr>
      <w:r>
        <w:rPr>
          <w:rFonts w:ascii="Calibri" w:hAnsi="Calibri"/>
          <w:color w:val="1F4E6B"/>
        </w:rPr>
        <w:t>Evaluación de proceso</w:t>
      </w:r>
    </w:p>
    <w:p>
      <w:pPr>
        <w:spacing w:line="360" w:lineRule="auto" w:after="160"/>
        <w:jc w:val="both"/>
      </w:pPr>
      <w:r>
        <w:t>La evaluación de proceso permitirá analizar el desarrollo de cada sesión educativa en relación con lo planificado, considerando los siguientes elementos:</w:t>
      </w:r>
    </w:p>
    <w:p>
      <w:pPr>
        <w:pStyle w:val="ListBullet"/>
        <w:spacing w:line="312" w:lineRule="auto"/>
        <w:jc w:val="both"/>
      </w:pPr>
      <w:r>
        <w:rPr>
          <w:b/>
        </w:rPr>
        <w:t>Tiempo:</w:t>
      </w:r>
      <w:r>
        <w:t xml:space="preserve"> cumplimiento de la duración planificada para cada momento de la sesión (motivación, desarrollo, evaluación y cierre) y puntualidad en el inicio y término.</w:t>
      </w:r>
    </w:p>
    <w:p>
      <w:pPr>
        <w:pStyle w:val="ListBullet"/>
        <w:spacing w:line="312" w:lineRule="auto"/>
        <w:jc w:val="both"/>
      </w:pPr>
      <w:r>
        <w:rPr>
          <w:b/>
        </w:rPr>
        <w:t>Recurso humano:</w:t>
      </w:r>
      <w:r>
        <w:t xml:space="preserve"> asistencia y número de funcionarios participantes en cada sesión en relación con la dotación total; participación de la enfermera/o supervisor/a como apoyo.</w:t>
      </w:r>
    </w:p>
    <w:p>
      <w:pPr>
        <w:pStyle w:val="ListBullet"/>
        <w:spacing w:line="312" w:lineRule="auto"/>
        <w:jc w:val="both"/>
      </w:pPr>
      <w:r>
        <w:rPr>
          <w:b/>
        </w:rPr>
        <w:t>Recurso material:</w:t>
      </w:r>
      <w:r>
        <w:t xml:space="preserve"> disponibilidad, suficiencia y funcionamiento de los materiales (kit sensorial, aceites esenciales, bolsas, proyector y computador, conexión a internet para Kahoot).</w:t>
      </w:r>
    </w:p>
    <w:p>
      <w:pPr>
        <w:pStyle w:val="ListBullet"/>
        <w:spacing w:line="312" w:lineRule="auto"/>
        <w:jc w:val="both"/>
      </w:pPr>
      <w:r>
        <w:rPr>
          <w:b/>
        </w:rPr>
        <w:t>Dificultades:</w:t>
      </w:r>
      <w:r>
        <w:t xml:space="preserve"> interrupciones por la demanda asistencial, limitaciones del espacio físico, problemas de infraestructura o eléctricos, inasistencias.</w:t>
      </w:r>
    </w:p>
    <w:p>
      <w:pPr>
        <w:pStyle w:val="ListBullet"/>
        <w:spacing w:line="312" w:lineRule="auto"/>
        <w:jc w:val="both"/>
      </w:pPr>
      <w:r>
        <w:rPr>
          <w:b/>
        </w:rPr>
        <w:t>Factores favorecedores:</w:t>
      </w:r>
      <w:r>
        <w:t xml:space="preserve"> disposición e interés del equipo, apoyo de la jefatura para disponer del horario de reunión, bajo costo y fácil acceso de los materiales.</w:t>
      </w:r>
    </w:p>
    <w:p>
      <w:pPr>
        <w:pStyle w:val="ListBullet"/>
        <w:spacing w:line="312" w:lineRule="auto"/>
        <w:jc w:val="both"/>
      </w:pPr>
      <w:r>
        <w:rPr>
          <w:b/>
        </w:rPr>
        <w:t>Elementos operativos y técnicos:</w:t>
      </w:r>
      <w:r>
        <w:t xml:space="preserve"> claridad de los contenidos, pertinencia de la metodología, comprensión de las instrucciones y resultado de la evaluación de proceso definida para cada objetivo específico.</w:t>
      </w:r>
    </w:p>
    <w:p>
      <w:pPr>
        <w:spacing w:line="360" w:lineRule="auto" w:after="160"/>
        <w:jc w:val="both"/>
      </w:pPr>
      <w:r>
        <w:t>Estos aspectos se registrarán al término de cada sesión en una pauta de observación, lo que permitirá realizar ajustes oportunos en las sesiones siguientes.</w:t>
      </w:r>
    </w:p>
    <w:p>
      <w:pPr>
        <w:pStyle w:val="Heading1"/>
        <w:jc w:val="center"/>
      </w:pPr>
      <w:r>
        <w:rPr>
          <w:rFonts w:ascii="Calibri" w:hAnsi="Calibri"/>
          <w:color w:val="1F4E6B"/>
        </w:rPr>
        <w:t>Evaluación de resultado</w:t>
      </w:r>
    </w:p>
    <w:p>
      <w:pPr>
        <w:spacing w:line="360" w:lineRule="auto" w:after="160"/>
        <w:jc w:val="both"/>
      </w:pPr>
      <w:r>
        <w:t>La evaluación de resultado se realizará en función del cumplimiento de los objetivos específicos y, a partir de ellos, del objetivo general:</w:t>
      </w:r>
    </w:p>
    <w:tbl>
      <w:tblPr>
        <w:tblStyle w:val="TableGrid"/>
        <w:tblW w:type="auto" w:w="0"/>
        <w:tblLook w:firstColumn="1" w:firstRow="1" w:lastColumn="0" w:lastRow="0" w:noHBand="0" w:noVBand="1" w:val="04A0"/>
      </w:tblPr>
      <w:tblGrid>
        <w:gridCol w:w="3135"/>
        <w:gridCol w:w="3135"/>
        <w:gridCol w:w="3135"/>
      </w:tblGrid>
      <w:tr>
        <w:tc>
          <w:tcPr>
            <w:tcW w:type="dxa" w:w="2268"/>
            <w:shd w:val="clear" w:fill="D9E2F3"/>
          </w:tcPr>
          <w:p>
            <w:r>
              <w:rPr>
                <w:b/>
                <w:sz w:val="20"/>
              </w:rPr>
            </w:r>
            <w:r>
              <w:rPr>
                <w:b/>
                <w:sz w:val="20"/>
              </w:rPr>
              <w:t>Objetivo</w:t>
            </w:r>
          </w:p>
        </w:tc>
        <w:tc>
          <w:tcPr>
            <w:tcW w:type="dxa" w:w="4819"/>
            <w:shd w:val="clear" w:fill="D9E2F3"/>
          </w:tcPr>
          <w:p>
            <w:r>
              <w:rPr>
                <w:b/>
                <w:sz w:val="20"/>
              </w:rPr>
            </w:r>
            <w:r>
              <w:rPr>
                <w:b/>
                <w:sz w:val="20"/>
              </w:rPr>
              <w:t>Indicador</w:t>
            </w:r>
          </w:p>
        </w:tc>
        <w:tc>
          <w:tcPr>
            <w:tcW w:type="dxa" w:w="1984"/>
            <w:shd w:val="clear" w:fill="D9E2F3"/>
          </w:tcPr>
          <w:p>
            <w:r>
              <w:rPr>
                <w:b/>
                <w:sz w:val="20"/>
              </w:rPr>
            </w:r>
            <w:r>
              <w:rPr>
                <w:b/>
                <w:sz w:val="20"/>
              </w:rPr>
              <w:t>Criterio de logro</w:t>
            </w:r>
          </w:p>
        </w:tc>
      </w:tr>
      <w:tr>
        <w:tc>
          <w:tcPr>
            <w:tcW w:type="dxa" w:w="2268"/>
          </w:tcPr>
          <w:p>
            <w:r>
              <w:rPr>
                <w:sz w:val="20"/>
              </w:rPr>
            </w:r>
            <w:r>
              <w:rPr>
                <w:sz w:val="20"/>
              </w:rPr>
              <w:t>Objetivo específico 1</w:t>
            </w:r>
          </w:p>
        </w:tc>
        <w:tc>
          <w:tcPr>
            <w:tcW w:type="dxa" w:w="4819"/>
          </w:tcPr>
          <w:p>
            <w:r>
              <w:rPr>
                <w:sz w:val="20"/>
              </w:rPr>
            </w:r>
            <w:r>
              <w:rPr>
                <w:sz w:val="20"/>
              </w:rPr>
              <w:t>% de participantes con ≥ 4/5 respuestas correctas en Kahoot (sesión 1)</w:t>
            </w:r>
          </w:p>
        </w:tc>
        <w:tc>
          <w:tcPr>
            <w:tcW w:type="dxa" w:w="1984"/>
          </w:tcPr>
          <w:p>
            <w:r>
              <w:rPr>
                <w:sz w:val="20"/>
              </w:rPr>
            </w:r>
            <w:r>
              <w:rPr>
                <w:sz w:val="20"/>
              </w:rPr>
              <w:t>≥ 70 %</w:t>
            </w:r>
          </w:p>
        </w:tc>
      </w:tr>
      <w:tr>
        <w:tc>
          <w:tcPr>
            <w:tcW w:type="dxa" w:w="2268"/>
          </w:tcPr>
          <w:p>
            <w:r>
              <w:rPr>
                <w:sz w:val="20"/>
              </w:rPr>
            </w:r>
            <w:r>
              <w:rPr>
                <w:sz w:val="20"/>
              </w:rPr>
              <w:t>Objetivo específico 2</w:t>
            </w:r>
          </w:p>
        </w:tc>
        <w:tc>
          <w:tcPr>
            <w:tcW w:type="dxa" w:w="4819"/>
          </w:tcPr>
          <w:p>
            <w:r>
              <w:rPr>
                <w:sz w:val="20"/>
              </w:rPr>
            </w:r>
            <w:r>
              <w:rPr>
                <w:sz w:val="20"/>
              </w:rPr>
              <w:t>% de participantes con ≥ 4/5 respuestas correctas en Kahoot (sesión 2)</w:t>
            </w:r>
          </w:p>
        </w:tc>
        <w:tc>
          <w:tcPr>
            <w:tcW w:type="dxa" w:w="1984"/>
          </w:tcPr>
          <w:p>
            <w:r>
              <w:rPr>
                <w:sz w:val="20"/>
              </w:rPr>
            </w:r>
            <w:r>
              <w:rPr>
                <w:sz w:val="20"/>
              </w:rPr>
              <w:t>≥ 70 %</w:t>
            </w:r>
          </w:p>
        </w:tc>
      </w:tr>
      <w:tr>
        <w:tc>
          <w:tcPr>
            <w:tcW w:type="dxa" w:w="2268"/>
          </w:tcPr>
          <w:p>
            <w:r>
              <w:rPr>
                <w:sz w:val="20"/>
              </w:rPr>
            </w:r>
            <w:r>
              <w:rPr>
                <w:sz w:val="20"/>
              </w:rPr>
              <w:t>Objetivo específico 3</w:t>
            </w:r>
          </w:p>
        </w:tc>
        <w:tc>
          <w:tcPr>
            <w:tcW w:type="dxa" w:w="4819"/>
          </w:tcPr>
          <w:p>
            <w:r>
              <w:rPr>
                <w:sz w:val="20"/>
              </w:rPr>
            </w:r>
            <w:r>
              <w:rPr>
                <w:sz w:val="20"/>
              </w:rPr>
              <w:t>% de participantes que elaboran la bolsa aromática y verbalizan una situación de uso</w:t>
            </w:r>
          </w:p>
        </w:tc>
        <w:tc>
          <w:tcPr>
            <w:tcW w:type="dxa" w:w="1984"/>
          </w:tcPr>
          <w:p>
            <w:r>
              <w:rPr>
                <w:sz w:val="20"/>
              </w:rPr>
            </w:r>
            <w:r>
              <w:rPr>
                <w:sz w:val="20"/>
              </w:rPr>
              <w:t>≥ 70 %</w:t>
            </w:r>
          </w:p>
        </w:tc>
      </w:tr>
    </w:tbl>
    <w:p/>
    <w:p>
      <w:pPr>
        <w:spacing w:line="360" w:lineRule="auto" w:after="160"/>
        <w:jc w:val="both"/>
      </w:pPr>
      <w:r>
        <w:rPr>
          <w:b/>
        </w:rPr>
        <w:t>Objetivo general:</w:t>
      </w:r>
    </w:p>
    <w:p>
      <w:pPr>
        <w:pStyle w:val="ListBullet"/>
        <w:spacing w:line="312" w:lineRule="auto"/>
        <w:jc w:val="both"/>
      </w:pPr>
      <w:r>
        <w:rPr>
          <w:b/>
        </w:rPr>
        <w:t>Logrado:</w:t>
      </w:r>
      <w:r>
        <w:t xml:space="preserve"> se cumplen los tres objetivos específicos, es decir, los funcionarios conocen estrategias de regulación sensorial y aromaterapia y las reconocen como herramienta complementaria de autocuidado frente al estrés laboral.</w:t>
      </w:r>
    </w:p>
    <w:p>
      <w:pPr>
        <w:pStyle w:val="ListBullet"/>
        <w:spacing w:line="312" w:lineRule="auto"/>
        <w:jc w:val="both"/>
      </w:pPr>
      <w:r>
        <w:rPr>
          <w:b/>
        </w:rPr>
        <w:t>Medianamente logrado:</w:t>
      </w:r>
      <w:r>
        <w:t xml:space="preserve"> se cumplen dos de los tres objetivos específicos.</w:t>
      </w:r>
    </w:p>
    <w:p>
      <w:pPr>
        <w:pStyle w:val="ListBullet"/>
        <w:spacing w:line="312" w:lineRule="auto"/>
        <w:jc w:val="both"/>
      </w:pPr>
      <w:r>
        <w:rPr>
          <w:b/>
        </w:rPr>
        <w:t>No logrado:</w:t>
      </w:r>
      <w:r>
        <w:t xml:space="preserve"> se cumple uno o ninguno de los objetivos específicos.</w:t>
      </w:r>
    </w:p>
    <w:p>
      <w:pPr>
        <w:pStyle w:val="Heading1"/>
        <w:jc w:val="center"/>
      </w:pPr>
      <w:r>
        <w:rPr>
          <w:rFonts w:ascii="Calibri" w:hAnsi="Calibri"/>
          <w:color w:val="1F4E6B"/>
        </w:rPr>
        <w:t>Evaluación de impacto</w:t>
      </w:r>
    </w:p>
    <w:p>
      <w:pPr>
        <w:spacing w:line="360" w:lineRule="auto" w:after="160"/>
        <w:jc w:val="both"/>
      </w:pPr>
      <w:r>
        <w:t>La intervención está orientada a lograr cambios a mediano y largo plazo asociados a la incorporación de las estrategias de regulación sensorial en la rutina laboral de los funcionarios del CECOSF Barrios Bajos. Se espera que la incorporación de estas herramientas contribuya a disminuir el nivel de estrés percibido por el personal y, en consecuencia, favorezca su bienestar y calidad de vida, así como la calidad de la atención entregada a los usuarios.</w:t>
      </w:r>
    </w:p>
    <w:p>
      <w:pPr>
        <w:spacing w:line="360" w:lineRule="auto" w:after="160"/>
        <w:jc w:val="both"/>
      </w:pPr>
      <w:r>
        <w:t>La evaluación de impacto podrá realizarse mediante la reaplicación de la encuesta utilizada inicialmente, entre tres y seis meses después de la intervención, comparando el porcentaje de funcionarios que refiere agotamiento emocional al finalizar la jornada (línea base: 87,5 %) y el porcentaje que declara utilizar al menos una estrategia de autorregulación durante su jornada. No obstante, es importante considerar que el estrés laboral es un fenómeno multifactorial, por lo que la implementación de estas estrategias es complementaria y no un abordaje único para su manejo.</w:t>
      </w:r>
    </w:p>
    <w:p>
      <w:pPr>
        <w:pStyle w:val="Heading1"/>
        <w:jc w:val="center"/>
      </w:pPr>
      <w:r>
        <w:rPr>
          <w:rFonts w:ascii="Calibri" w:hAnsi="Calibri"/>
          <w:color w:val="1F4E6B"/>
        </w:rPr>
        <w:t>Conclusión</w:t>
      </w:r>
    </w:p>
    <w:p>
      <w:pPr>
        <w:spacing w:line="360" w:lineRule="auto" w:after="160"/>
        <w:jc w:val="both"/>
      </w:pPr>
      <w:r>
        <w:t>El estrés laboral en el personal de salud de atención primaria constituye una problemática que, según la evidencia recolectada, puede afectar tanto el bienestar de los funcionarios como la calidad de la atención entregada a la comunidad. El diagnóstico educativo realizado permitió identificar que un porcentaje significativo de los funcionarios experimenta agotamiento emocional al finalizar su jornada, situación que, sumada a las condiciones estructurales y a la dotación reducida de funcionarios, refuerza la necesidad de intervenir. La propuesta educativa, centrada en la incorporación de estrategias de regulación sensorial, incluyendo la estimulación táctil y la aromaterapia, busca entregar a los funcionarios del CECOSF Barrios Bajos conocimientos y herramientas prácticas y de bajo costo, aplicables durante la jornada laboral, favoreciendo así el autocuidado.</w:t>
      </w:r>
    </w:p>
    <w:p>
      <w:pPr>
        <w:spacing w:line="360" w:lineRule="auto" w:after="160"/>
        <w:jc w:val="both"/>
      </w:pPr>
      <w:r>
        <w:t>Cabe destacar que las estrategias presentadas constituyen un apoyo complementario y no una solución única frente al estrés laboral, dado su carácter multifactorial: los factores asociados a la infraestructura y al recurso humano exceden el alcance de esta intervención. No obstante, la buena disposición de los funcionarios hacia las instancias de capacitación constituye un factor favorable para la implementación y mantención de estas herramientas en el tiempo.</w:t>
      </w:r>
    </w:p>
    <w:p>
      <w:pPr>
        <w:spacing w:line="360" w:lineRule="auto" w:after="160"/>
        <w:jc w:val="both"/>
      </w:pPr>
      <w:r>
        <w:t>Finalmente, se espera que la incorporación de estas estrategias contribuya a mediano y largo plazo a disminuir el estrés percibido por el equipo de salud, favoreciendo su bienestar y, con ello, la calidad de la atención brindada a los usuarios del establecimiento.</w:t>
      </w:r>
    </w:p>
    <w:p>
      <w:pPr>
        <w:pStyle w:val="Heading1"/>
        <w:jc w:val="center"/>
      </w:pPr>
      <w:r>
        <w:rPr>
          <w:rFonts w:ascii="Calibri" w:hAnsi="Calibri"/>
          <w:color w:val="1F4E6B"/>
        </w:rPr>
        <w:t>Bibliografía</w:t>
      </w:r>
    </w:p>
    <w:p>
      <w:pPr>
        <w:spacing w:line="360" w:lineRule="auto" w:after="160"/>
        <w:ind w:left="709" w:hanging="709"/>
        <w:jc w:val="left"/>
      </w:pPr>
      <w:r>
        <w:t xml:space="preserve">Caballero-Gallardo, K., Quintero-Rincón, P., &amp; Olivero-Verbel, J. (2025). Aromatherapy and essential oils: Holistic strategies in complementary and alternative medicine for integral wellbeing. </w:t>
      </w:r>
      <w:r>
        <w:rPr>
          <w:i/>
        </w:rPr>
        <w:t>Plants, 14</w:t>
      </w:r>
      <w:r>
        <w:t>(3), 400. https://doi.org/10.3390/plants14030400</w:t>
      </w:r>
    </w:p>
    <w:p>
      <w:pPr>
        <w:spacing w:line="360" w:lineRule="auto" w:after="160"/>
        <w:ind w:left="709" w:hanging="709"/>
        <w:jc w:val="left"/>
      </w:pPr>
      <w:r>
        <w:t xml:space="preserve">Colegio Médico de Chile, Regional Santiago. (2021). </w:t>
      </w:r>
      <w:r>
        <w:rPr>
          <w:i/>
        </w:rPr>
        <w:t>Perspectiva de los médicos y médicas del área metropolitana sobre las condiciones laborales que afectan su salud física y mental</w:t>
      </w:r>
      <w:r>
        <w:t xml:space="preserve"> [Resumen ejecutivo]. https://www.regionalsantiago.cl/wp-content/uploads/2021/03/Resumen-Ejecutivo-1-1.pdf</w:t>
      </w:r>
    </w:p>
    <w:p>
      <w:pPr>
        <w:spacing w:line="360" w:lineRule="auto" w:after="160"/>
        <w:ind w:left="709" w:hanging="709"/>
        <w:jc w:val="left"/>
      </w:pPr>
      <w:r>
        <w:t xml:space="preserve">Elahi, H., Son, H. M., Calub, C. A., Nasiri, N., Shapiro, D., Isbister, K., Borden, J., Hastings, P. D., Liu, X., &amp; Schweitzer, J. B. (2025). Impact of fidget devices on anxiety and physiological responses in adults with ADHD. </w:t>
      </w:r>
      <w:r>
        <w:rPr>
          <w:i/>
        </w:rPr>
        <w:t>Research in Developmental Disabilities, 158</w:t>
      </w:r>
      <w:r>
        <w:t>, 104944. https://doi.org/10.1016/j.ridd.2025.104944</w:t>
      </w:r>
    </w:p>
    <w:p>
      <w:pPr>
        <w:spacing w:line="360" w:lineRule="auto" w:after="160"/>
        <w:ind w:left="709" w:hanging="709"/>
        <w:jc w:val="left"/>
      </w:pPr>
      <w:r>
        <w:t xml:space="preserve">Emadikhalaf, M., Ghods, A. A., Sotodeh-asl, N., Mirmohamadkhani, M., &amp; Vaismoradi, M. (2023). Effects of rose and lavender scents on nurses' job stress: A randomized controlled trial. </w:t>
      </w:r>
      <w:r>
        <w:rPr>
          <w:i/>
        </w:rPr>
        <w:t>EXPLORE, 19</w:t>
      </w:r>
      <w:r>
        <w:t>(3), 371–375. https://doi.org/10.1016/j.explore.2023.01.002</w:t>
      </w:r>
    </w:p>
    <w:p>
      <w:pPr>
        <w:spacing w:line="360" w:lineRule="auto" w:after="160"/>
        <w:ind w:left="709" w:hanging="709"/>
        <w:jc w:val="left"/>
      </w:pPr>
      <w:r>
        <w:t xml:space="preserve">Ipsos. (2024, 9 de octubre). </w:t>
      </w:r>
      <w:r>
        <w:rPr>
          <w:i/>
        </w:rPr>
        <w:t>Ipsos World Mental Health Day 2024: Global charts</w:t>
      </w:r>
      <w:r>
        <w:t>. https://www.ipsos.com/sites/default/files/ct/news/documents/2024-10/Ipsos%20World%20Mental%20Health%20Day%202024%20Global%20Charts_ESP_Chile%20%281%29.pdf</w:t>
      </w:r>
    </w:p>
    <w:p>
      <w:pPr>
        <w:spacing w:line="360" w:lineRule="auto" w:after="160"/>
        <w:ind w:left="709" w:hanging="709"/>
        <w:jc w:val="left"/>
      </w:pPr>
      <w:r>
        <w:t xml:space="preserve">Ministerio de Salud. (2013). </w:t>
      </w:r>
      <w:r>
        <w:rPr>
          <w:i/>
        </w:rPr>
        <w:t>Orientaciones para la implementación del Modelo de Atención Integral de Salud Familiar y Comunitaria</w:t>
      </w:r>
      <w:r>
        <w:t>. Subsecretaría de Redes Asistenciales.</w:t>
      </w:r>
    </w:p>
    <w:p>
      <w:pPr>
        <w:spacing w:line="360" w:lineRule="auto" w:after="160"/>
        <w:ind w:left="709" w:hanging="709"/>
        <w:jc w:val="left"/>
      </w:pPr>
      <w:r>
        <w:t xml:space="preserve">Neurodivergent Insights. (s. f.). </w:t>
      </w:r>
      <w:r>
        <w:rPr>
          <w:i/>
        </w:rPr>
        <w:t>Sensory regulation and emotional well-being</w:t>
      </w:r>
      <w:r>
        <w:t>. Recuperado el 23 de agosto de 2026, de https://neurodivergentinsights.com/the-power-of-sensory-regulation/</w:t>
      </w:r>
    </w:p>
    <w:p>
      <w:pPr>
        <w:spacing w:line="360" w:lineRule="auto" w:after="160"/>
        <w:ind w:left="709" w:hanging="709"/>
        <w:jc w:val="left"/>
      </w:pPr>
      <w:r>
        <w:t xml:space="preserve">Orem, D. E. (2001). </w:t>
      </w:r>
      <w:r>
        <w:rPr>
          <w:i/>
        </w:rPr>
        <w:t>Nursing: Concepts of practice</w:t>
      </w:r>
      <w:r>
        <w:t xml:space="preserve"> (6.ª ed.). Mosby.</w:t>
      </w:r>
    </w:p>
    <w:p>
      <w:pPr>
        <w:spacing w:line="360" w:lineRule="auto" w:after="160"/>
        <w:ind w:left="709" w:hanging="709"/>
        <w:jc w:val="left"/>
      </w:pPr>
      <w:r>
        <w:t xml:space="preserve">Patlán Pérez, J. (2019). ¿Qué es el estrés laboral y cómo medirlo? </w:t>
      </w:r>
      <w:r>
        <w:rPr>
          <w:i/>
        </w:rPr>
        <w:t>Revista Salud Uninorte, 35</w:t>
      </w:r>
      <w:r>
        <w:t>(1), 156–184. http://www.scielo.org.co/scielo.php?script=sci_abstract&amp;pid=S0120-55522019000100156</w:t>
      </w:r>
    </w:p>
    <w:p>
      <w:r>
        <w:br w:type="page"/>
      </w:r>
    </w:p>
    <w:p>
      <w:pPr>
        <w:pStyle w:val="Heading1"/>
        <w:jc w:val="center"/>
      </w:pPr>
      <w:r>
        <w:rPr>
          <w:rFonts w:ascii="Calibri" w:hAnsi="Calibri"/>
          <w:color w:val="1F4E6B"/>
        </w:rPr>
        <w:t>Anexos</w:t>
      </w:r>
    </w:p>
    <w:p>
      <w:pPr>
        <w:spacing w:line="360" w:lineRule="auto" w:after="160"/>
        <w:jc w:val="both"/>
      </w:pPr>
      <w:r>
        <w:rPr>
          <w:b/>
        </w:rPr>
        <w:t>Anexo 1.</w:t>
      </w:r>
      <w:r>
        <w:t xml:space="preserve"> Resultados de la encuesta aplicada a los funcionarios del CECOSF Barrios Bajos.</w:t>
      </w:r>
    </w:p>
    <w:p>
      <w:pPr>
        <w:spacing w:line="360" w:lineRule="auto" w:after="160"/>
        <w:jc w:val="center"/>
      </w:pPr>
      <w:r>
        <w:rPr>
          <w:highlight w:val="yellow"/>
        </w:rPr>
        <w:t>[Insertar aquí la imagen o captura de los gráficos de resultados de la encuesta (no incluir link)]</w:t>
      </w:r>
    </w:p>
    <w:p>
      <w:pPr>
        <w:spacing w:line="360" w:lineRule="auto" w:after="160"/>
        <w:jc w:val="both"/>
      </w:pPr>
      <w:r>
        <w:rPr>
          <w:b/>
        </w:rPr>
        <w:t>Anexo 2.</w:t>
      </w:r>
      <w:r>
        <w:t xml:space="preserve"> Lista de cotejo para la evaluación de la sesión 3.</w:t>
      </w:r>
    </w:p>
    <w:tbl>
      <w:tblPr>
        <w:tblStyle w:val="TableGrid"/>
        <w:tblW w:type="auto" w:w="0"/>
        <w:tblLook w:firstColumn="1" w:firstRow="1" w:lastColumn="0" w:lastRow="0" w:noHBand="0" w:noVBand="1" w:val="04A0"/>
      </w:tblPr>
      <w:tblGrid>
        <w:gridCol w:w="3135"/>
        <w:gridCol w:w="3135"/>
        <w:gridCol w:w="3135"/>
      </w:tblGrid>
      <w:tr>
        <w:tc>
          <w:tcPr>
            <w:tcW w:type="dxa" w:w="6803"/>
            <w:shd w:val="clear" w:fill="D9E2F3"/>
          </w:tcPr>
          <w:p>
            <w:r>
              <w:rPr>
                <w:b/>
                <w:sz w:val="20"/>
              </w:rPr>
            </w:r>
            <w:r>
              <w:rPr>
                <w:b/>
                <w:sz w:val="20"/>
              </w:rPr>
              <w:t>Criterio</w:t>
            </w:r>
          </w:p>
        </w:tc>
        <w:tc>
          <w:tcPr>
            <w:tcW w:type="dxa" w:w="1134"/>
            <w:shd w:val="clear" w:fill="D9E2F3"/>
          </w:tcPr>
          <w:p>
            <w:r>
              <w:rPr>
                <w:b/>
                <w:sz w:val="20"/>
              </w:rPr>
            </w:r>
            <w:r>
              <w:rPr>
                <w:b/>
                <w:sz w:val="20"/>
              </w:rPr>
              <w:t>Sí</w:t>
            </w:r>
          </w:p>
        </w:tc>
        <w:tc>
          <w:tcPr>
            <w:tcW w:type="dxa" w:w="1134"/>
            <w:shd w:val="clear" w:fill="D9E2F3"/>
          </w:tcPr>
          <w:p>
            <w:r>
              <w:rPr>
                <w:b/>
                <w:sz w:val="20"/>
              </w:rPr>
            </w:r>
            <w:r>
              <w:rPr>
                <w:b/>
                <w:sz w:val="20"/>
              </w:rPr>
              <w:t>No</w:t>
            </w:r>
          </w:p>
        </w:tc>
      </w:tr>
      <w:tr>
        <w:tc>
          <w:tcPr>
            <w:tcW w:type="dxa" w:w="6803"/>
          </w:tcPr>
          <w:p>
            <w:r>
              <w:rPr>
                <w:sz w:val="20"/>
              </w:rPr>
            </w:r>
            <w:r>
              <w:rPr>
                <w:sz w:val="20"/>
              </w:rPr>
              <w:t>Selecciona materiales y aromas de forma adecuada</w:t>
            </w:r>
          </w:p>
        </w:tc>
        <w:tc>
          <w:tcPr>
            <w:tcW w:type="dxa" w:w="1134"/>
          </w:tcPr>
          <w:p>
            <w:r>
              <w:rPr>
                <w:sz w:val="20"/>
              </w:rPr>
            </w:r>
          </w:p>
        </w:tc>
        <w:tc>
          <w:tcPr>
            <w:tcW w:type="dxa" w:w="1134"/>
          </w:tcPr>
          <w:p>
            <w:r>
              <w:rPr>
                <w:sz w:val="20"/>
              </w:rPr>
            </w:r>
          </w:p>
        </w:tc>
      </w:tr>
      <w:tr>
        <w:tc>
          <w:tcPr>
            <w:tcW w:type="dxa" w:w="6803"/>
          </w:tcPr>
          <w:p>
            <w:r>
              <w:rPr>
                <w:sz w:val="20"/>
              </w:rPr>
            </w:r>
            <w:r>
              <w:rPr>
                <w:sz w:val="20"/>
              </w:rPr>
              <w:t>Sigue los pasos de elaboración indicados</w:t>
            </w:r>
          </w:p>
        </w:tc>
        <w:tc>
          <w:tcPr>
            <w:tcW w:type="dxa" w:w="1134"/>
          </w:tcPr>
          <w:p>
            <w:r>
              <w:rPr>
                <w:sz w:val="20"/>
              </w:rPr>
            </w:r>
          </w:p>
        </w:tc>
        <w:tc>
          <w:tcPr>
            <w:tcW w:type="dxa" w:w="1134"/>
          </w:tcPr>
          <w:p>
            <w:r>
              <w:rPr>
                <w:sz w:val="20"/>
              </w:rPr>
            </w:r>
          </w:p>
        </w:tc>
      </w:tr>
      <w:tr>
        <w:tc>
          <w:tcPr>
            <w:tcW w:type="dxa" w:w="6803"/>
          </w:tcPr>
          <w:p>
            <w:r>
              <w:rPr>
                <w:sz w:val="20"/>
              </w:rPr>
            </w:r>
            <w:r>
              <w:rPr>
                <w:sz w:val="20"/>
              </w:rPr>
              <w:t>Respeta las precauciones de uso de los aceites esenciales</w:t>
            </w:r>
          </w:p>
        </w:tc>
        <w:tc>
          <w:tcPr>
            <w:tcW w:type="dxa" w:w="1134"/>
          </w:tcPr>
          <w:p>
            <w:r>
              <w:rPr>
                <w:sz w:val="20"/>
              </w:rPr>
            </w:r>
          </w:p>
        </w:tc>
        <w:tc>
          <w:tcPr>
            <w:tcW w:type="dxa" w:w="1134"/>
          </w:tcPr>
          <w:p>
            <w:r>
              <w:rPr>
                <w:sz w:val="20"/>
              </w:rPr>
            </w:r>
          </w:p>
        </w:tc>
      </w:tr>
      <w:tr>
        <w:tc>
          <w:tcPr>
            <w:tcW w:type="dxa" w:w="6803"/>
          </w:tcPr>
          <w:p>
            <w:r>
              <w:rPr>
                <w:sz w:val="20"/>
              </w:rPr>
            </w:r>
            <w:r>
              <w:rPr>
                <w:sz w:val="20"/>
              </w:rPr>
              <w:t>Verbaliza al menos una situación de su jornada laboral en que utilizaría la bolsa aromática</w:t>
            </w:r>
          </w:p>
        </w:tc>
        <w:tc>
          <w:tcPr>
            <w:tcW w:type="dxa" w:w="1134"/>
          </w:tcPr>
          <w:p>
            <w:r>
              <w:rPr>
                <w:sz w:val="20"/>
              </w:rPr>
            </w:r>
          </w:p>
        </w:tc>
        <w:tc>
          <w:tcPr>
            <w:tcW w:type="dxa" w:w="1134"/>
          </w:tcPr>
          <w:p>
            <w:r>
              <w:rPr>
                <w:sz w:val="20"/>
              </w:rPr>
            </w:r>
          </w:p>
        </w:tc>
      </w:tr>
    </w:tbl>
    <w:p/>
    <w:sectPr w:rsidR="00FC693F" w:rsidRPr="0006063C" w:rsidSect="00034616">
      <w:headerReference w:type="default" r:id="rId9"/>
      <w:footerReference w:type="default" r:id="rId10"/>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620000" cy="631800"/>
          <wp:docPr id="1" name="Picture 1"/>
          <wp:cNvGraphicFramePr>
            <a:graphicFrameLocks noChangeAspect="1"/>
          </wp:cNvGraphicFramePr>
          <a:graphic>
            <a:graphicData uri="http://schemas.openxmlformats.org/drawingml/2006/picture">
              <pic:pic>
                <pic:nvPicPr>
                  <pic:cNvPr id="0" name="logo0_Image1.jpg"/>
                  <pic:cNvPicPr/>
                </pic:nvPicPr>
                <pic:blipFill>
                  <a:blip r:embed="rId1"/>
                  <a:stretch>
                    <a:fillRect/>
                  </a:stretch>
                </pic:blipFill>
                <pic:spPr>
                  <a:xfrm>
                    <a:off x="0" y="0"/>
                    <a:ext cx="1620000" cy="631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