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示例公司标准报告</w:t>
      </w:r>
    </w:p>
    <w:p>
      <w:r>
        <w:t>模板固定封面内容（不会写入正文）</w:t>
      </w:r>
    </w:p>
    <w:p>
      <w:pPr>
        <w:keepNext w:val="0"/>
        <w:spacing w:line="560" w:lineRule="exact" w:before="0" w:after="0"/>
        <w:jc w:val="center"/>
        <w:ind/>
      </w:pPr>
      <w:r>
        <w:rPr>
          <w:rFonts w:ascii="Times New Roman" w:hAnsi="Times New Roman" w:cs="Times New Roman" w:eastAsia="方正小标宋简体"/>
          <w:color w:val="000000"/>
          <w:sz w:val="44"/>
        </w:rPr>
        <w:t>关于模板排版示例项目的报告</w:t>
      </w:r>
    </w:p>
    <w:p>
      <w:pPr>
        <w:keepNext w:val="0"/>
        <w:spacing w:line="560" w:lineRule="exact" w:before="0" w:after="0"/>
        <w:jc w:val="left"/>
        <w:ind/>
      </w:pPr>
      <w:r>
        <w:rPr>
          <w:rFonts w:ascii="Times New Roman" w:hAnsi="Times New Roman" w:cs="Times New Roman" w:eastAsia="仿宋_GB2312"/>
          <w:color w:val="000000"/>
          <w:sz w:val="32"/>
        </w:rPr>
        <w:t>示例项目组：</w:t>
      </w:r>
    </w:p>
    <w:p>
      <w:pPr>
        <w:keepNext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黑体"/>
          <w:b w:val="0"/>
          <w:i w:val="0"/>
          <w:color w:val="000000"/>
          <w:sz w:val="32"/>
        </w:rPr>
        <w:t>一、总体情况</w:t>
      </w:r>
    </w:p>
    <w:p>
      <w:pPr>
        <w:keepNext w:val="0"/>
        <w:spacing w:line="560" w:lineRule="exact" w:before="0" w:after="0"/>
        <w:jc w:val="both"/>
        <w:ind/>
      </w:pPr>
      <w:r>
        <w:rPr>
          <w:rFonts w:ascii="Times New Roman" w:hAnsi="Times New Roman" w:cs="Times New Roman" w:eastAsia="仿宋_GB2312"/>
          <w:color w:val="000000"/>
          <w:sz w:val="32"/>
        </w:rPr>
        <w:t>本示例用于展示模板优先、内容保真的 DOCX 排版流程，所有信息均为虚构。</w:t>
      </w:r>
    </w:p>
    <w:p>
      <w:pPr>
        <w:keepNext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楷体_GB2312"/>
          <w:b w:val="0"/>
          <w:i w:val="0"/>
          <w:color w:val="000000"/>
          <w:sz w:val="32"/>
        </w:rPr>
        <w:t>（一）工作进展。</w:t>
      </w:r>
      <w:r>
        <w:rPr>
          <w:rFonts w:ascii="Times New Roman" w:hAnsi="Times New Roman" w:cs="Times New Roman" w:eastAsia="仿宋_GB2312"/>
          <w:color w:val="000000"/>
          <w:sz w:val="32"/>
        </w:rPr>
        <w:t>项目已完成模板选择与正文核验。</w:t>
      </w:r>
    </w:p>
    <w:p>
      <w:pPr>
        <w:keepNext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仿宋_GB2312"/>
          <w:b/>
          <w:i w:val="0"/>
          <w:color w:val="000000"/>
          <w:sz w:val="32"/>
        </w:rPr>
        <w:t>1. 完成情况</w:t>
      </w:r>
    </w:p>
    <w:tbl>
      <w:tblPr>
        <w:tblW w:type="dxa" w:w="864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  <w:tblLayout w:type="fixed"/>
      </w:tblPr>
      <w:tblGrid>
        <w:gridCol w:w="3627"/>
        <w:gridCol w:w="2880"/>
        <w:gridCol w:w="2133"/>
      </w:tblGrid>
      <w:tr>
        <w:trPr>
          <w:tblHeader/>
        </w:trPr>
        <w:tc>
          <w:tcPr>
            <w:tcW w:type="dxa" w:w="3627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黑体"/>
                <w:b w:val="0"/>
                <w:color w:val="000000"/>
                <w:sz w:val="28"/>
              </w:rPr>
              <w:t>事项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黑体"/>
                <w:b w:val="0"/>
                <w:color w:val="000000"/>
                <w:sz w:val="28"/>
              </w:rPr>
              <w:t>负责人</w:t>
            </w:r>
          </w:p>
        </w:tc>
        <w:tc>
          <w:tcPr>
            <w:tcW w:type="dxa" w:w="2133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黑体"/>
                <w:b w:val="0"/>
                <w:color w:val="000000"/>
                <w:sz w:val="28"/>
              </w:rPr>
              <w:t>状态</w:t>
            </w:r>
          </w:p>
        </w:tc>
      </w:tr>
      <w:tr>
        <w:tc>
          <w:tcPr>
            <w:tcW w:type="dxa" w:w="3627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模板解析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示例甲</w:t>
            </w:r>
          </w:p>
        </w:tc>
        <w:tc>
          <w:tcPr>
            <w:tcW w:type="dxa" w:w="2133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完成</w:t>
            </w:r>
          </w:p>
        </w:tc>
      </w:tr>
      <w:tr>
        <w:tc>
          <w:tcPr>
            <w:tcW w:type="dxa" w:w="3627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正文核验</w:t>
            </w:r>
          </w:p>
        </w:tc>
        <w:tc>
          <w:tcPr>
            <w:tcW w:type="dxa" w:w="5013"/>
            <w:gridSpan w:val="2"/>
            <w:vAlign w:val="center"/>
          </w:tcPr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示例乙</w:t>
            </w:r>
          </w:p>
          <w:p>
            <w:pPr>
              <w:spacing w:line="240" w:lineRule="auto" w:before="0" w:after="0"/>
              <w:jc w:val="center"/>
              <w:ind/>
            </w:pPr>
            <w:r>
              <w:rPr>
                <w:rFonts w:ascii="Times New Roman" w:hAnsi="Times New Roman" w:cs="Times New Roman" w:eastAsia="仿宋_GB2312"/>
                <w:color w:val="000000"/>
                <w:sz w:val="28"/>
              </w:rPr>
              <w:t>完成</w:t>
            </w:r>
          </w:p>
        </w:tc>
      </w:tr>
    </w:tbl>
    <w:p>
      <w:pPr>
        <w:keepNext/>
        <w:spacing w:line="560" w:lineRule="exact" w:before="0" w:after="0"/>
        <w:jc w:val="both"/>
        <w:ind w:firstLineChars="200" w:firstLine="640"/>
      </w:pPr>
      <w:r>
        <w:rPr>
          <w:rFonts w:ascii="Times New Roman" w:hAnsi="Times New Roman" w:cs="Times New Roman" w:eastAsia="黑体"/>
          <w:b w:val="0"/>
          <w:i w:val="0"/>
          <w:color w:val="000000"/>
          <w:sz w:val="32"/>
        </w:rPr>
        <w:t>二、下一步</w:t>
      </w:r>
    </w:p>
    <w:p>
      <w:pPr>
        <w:keepNext w:val="0"/>
        <w:spacing w:line="560" w:lineRule="exact" w:before="0" w:after="0"/>
        <w:jc w:val="both"/>
        <w:ind/>
      </w:pPr>
      <w:r>
        <w:rPr>
          <w:rFonts w:ascii="Times New Roman" w:hAnsi="Times New Roman" w:cs="Times New Roman" w:eastAsia="仿宋_GB2312"/>
          <w:color w:val="000000"/>
          <w:sz w:val="32"/>
        </w:rPr>
        <w:t>由用户明确选择模板后，再生成新文件；原始内容、数字、标点与表格结构保持不变。</w:t>
      </w:r>
    </w:p>
    <w:p>
      <w:pPr>
        <w:ind w:firstLine="0"/>
        <w:jc w:val="center"/>
      </w:pPr>
      <w:r>
        <w:rPr>
          <w:sz w:val="32"/>
        </w:rPr>
        <w:drawing>
          <wp:inline xmlns:a="http://schemas.openxmlformats.org/drawingml/2006/main" xmlns:pic="http://schemas.openxmlformats.org/drawingml/2006/picture">
            <wp:extent cx="320040" cy="164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16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560" w:lineRule="exact" w:before="0" w:after="0"/>
        <w:jc w:val="both"/>
        <w:ind/>
      </w:pPr>
      <w:r>
        <w:rPr>
          <w:rFonts w:ascii="Times New Roman" w:hAnsi="Times New Roman" w:cs="Times New Roman" w:eastAsia="仿宋_GB2312"/>
          <w:color w:val="000000"/>
          <w:sz w:val="32"/>
        </w:rPr>
        <w:t>特此报告。</w:t>
      </w:r>
    </w:p>
    <w:p>
      <w:pPr>
        <w:keepNext/>
        <w:spacing w:line="560" w:lineRule="exact" w:before="600" w:after="0"/>
        <w:jc w:val="right"/>
        <w:ind w:rightChars="200" w:right="640"/>
      </w:pPr>
      <w:r>
        <w:rPr>
          <w:rFonts w:ascii="Times New Roman" w:hAnsi="Times New Roman" w:cs="Times New Roman" w:eastAsia="仿宋_GB2312"/>
          <w:color w:val="000000"/>
          <w:sz w:val="32"/>
        </w:rPr>
        <w:t>鼓翼成长星球示例项目组</w:t>
      </w:r>
    </w:p>
    <w:p>
      <w:pPr>
        <w:keepNext w:val="0"/>
        <w:spacing w:line="560" w:lineRule="exact" w:before="0" w:after="0"/>
        <w:jc w:val="right"/>
        <w:ind w:rightChars="400" w:right="1280"/>
      </w:pPr>
      <w:r>
        <w:rPr>
          <w:rFonts w:ascii="Times New Roman" w:hAnsi="Times New Roman" w:cs="Times New Roman" w:eastAsia="仿宋_GB2312"/>
          <w:color w:val="000000"/>
          <w:sz w:val="32"/>
        </w:rPr>
        <w:t>2026年10月27日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页 · 示例模板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示例公司 · 固定页眉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