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E7" w:rsidRDefault="00965B28" w:rsidP="00DB5B31">
      <w:pPr>
        <w:spacing w:line="240" w:lineRule="auto"/>
        <w:contextualSpacing/>
        <w:rPr>
          <w:sz w:val="28"/>
        </w:rPr>
      </w:pPr>
      <w:r w:rsidRPr="00965B28">
        <w:rPr>
          <w:sz w:val="28"/>
          <w:u w:val="single"/>
        </w:rPr>
        <w:t>Description of the KDD Cup 1999 Data</w:t>
      </w:r>
    </w:p>
    <w:p w:rsidR="003D58C7" w:rsidRDefault="003D58C7" w:rsidP="00DB5B31">
      <w:pPr>
        <w:spacing w:line="240" w:lineRule="auto"/>
        <w:contextualSpacing/>
        <w:rPr>
          <w:sz w:val="24"/>
        </w:rPr>
      </w:pPr>
    </w:p>
    <w:p w:rsidR="00DB5B31" w:rsidRDefault="00DB5B31" w:rsidP="00DB5B31">
      <w:pPr>
        <w:spacing w:line="240" w:lineRule="auto"/>
        <w:contextualSpacing/>
        <w:rPr>
          <w:sz w:val="24"/>
        </w:rPr>
      </w:pPr>
      <w:r w:rsidRPr="00DB5B31">
        <w:rPr>
          <w:sz w:val="24"/>
        </w:rPr>
        <w:t>A connection is a sequence of TCP packets starting and ending at some well-defined times, between which data flows to and from a source IP address to a target IP address under some well-defined</w:t>
      </w:r>
      <w:r>
        <w:rPr>
          <w:sz w:val="24"/>
        </w:rPr>
        <w:t xml:space="preserve"> protocol.</w:t>
      </w:r>
      <w:r w:rsidRPr="00DB5B31">
        <w:rPr>
          <w:sz w:val="24"/>
        </w:rPr>
        <w:t xml:space="preserve"> Each connection is labeled as either normal, or as an attack, with exactly one specific attack type</w:t>
      </w:r>
      <w:r>
        <w:rPr>
          <w:sz w:val="24"/>
        </w:rPr>
        <w:t>.</w:t>
      </w:r>
      <w:r w:rsidR="00B53A21">
        <w:rPr>
          <w:sz w:val="24"/>
        </w:rPr>
        <w:t xml:space="preserve"> </w:t>
      </w:r>
      <w:r>
        <w:rPr>
          <w:sz w:val="24"/>
        </w:rPr>
        <w:t>It is important to note that the testing set includes specific attack types not in the training set.</w:t>
      </w:r>
    </w:p>
    <w:p w:rsidR="00DB5B31" w:rsidRPr="003D58C7" w:rsidRDefault="00DB5B31" w:rsidP="00DB5B31">
      <w:pPr>
        <w:spacing w:line="240" w:lineRule="auto"/>
        <w:contextualSpacing/>
        <w:rPr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5220"/>
        <w:gridCol w:w="2250"/>
      </w:tblGrid>
      <w:tr w:rsidR="00670DBA" w:rsidTr="007D2F31">
        <w:tc>
          <w:tcPr>
            <w:tcW w:w="1885" w:type="dxa"/>
            <w:shd w:val="clear" w:color="auto" w:fill="B4C6E7" w:themeFill="accent1" w:themeFillTint="66"/>
          </w:tcPr>
          <w:p w:rsidR="00670DBA" w:rsidRDefault="00670DBA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Attack Class</w:t>
            </w:r>
          </w:p>
        </w:tc>
        <w:tc>
          <w:tcPr>
            <w:tcW w:w="5220" w:type="dxa"/>
            <w:shd w:val="clear" w:color="auto" w:fill="B4C6E7" w:themeFill="accent1" w:themeFillTint="66"/>
          </w:tcPr>
          <w:p w:rsidR="00670DBA" w:rsidRDefault="00670DBA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:rsidR="00670DBA" w:rsidRDefault="00670DBA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Attack Name</w:t>
            </w:r>
          </w:p>
        </w:tc>
      </w:tr>
      <w:tr w:rsidR="00670DBA" w:rsidTr="007D2F31">
        <w:tc>
          <w:tcPr>
            <w:tcW w:w="1885" w:type="dxa"/>
          </w:tcPr>
          <w:p w:rsidR="00670DBA" w:rsidRDefault="00F822D9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DoS</w:t>
            </w:r>
            <w:proofErr w:type="spellEnd"/>
            <w:r w:rsidR="009C6224">
              <w:rPr>
                <w:sz w:val="24"/>
              </w:rPr>
              <w:t xml:space="preserve"> (Denial-of-service)</w:t>
            </w:r>
          </w:p>
        </w:tc>
        <w:tc>
          <w:tcPr>
            <w:tcW w:w="5220" w:type="dxa"/>
          </w:tcPr>
          <w:p w:rsidR="00670DBA" w:rsidRDefault="00AE33F5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Attack</w:t>
            </w:r>
            <w:r w:rsidR="00E23AC1">
              <w:rPr>
                <w:sz w:val="24"/>
              </w:rPr>
              <w:t xml:space="preserve"> in which attacker makes computing/memory resource</w:t>
            </w:r>
            <w:r w:rsidR="007D2F31">
              <w:rPr>
                <w:sz w:val="24"/>
              </w:rPr>
              <w:t>s</w:t>
            </w:r>
            <w:r w:rsidR="00E23AC1">
              <w:rPr>
                <w:sz w:val="24"/>
              </w:rPr>
              <w:t xml:space="preserve"> too bu</w:t>
            </w:r>
            <w:r w:rsidR="009C6224">
              <w:rPr>
                <w:sz w:val="24"/>
              </w:rPr>
              <w:t>sy to handle legitimate requests</w:t>
            </w:r>
          </w:p>
        </w:tc>
        <w:tc>
          <w:tcPr>
            <w:tcW w:w="2250" w:type="dxa"/>
          </w:tcPr>
          <w:p w:rsidR="00670DBA" w:rsidRDefault="005C66EF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smurf</w:t>
            </w:r>
            <w:proofErr w:type="spellEnd"/>
            <w:r>
              <w:rPr>
                <w:sz w:val="24"/>
              </w:rPr>
              <w:t xml:space="preserve">, pod, teardrop, </w:t>
            </w:r>
            <w:proofErr w:type="spellStart"/>
            <w:r>
              <w:rPr>
                <w:sz w:val="24"/>
              </w:rPr>
              <w:t>neptune</w:t>
            </w:r>
            <w:proofErr w:type="spellEnd"/>
            <w:r>
              <w:rPr>
                <w:sz w:val="24"/>
              </w:rPr>
              <w:t>, b</w:t>
            </w:r>
            <w:r w:rsidR="00670DBA">
              <w:rPr>
                <w:sz w:val="24"/>
              </w:rPr>
              <w:t>ack</w:t>
            </w:r>
          </w:p>
        </w:tc>
      </w:tr>
    </w:tbl>
    <w:p w:rsidR="00670DBA" w:rsidRDefault="00670DBA" w:rsidP="00DB5B31">
      <w:pPr>
        <w:spacing w:line="240" w:lineRule="auto"/>
        <w:contextualSpacing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697"/>
        <w:gridCol w:w="4763"/>
        <w:gridCol w:w="1331"/>
      </w:tblGrid>
      <w:tr w:rsidR="0081379B" w:rsidTr="00584484">
        <w:tc>
          <w:tcPr>
            <w:tcW w:w="559" w:type="dxa"/>
            <w:shd w:val="clear" w:color="auto" w:fill="B4C6E7" w:themeFill="accent1" w:themeFillTint="66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97" w:type="dxa"/>
            <w:shd w:val="clear" w:color="auto" w:fill="B4C6E7" w:themeFill="accent1" w:themeFillTint="66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Feature Name</w:t>
            </w:r>
          </w:p>
        </w:tc>
        <w:tc>
          <w:tcPr>
            <w:tcW w:w="4763" w:type="dxa"/>
            <w:shd w:val="clear" w:color="auto" w:fill="B4C6E7" w:themeFill="accent1" w:themeFillTint="66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31" w:type="dxa"/>
            <w:shd w:val="clear" w:color="auto" w:fill="B4C6E7" w:themeFill="accent1" w:themeFillTint="66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81379B" w:rsidTr="00584484">
        <w:tc>
          <w:tcPr>
            <w:tcW w:w="559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97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4763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Length (number of seconds) of the connection</w:t>
            </w:r>
          </w:p>
        </w:tc>
        <w:tc>
          <w:tcPr>
            <w:tcW w:w="1331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81379B" w:rsidTr="00584484">
        <w:tc>
          <w:tcPr>
            <w:tcW w:w="559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97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protocol_type</w:t>
            </w:r>
            <w:proofErr w:type="spellEnd"/>
          </w:p>
        </w:tc>
        <w:tc>
          <w:tcPr>
            <w:tcW w:w="4763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Type of the protocol (e.g.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udp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331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 w:rsidR="0081379B" w:rsidTr="00584484">
        <w:tc>
          <w:tcPr>
            <w:tcW w:w="559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97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4763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Network service on the destination (e.g. http, telnet)</w:t>
            </w:r>
          </w:p>
        </w:tc>
        <w:tc>
          <w:tcPr>
            <w:tcW w:w="1331" w:type="dxa"/>
          </w:tcPr>
          <w:p w:rsidR="000C30C7" w:rsidRDefault="000C30C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 w:rsidR="0081379B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src_bytes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data bytes from source to destination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81379B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dst_bytes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data bytes from destination to source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hot</w:t>
            </w:r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‘hot’ indicators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num_failed_logins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failed login attempts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logged_in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“1” if successfully logged in; “0” otherwise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num_compromised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‘compromised’ conditions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root_shell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“1” if root shell is obtained, “0” otherwise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su_attempted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“1” if ‘</w:t>
            </w:r>
            <w:proofErr w:type="spellStart"/>
            <w:r>
              <w:rPr>
                <w:sz w:val="24"/>
              </w:rPr>
              <w:t>su</w:t>
            </w:r>
            <w:proofErr w:type="spellEnd"/>
            <w:r>
              <w:rPr>
                <w:sz w:val="24"/>
              </w:rPr>
              <w:t xml:space="preserve"> root’ command attempted; “0” otherwise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num_root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‘root’ access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697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is_guest_login</w:t>
            </w:r>
            <w:proofErr w:type="spellEnd"/>
          </w:p>
        </w:tc>
        <w:tc>
          <w:tcPr>
            <w:tcW w:w="4763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“1” if the login is a ‘guest’ login; “0” otherwise</w:t>
            </w:r>
          </w:p>
        </w:tc>
        <w:tc>
          <w:tcPr>
            <w:tcW w:w="1331" w:type="dxa"/>
          </w:tcPr>
          <w:p w:rsidR="007D2F31" w:rsidRDefault="007D2F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  <w:bookmarkStart w:id="0" w:name="_GoBack"/>
        <w:bookmarkEnd w:id="0"/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connections to the same host as the current connection in the past two seconds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srv_count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Number of connections to the same service as the current connection in the past two seconds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serror_rate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that have the ‘SYN’ error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rerror_rate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that have the ‘REJ’ error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same_srv_rate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to the same service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diff_srv_rate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to different services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dst_host_count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Count of connections having the same destination host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dst_host_srv_count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Count of connections having the same destination host and the same service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dst_host_same_srv_rate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having the same destination host and using the same service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dst_host_diff_srv_rate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% of different services on the current host 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dst_host_srv_serror_rate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to the current host and specified service that have an S0 error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dst_host_srv_rerror_rate</w:t>
            </w:r>
            <w:proofErr w:type="spellEnd"/>
          </w:p>
        </w:tc>
        <w:tc>
          <w:tcPr>
            <w:tcW w:w="4763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% of connections to the current host that have an RST error</w:t>
            </w:r>
          </w:p>
        </w:tc>
        <w:tc>
          <w:tcPr>
            <w:tcW w:w="1331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Continuous</w:t>
            </w:r>
          </w:p>
        </w:tc>
      </w:tr>
      <w:tr w:rsidR="007D2F31" w:rsidTr="00584484">
        <w:tc>
          <w:tcPr>
            <w:tcW w:w="559" w:type="dxa"/>
          </w:tcPr>
          <w:p w:rsidR="007D2F31" w:rsidRDefault="00054687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697" w:type="dxa"/>
          </w:tcPr>
          <w:p w:rsidR="007D2F31" w:rsidRDefault="0081379B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  <w:tc>
          <w:tcPr>
            <w:tcW w:w="4763" w:type="dxa"/>
          </w:tcPr>
          <w:p w:rsidR="007D2F31" w:rsidRDefault="003860D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The assigned class to the connection, whether it was an attack or a normal connection</w:t>
            </w:r>
          </w:p>
        </w:tc>
        <w:tc>
          <w:tcPr>
            <w:tcW w:w="1331" w:type="dxa"/>
          </w:tcPr>
          <w:p w:rsidR="007D2F31" w:rsidRDefault="00DB5B31" w:rsidP="00DB5B31">
            <w:pPr>
              <w:contextualSpacing/>
              <w:rPr>
                <w:sz w:val="24"/>
              </w:rPr>
            </w:pPr>
            <w:r>
              <w:rPr>
                <w:sz w:val="24"/>
              </w:rPr>
              <w:t>Discrete</w:t>
            </w:r>
          </w:p>
        </w:tc>
      </w:tr>
    </w:tbl>
    <w:p w:rsidR="00670DBA" w:rsidRPr="00965B28" w:rsidRDefault="00670DBA" w:rsidP="00DB5B31">
      <w:pPr>
        <w:spacing w:line="240" w:lineRule="auto"/>
        <w:contextualSpacing/>
        <w:rPr>
          <w:sz w:val="24"/>
        </w:rPr>
      </w:pPr>
    </w:p>
    <w:sectPr w:rsidR="00670DBA" w:rsidRPr="009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37"/>
    <w:rsid w:val="00054687"/>
    <w:rsid w:val="000C30C7"/>
    <w:rsid w:val="001D2971"/>
    <w:rsid w:val="003860D1"/>
    <w:rsid w:val="003D58C7"/>
    <w:rsid w:val="00482CA2"/>
    <w:rsid w:val="004E7A7E"/>
    <w:rsid w:val="0057561D"/>
    <w:rsid w:val="00584484"/>
    <w:rsid w:val="005C66EF"/>
    <w:rsid w:val="00670DBA"/>
    <w:rsid w:val="006C2FEC"/>
    <w:rsid w:val="007B506E"/>
    <w:rsid w:val="007D2F31"/>
    <w:rsid w:val="0081379B"/>
    <w:rsid w:val="008B6CE7"/>
    <w:rsid w:val="00965B28"/>
    <w:rsid w:val="009B45A8"/>
    <w:rsid w:val="009C6224"/>
    <w:rsid w:val="00AE33F5"/>
    <w:rsid w:val="00B53A21"/>
    <w:rsid w:val="00D449B0"/>
    <w:rsid w:val="00DB5B31"/>
    <w:rsid w:val="00DF2937"/>
    <w:rsid w:val="00E05433"/>
    <w:rsid w:val="00E23AC1"/>
    <w:rsid w:val="00E678F0"/>
    <w:rsid w:val="00F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ECEA"/>
  <w15:chartTrackingRefBased/>
  <w15:docId w15:val="{D44B6DBF-E713-41BC-AD8E-70448A0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F9E2-6228-43CE-AEDF-AF0E4116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</dc:creator>
  <cp:keywords/>
  <dc:description/>
  <cp:lastModifiedBy>Ian Lo</cp:lastModifiedBy>
  <cp:revision>15</cp:revision>
  <dcterms:created xsi:type="dcterms:W3CDTF">2017-08-30T03:06:00Z</dcterms:created>
  <dcterms:modified xsi:type="dcterms:W3CDTF">2017-09-07T07:59:00Z</dcterms:modified>
</cp:coreProperties>
</file>