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C901" w14:textId="32E15952" w:rsidR="00347195" w:rsidRPr="00EE5BDE" w:rsidRDefault="00930E1B">
      <w:pPr>
        <w:pStyle w:val="Heading1"/>
        <w:jc w:val="center"/>
        <w:rPr>
          <w:sz w:val="32"/>
          <w:szCs w:val="32"/>
        </w:rPr>
      </w:pPr>
      <w:r w:rsidRPr="00EE5BDE">
        <w:rPr>
          <w:sz w:val="32"/>
          <w:szCs w:val="32"/>
        </w:rPr>
        <w:t>Biographical Sketch</w:t>
      </w:r>
    </w:p>
    <w:p w14:paraId="5FC6F11F" w14:textId="77777777" w:rsidR="00347195" w:rsidRPr="00EE5BDE" w:rsidRDefault="00930E1B">
      <w:pPr>
        <w:pStyle w:val="Heading2"/>
        <w:rPr>
          <w:sz w:val="28"/>
          <w:szCs w:val="28"/>
        </w:rPr>
      </w:pPr>
      <w:r w:rsidRPr="00EE5BDE">
        <w:rPr>
          <w:sz w:val="28"/>
          <w:szCs w:val="28"/>
        </w:rPr>
        <w:t>Identifying Information</w:t>
      </w:r>
    </w:p>
    <w:p w14:paraId="6E1D1038" w14:textId="77777777" w:rsidR="00347195" w:rsidRPr="00EE5BDE" w:rsidRDefault="00930E1B">
      <w:pPr>
        <w:rPr>
          <w:sz w:val="24"/>
          <w:szCs w:val="24"/>
        </w:rPr>
      </w:pPr>
      <w:r w:rsidRPr="00EE5BDE">
        <w:rPr>
          <w:b/>
          <w:sz w:val="24"/>
          <w:szCs w:val="24"/>
        </w:rPr>
        <w:t xml:space="preserve">Name: </w:t>
      </w:r>
      <w:r w:rsidRPr="00EE5BDE">
        <w:rPr>
          <w:sz w:val="24"/>
          <w:szCs w:val="24"/>
        </w:rPr>
        <w:t>Iannello, Christopher J.</w:t>
      </w:r>
    </w:p>
    <w:p w14:paraId="6C042C00" w14:textId="77777777" w:rsidR="00347195" w:rsidRPr="00EE5BDE" w:rsidRDefault="00930E1B" w:rsidP="006737A4">
      <w:pPr>
        <w:spacing w:after="0"/>
        <w:rPr>
          <w:sz w:val="24"/>
          <w:szCs w:val="24"/>
        </w:rPr>
      </w:pPr>
      <w:r w:rsidRPr="00EE5BDE">
        <w:rPr>
          <w:b/>
          <w:sz w:val="24"/>
          <w:szCs w:val="24"/>
        </w:rPr>
        <w:t xml:space="preserve">Persistent Identifier (PID): </w:t>
      </w:r>
      <w:r w:rsidRPr="00EE5BDE">
        <w:rPr>
          <w:sz w:val="24"/>
          <w:szCs w:val="24"/>
        </w:rPr>
        <w:t>ORCID: 0009-0007-1460-9561</w:t>
      </w:r>
    </w:p>
    <w:p w14:paraId="17DD0854" w14:textId="7764B15A" w:rsidR="002A6388" w:rsidRPr="00EE5BDE" w:rsidRDefault="002A6388" w:rsidP="006737A4">
      <w:pPr>
        <w:spacing w:after="0"/>
        <w:rPr>
          <w:sz w:val="24"/>
          <w:szCs w:val="24"/>
        </w:rPr>
      </w:pPr>
      <w:hyperlink r:id="rId6" w:history="1">
        <w:r w:rsidRPr="00EE5BDE">
          <w:rPr>
            <w:rStyle w:val="Hyperlink"/>
            <w:sz w:val="24"/>
            <w:szCs w:val="24"/>
          </w:rPr>
          <w:t>https://orcid.org/0009-0007-1460-9561</w:t>
        </w:r>
      </w:hyperlink>
    </w:p>
    <w:p w14:paraId="5F249FBE" w14:textId="77777777" w:rsidR="006737A4" w:rsidRPr="00EE5BDE" w:rsidRDefault="006737A4" w:rsidP="006737A4">
      <w:pPr>
        <w:spacing w:after="0"/>
        <w:rPr>
          <w:sz w:val="24"/>
          <w:szCs w:val="24"/>
        </w:rPr>
      </w:pPr>
    </w:p>
    <w:p w14:paraId="7718FF59" w14:textId="77777777" w:rsidR="00347195" w:rsidRPr="00EE5BDE" w:rsidRDefault="00930E1B">
      <w:pPr>
        <w:rPr>
          <w:sz w:val="24"/>
          <w:szCs w:val="24"/>
        </w:rPr>
      </w:pPr>
      <w:r w:rsidRPr="00EE5BDE">
        <w:rPr>
          <w:b/>
          <w:sz w:val="24"/>
          <w:szCs w:val="24"/>
        </w:rPr>
        <w:t xml:space="preserve">Position Title: </w:t>
      </w:r>
      <w:r w:rsidRPr="00EE5BDE">
        <w:rPr>
          <w:sz w:val="24"/>
          <w:szCs w:val="24"/>
        </w:rPr>
        <w:t>Professor of Practice, Space Electrical &amp; Power Systems</w:t>
      </w:r>
    </w:p>
    <w:p w14:paraId="1508E335" w14:textId="77777777" w:rsidR="00347195" w:rsidRPr="00EE5BDE" w:rsidRDefault="00930E1B">
      <w:pPr>
        <w:pStyle w:val="Heading2"/>
        <w:rPr>
          <w:sz w:val="28"/>
          <w:szCs w:val="28"/>
        </w:rPr>
      </w:pPr>
      <w:r w:rsidRPr="00EE5BDE">
        <w:rPr>
          <w:sz w:val="28"/>
          <w:szCs w:val="28"/>
        </w:rPr>
        <w:t>Organization and Location</w:t>
      </w:r>
    </w:p>
    <w:p w14:paraId="1101350F" w14:textId="77777777" w:rsidR="00347195" w:rsidRPr="00EE5BDE" w:rsidRDefault="00930E1B">
      <w:pPr>
        <w:rPr>
          <w:sz w:val="24"/>
          <w:szCs w:val="24"/>
        </w:rPr>
      </w:pPr>
      <w:r w:rsidRPr="00EE5BDE">
        <w:rPr>
          <w:b/>
          <w:sz w:val="24"/>
          <w:szCs w:val="24"/>
        </w:rPr>
        <w:t xml:space="preserve">Name: </w:t>
      </w:r>
      <w:r w:rsidRPr="00EE5BDE">
        <w:rPr>
          <w:sz w:val="24"/>
          <w:szCs w:val="24"/>
        </w:rPr>
        <w:t>University of Central Florida</w:t>
      </w:r>
    </w:p>
    <w:p w14:paraId="765D3AE4" w14:textId="77777777" w:rsidR="00347195" w:rsidRPr="00EE5BDE" w:rsidRDefault="00930E1B">
      <w:pPr>
        <w:rPr>
          <w:sz w:val="24"/>
          <w:szCs w:val="24"/>
        </w:rPr>
      </w:pPr>
      <w:r w:rsidRPr="00EE5BDE">
        <w:rPr>
          <w:b/>
          <w:sz w:val="24"/>
          <w:szCs w:val="24"/>
        </w:rPr>
        <w:t xml:space="preserve">Location: </w:t>
      </w:r>
      <w:r w:rsidRPr="00EE5BDE">
        <w:rPr>
          <w:sz w:val="24"/>
          <w:szCs w:val="24"/>
        </w:rPr>
        <w:t>Orlando, Florida, USA</w:t>
      </w:r>
    </w:p>
    <w:p w14:paraId="71A930BD" w14:textId="77777777" w:rsidR="00347195" w:rsidRPr="00EE5BDE" w:rsidRDefault="00930E1B">
      <w:pPr>
        <w:pStyle w:val="Heading2"/>
        <w:rPr>
          <w:sz w:val="28"/>
          <w:szCs w:val="28"/>
        </w:rPr>
      </w:pPr>
      <w:r w:rsidRPr="00EE5BDE">
        <w:rPr>
          <w:sz w:val="28"/>
          <w:szCs w:val="28"/>
        </w:rPr>
        <w:t>Professional Preparation</w:t>
      </w:r>
    </w:p>
    <w:p w14:paraId="02BFC2DE" w14:textId="77777777" w:rsidR="00347195" w:rsidRPr="00EE5BDE" w:rsidRDefault="00930E1B">
      <w:pPr>
        <w:pStyle w:val="ListBullet"/>
        <w:rPr>
          <w:sz w:val="24"/>
          <w:szCs w:val="24"/>
        </w:rPr>
      </w:pPr>
      <w:r w:rsidRPr="00EE5BDE">
        <w:rPr>
          <w:sz w:val="24"/>
          <w:szCs w:val="24"/>
        </w:rPr>
        <w:t>Ph.D., Electrical Engineering (Power Electronics), University of Central Florida, 2001</w:t>
      </w:r>
    </w:p>
    <w:p w14:paraId="11A36A09" w14:textId="77777777" w:rsidR="00347195" w:rsidRPr="00EE5BDE" w:rsidRDefault="00930E1B">
      <w:pPr>
        <w:pStyle w:val="ListBullet"/>
        <w:rPr>
          <w:sz w:val="24"/>
          <w:szCs w:val="24"/>
        </w:rPr>
      </w:pPr>
      <w:r w:rsidRPr="00EE5BDE">
        <w:rPr>
          <w:sz w:val="24"/>
          <w:szCs w:val="24"/>
        </w:rPr>
        <w:t>M.S., Electrical Engineering (Power Electronics), University of Central Florida, 1999</w:t>
      </w:r>
    </w:p>
    <w:p w14:paraId="45279544" w14:textId="77777777" w:rsidR="00347195" w:rsidRPr="00EE5BDE" w:rsidRDefault="00930E1B">
      <w:pPr>
        <w:pStyle w:val="ListBullet"/>
        <w:rPr>
          <w:sz w:val="24"/>
          <w:szCs w:val="24"/>
        </w:rPr>
      </w:pPr>
      <w:r w:rsidRPr="00EE5BDE">
        <w:rPr>
          <w:sz w:val="24"/>
          <w:szCs w:val="24"/>
        </w:rPr>
        <w:t>B.S., Electrical Engineering (Power Electronics), University of Central Florida, 1994</w:t>
      </w:r>
    </w:p>
    <w:p w14:paraId="1A9632D0" w14:textId="77777777" w:rsidR="00347195" w:rsidRPr="00EE5BDE" w:rsidRDefault="00930E1B">
      <w:pPr>
        <w:pStyle w:val="Heading2"/>
        <w:rPr>
          <w:sz w:val="28"/>
          <w:szCs w:val="28"/>
        </w:rPr>
      </w:pPr>
      <w:r w:rsidRPr="00EE5BDE">
        <w:rPr>
          <w:sz w:val="28"/>
          <w:szCs w:val="28"/>
        </w:rPr>
        <w:t>Appointments and Positions</w:t>
      </w:r>
    </w:p>
    <w:p w14:paraId="0F2818A0" w14:textId="77777777" w:rsidR="00347195" w:rsidRPr="00EE5BDE" w:rsidRDefault="00930E1B">
      <w:pPr>
        <w:rPr>
          <w:sz w:val="24"/>
          <w:szCs w:val="24"/>
        </w:rPr>
      </w:pPr>
      <w:r w:rsidRPr="00EE5BDE">
        <w:rPr>
          <w:b/>
          <w:sz w:val="24"/>
          <w:szCs w:val="24"/>
        </w:rPr>
        <w:t xml:space="preserve">2025 – Present: </w:t>
      </w:r>
      <w:r w:rsidRPr="00EE5BDE">
        <w:rPr>
          <w:sz w:val="24"/>
          <w:szCs w:val="24"/>
        </w:rPr>
        <w:t>Professor of Practice, Space Electrical &amp; Power Systems, University of Central Florida</w:t>
      </w:r>
    </w:p>
    <w:p w14:paraId="10457B68" w14:textId="09AB41CF" w:rsidR="00347195" w:rsidRPr="003604B7" w:rsidRDefault="00930E1B">
      <w:pPr>
        <w:rPr>
          <w:b/>
          <w:sz w:val="28"/>
          <w:szCs w:val="28"/>
          <w:u w:val="single"/>
        </w:rPr>
      </w:pPr>
      <w:r w:rsidRPr="003604B7">
        <w:rPr>
          <w:b/>
          <w:sz w:val="28"/>
          <w:szCs w:val="28"/>
          <w:u w:val="single"/>
        </w:rPr>
        <w:t xml:space="preserve">2013 – 2025: </w:t>
      </w:r>
      <w:r w:rsidR="001978B4" w:rsidRPr="003604B7">
        <w:rPr>
          <w:b/>
          <w:sz w:val="28"/>
          <w:szCs w:val="28"/>
          <w:u w:val="single"/>
        </w:rPr>
        <w:t xml:space="preserve">NASA </w:t>
      </w:r>
      <w:r w:rsidRPr="003604B7">
        <w:rPr>
          <w:b/>
          <w:sz w:val="28"/>
          <w:szCs w:val="28"/>
          <w:u w:val="single"/>
        </w:rPr>
        <w:t>Technical Fellow for Electrical</w:t>
      </w:r>
      <w:r w:rsidR="00A54CDC" w:rsidRPr="003604B7">
        <w:rPr>
          <w:b/>
          <w:sz w:val="28"/>
          <w:szCs w:val="28"/>
          <w:u w:val="single"/>
        </w:rPr>
        <w:t>/</w:t>
      </w:r>
      <w:r w:rsidRPr="003604B7">
        <w:rPr>
          <w:b/>
          <w:sz w:val="28"/>
          <w:szCs w:val="28"/>
          <w:u w:val="single"/>
        </w:rPr>
        <w:t>Power, Office of the Chief Engineer, NASA</w:t>
      </w:r>
    </w:p>
    <w:p w14:paraId="7AE6FDB8" w14:textId="77777777" w:rsidR="003604B7" w:rsidRDefault="00930E1B" w:rsidP="003604B7">
      <w:pPr>
        <w:rPr>
          <w:sz w:val="24"/>
          <w:szCs w:val="24"/>
        </w:rPr>
      </w:pPr>
      <w:r w:rsidRPr="00EE5BDE">
        <w:rPr>
          <w:b/>
          <w:sz w:val="24"/>
          <w:szCs w:val="24"/>
        </w:rPr>
        <w:t xml:space="preserve">2009 – 2013: </w:t>
      </w:r>
      <w:r w:rsidRPr="00EE5BDE">
        <w:rPr>
          <w:sz w:val="24"/>
          <w:szCs w:val="24"/>
        </w:rPr>
        <w:t>Deputy Technical Fellow, Electrical</w:t>
      </w:r>
      <w:r w:rsidR="00A54CDC" w:rsidRPr="00EE5BDE">
        <w:rPr>
          <w:sz w:val="24"/>
          <w:szCs w:val="24"/>
        </w:rPr>
        <w:t>/</w:t>
      </w:r>
      <w:r w:rsidRPr="00EE5BDE">
        <w:rPr>
          <w:sz w:val="24"/>
          <w:szCs w:val="24"/>
        </w:rPr>
        <w:t>Power, NASA Engineering &amp; Safety Center</w:t>
      </w:r>
    </w:p>
    <w:p w14:paraId="36B9DAD9" w14:textId="5ABF6087" w:rsidR="00F816D8" w:rsidRPr="00EA7FB8" w:rsidRDefault="00E917AC" w:rsidP="005A0E7D">
      <w:pPr>
        <w:pStyle w:val="Heading2"/>
        <w:rPr>
          <w:sz w:val="28"/>
          <w:szCs w:val="28"/>
        </w:rPr>
      </w:pPr>
      <w:r w:rsidRPr="00EA7FB8">
        <w:rPr>
          <w:sz w:val="28"/>
          <w:szCs w:val="28"/>
        </w:rPr>
        <w:t xml:space="preserve">Summary of Qualifications Relevant to </w:t>
      </w:r>
      <w:r w:rsidR="004772BB" w:rsidRPr="00EA7FB8">
        <w:rPr>
          <w:sz w:val="28"/>
          <w:szCs w:val="28"/>
        </w:rPr>
        <w:t>CRESST</w:t>
      </w:r>
      <w:r w:rsidRPr="00EA7FB8">
        <w:rPr>
          <w:sz w:val="28"/>
          <w:szCs w:val="28"/>
        </w:rPr>
        <w:t>-MSTAR</w:t>
      </w:r>
      <w:r w:rsidR="00C56B38" w:rsidRPr="00EA7FB8">
        <w:rPr>
          <w:sz w:val="28"/>
          <w:szCs w:val="28"/>
        </w:rPr>
        <w:t xml:space="preserve"> </w:t>
      </w:r>
    </w:p>
    <w:p w14:paraId="1C26FA3C" w14:textId="77777777" w:rsidR="00C56B38" w:rsidRPr="00C56B38" w:rsidRDefault="00C56B38" w:rsidP="00BC277E">
      <w:pPr>
        <w:pStyle w:val="Heading2"/>
        <w:keepNext w:val="0"/>
        <w:keepLines w:val="0"/>
        <w:widowControl w:val="0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More than 30 years of experience in </w:t>
      </w:r>
      <w:proofErr w:type="gramStart"/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development</w:t>
      </w:r>
      <w:proofErr w:type="gramEnd"/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independent assessment, anomaly investigation, and assurance of electrical and electronic systems for human spaceflight, science, exploration, and commercial space missions</w:t>
      </w:r>
    </w:p>
    <w:p w14:paraId="1E5A7E2E" w14:textId="77777777" w:rsidR="00C56B38" w:rsidRPr="00C56B38" w:rsidRDefault="00C56B38" w:rsidP="00BC277E">
      <w:pPr>
        <w:pStyle w:val="Heading2"/>
        <w:keepNext w:val="0"/>
        <w:keepLines w:val="0"/>
        <w:widowControl w:val="0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NASA-wide technical leadership in electrical power systems, electronic parts applications, energy storage, electrical interfaces, fault protection, and system-level assurance</w:t>
      </w:r>
    </w:p>
    <w:p w14:paraId="10A76EE6" w14:textId="77777777" w:rsidR="00C56B38" w:rsidRPr="00C56B38" w:rsidRDefault="00C56B38" w:rsidP="00BC277E">
      <w:pPr>
        <w:pStyle w:val="Heading2"/>
        <w:keepNext w:val="0"/>
        <w:keepLines w:val="0"/>
        <w:widowControl w:val="0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Risk-informed application and assessment of commercial off-the-shelf electrical, electronic, electromechanical, and electro-optical parts in mission-critical space systems</w:t>
      </w:r>
    </w:p>
    <w:p w14:paraId="02562C46" w14:textId="77777777" w:rsidR="00C56B38" w:rsidRP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Evaluation of radiation effects in power semiconductor devices, including total ionizing dose susceptibility, application-specific design margin, and system-level consequences</w:t>
      </w:r>
    </w:p>
    <w:p w14:paraId="3EED2E2E" w14:textId="77777777" w:rsidR="00C56B38" w:rsidRP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Assessment of high-voltage and high-power electronic applications, including semiconductor stress, insulation coordination, electrical overstress, thermal effects, and fault propagation</w:t>
      </w:r>
    </w:p>
    <w:p w14:paraId="2C116FC2" w14:textId="77777777" w:rsidR="00C56B38" w:rsidRP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Reliability assessment of power electronic components, interconnects, wiring, batteries, converters, protection circuits, and spacecraft electrical power architectures</w:t>
      </w:r>
    </w:p>
    <w:p w14:paraId="33F9362D" w14:textId="77777777" w:rsidR="00C56B38" w:rsidRP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Independent technical review of qualification evidence, test plans, acceptance criteria, failure data, derating, screening, and risk-retirement strategies</w:t>
      </w:r>
    </w:p>
    <w:p w14:paraId="7AA027DF" w14:textId="77777777" w:rsidR="00C56B38" w:rsidRP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Root-cause analysis, failure investigation, corrective-action development, and evaluation of recurring or systemic electrical and electronic hardware problems</w:t>
      </w:r>
    </w:p>
    <w:p w14:paraId="6D2699CF" w14:textId="77777777" w:rsidR="00C56B38" w:rsidRP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Integration of component-level test results with circuit, subsystem, and mission-level operating environments and consequences</w:t>
      </w:r>
    </w:p>
    <w:p w14:paraId="7CE78784" w14:textId="77777777" w:rsidR="00C56B38" w:rsidRP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Development of evidence-based assurance approaches that balance mission risk, hardware availability, qualification cost, schedule, and rapidly evolving commercial technologies</w:t>
      </w:r>
    </w:p>
    <w:p w14:paraId="5946D3C1" w14:textId="77777777" w:rsidR="00C56B38" w:rsidRP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Technical assessment of commercial lithium-ion cells and high-power battery modules, including performance variability, abuse tolerance, hazard controls, and application-specific safety</w:t>
      </w:r>
    </w:p>
    <w:p w14:paraId="0D36763F" w14:textId="77777777" w:rsidR="00C56B38" w:rsidRP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Experience communicating technical risk and assurance findings to NASA programs, engineering organizations, independent review boards, senior leadership, industry partners, and academic teams</w:t>
      </w:r>
    </w:p>
    <w:p w14:paraId="7B2A70C4" w14:textId="77777777" w:rsidR="00C56B38" w:rsidRDefault="00C56B38" w:rsidP="00C56B38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56B3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NASA-aligned workforce development, university curriculum development, student mentoring, technical workshops, and experiential training in space electronics, electronic parts assurance, reliability, and failure analysis</w:t>
      </w:r>
    </w:p>
    <w:p w14:paraId="024462FA" w14:textId="1DC3CA09" w:rsidR="00347195" w:rsidRDefault="00930E1B" w:rsidP="00C56B38">
      <w:pPr>
        <w:pStyle w:val="Heading2"/>
        <w:rPr>
          <w:sz w:val="28"/>
          <w:szCs w:val="28"/>
        </w:rPr>
      </w:pPr>
      <w:r w:rsidRPr="00EE5BDE">
        <w:rPr>
          <w:sz w:val="28"/>
          <w:szCs w:val="28"/>
        </w:rPr>
        <w:t xml:space="preserve">Selected Products Relevant to </w:t>
      </w:r>
      <w:r w:rsidR="001043B7" w:rsidRPr="00EE5BDE">
        <w:rPr>
          <w:sz w:val="28"/>
          <w:szCs w:val="28"/>
        </w:rPr>
        <w:t>ARCTIC-MSTAR</w:t>
      </w:r>
    </w:p>
    <w:p w14:paraId="29482CB7" w14:textId="77777777" w:rsidR="00A6439B" w:rsidRPr="00A6439B" w:rsidRDefault="00A6439B" w:rsidP="00A6439B"/>
    <w:p w14:paraId="04F97501" w14:textId="77777777" w:rsidR="00A6439B" w:rsidRPr="00A6439B" w:rsidRDefault="00A6439B" w:rsidP="00A6439B">
      <w:pPr>
        <w:pStyle w:val="Heading2"/>
        <w:keepNext w:val="0"/>
        <w:widowControl w:val="0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643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Iannello, C. J., “Total Ionizing Dose Tolerance of Power MOSFETs Used on Europa Clipper,” NASA Engineering and Safety Center Report TI-24-02015, 2024.</w:t>
      </w:r>
    </w:p>
    <w:p w14:paraId="710A5751" w14:textId="77777777" w:rsidR="00A6439B" w:rsidRPr="00A6439B" w:rsidRDefault="00A6439B" w:rsidP="00A6439B">
      <w:pPr>
        <w:pStyle w:val="Heading2"/>
        <w:keepNext w:val="0"/>
        <w:widowControl w:val="0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643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Krause, F. C., et al., including C. J. Iannello, “Performance of Commercial Li-Ion Cells for Future NASA Missions,” Journal of The Electrochemical Society, 2021.</w:t>
      </w:r>
    </w:p>
    <w:p w14:paraId="34C4A1DB" w14:textId="77777777" w:rsidR="00A6439B" w:rsidRPr="00A6439B" w:rsidRDefault="00A6439B" w:rsidP="00A6439B">
      <w:pPr>
        <w:pStyle w:val="Heading2"/>
        <w:keepNext w:val="0"/>
        <w:widowControl w:val="0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643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Iannello, C. J., et al., “Technical Assessment Report: Safe High-Power Lithium-Ion Battery Module Design,” NASA, 2020.</w:t>
      </w:r>
    </w:p>
    <w:p w14:paraId="768229E5" w14:textId="77777777" w:rsidR="00A6439B" w:rsidRPr="00A6439B" w:rsidRDefault="00A6439B" w:rsidP="00A6439B">
      <w:pPr>
        <w:pStyle w:val="Heading2"/>
        <w:keepNext w:val="0"/>
        <w:widowControl w:val="0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643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Iannello, C. J., “Independent Review of Analysis to Support Midpoint Monitoring in Batteries,” NASA Engineering and Safety Center Report TI-19-01441, 2021.</w:t>
      </w:r>
    </w:p>
    <w:p w14:paraId="7A8E2023" w14:textId="77777777" w:rsidR="00A6439B" w:rsidRPr="00A6439B" w:rsidRDefault="00A6439B" w:rsidP="00A6439B">
      <w:pPr>
        <w:pStyle w:val="Heading2"/>
        <w:keepNext w:val="0"/>
        <w:widowControl w:val="0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643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Rickman, S. L., Iannello, C. J., and Shariff, K., “Improvements to Wire Bundle Thermal Modeling for Ampacity Determination,” Journal of Fluid Flow, Heat and Mass Transfer, Vol. 4, pp. 47–53, 2017.</w:t>
      </w:r>
    </w:p>
    <w:p w14:paraId="576F7653" w14:textId="77777777" w:rsidR="00A6439B" w:rsidRDefault="00A6439B" w:rsidP="00A6439B">
      <w:pPr>
        <w:pStyle w:val="Heading2"/>
        <w:keepNext w:val="0"/>
        <w:widowControl w:val="0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643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Iannello, C., Luo, S., and Batarseh, I., “Full-Bridge ZCS PWM Converter for High-Voltage and High-Power Applications,” IEEE Transactions on Aerospace and Electronic Systems, 2002.</w:t>
      </w:r>
    </w:p>
    <w:p w14:paraId="05B1E965" w14:textId="57FE7230" w:rsidR="00347195" w:rsidRPr="00EE5BDE" w:rsidRDefault="00930E1B" w:rsidP="00A6439B">
      <w:pPr>
        <w:pStyle w:val="Heading2"/>
        <w:rPr>
          <w:sz w:val="28"/>
          <w:szCs w:val="28"/>
        </w:rPr>
      </w:pPr>
      <w:r w:rsidRPr="00EE5BDE">
        <w:rPr>
          <w:sz w:val="28"/>
          <w:szCs w:val="28"/>
        </w:rPr>
        <w:t>Certification</w:t>
      </w:r>
    </w:p>
    <w:p w14:paraId="2F5424B0" w14:textId="77777777" w:rsidR="00B3650D" w:rsidRPr="00EE5BDE" w:rsidRDefault="00B3650D" w:rsidP="00B3650D">
      <w:pPr>
        <w:pStyle w:val="BodyText"/>
        <w:spacing w:before="167"/>
        <w:ind w:left="140" w:hanging="1"/>
        <w:rPr>
          <w:rFonts w:ascii="Times New Roman" w:hAnsi="Times New Roman" w:cs="Times New Roman"/>
          <w:sz w:val="28"/>
          <w:szCs w:val="28"/>
        </w:rPr>
      </w:pPr>
      <w:r w:rsidRPr="00EE5BDE">
        <w:rPr>
          <w:rFonts w:ascii="Times New Roman" w:hAnsi="Times New Roman" w:cs="Times New Roman"/>
          <w:sz w:val="28"/>
          <w:szCs w:val="28"/>
        </w:rPr>
        <w:t>I certify that the information provided is current, accurate, and complete. This includes but is not limited to information related to domestic and foreign appointments and positions.</w:t>
      </w:r>
    </w:p>
    <w:p w14:paraId="4A104F46" w14:textId="77777777" w:rsidR="00B3650D" w:rsidRPr="00EE5BDE" w:rsidRDefault="00B3650D" w:rsidP="00B3650D">
      <w:pPr>
        <w:pStyle w:val="BodyText"/>
        <w:spacing w:before="9"/>
        <w:ind w:left="140"/>
        <w:rPr>
          <w:rFonts w:ascii="Times New Roman" w:hAnsi="Times New Roman" w:cs="Times New Roman"/>
          <w:sz w:val="28"/>
          <w:szCs w:val="28"/>
        </w:rPr>
      </w:pPr>
    </w:p>
    <w:p w14:paraId="6EBE1A60" w14:textId="77777777" w:rsidR="00B3650D" w:rsidRPr="00EE5BDE" w:rsidRDefault="00B3650D" w:rsidP="00B3650D">
      <w:pPr>
        <w:pStyle w:val="BodyText"/>
        <w:spacing w:before="9"/>
        <w:ind w:left="140"/>
        <w:rPr>
          <w:rFonts w:ascii="Times New Roman" w:hAnsi="Times New Roman" w:cs="Times New Roman"/>
          <w:sz w:val="28"/>
          <w:szCs w:val="28"/>
        </w:rPr>
      </w:pPr>
      <w:r w:rsidRPr="00EE5BDE">
        <w:rPr>
          <w:rFonts w:ascii="Times New Roman" w:hAnsi="Times New Roman" w:cs="Times New Roman"/>
          <w:sz w:val="28"/>
          <w:szCs w:val="28"/>
        </w:rPr>
        <w:t xml:space="preserve">I also certify that, at the time of submission, I am not a party to a </w:t>
      </w:r>
      <w:hyperlink r:id="rId7" w:history="1">
        <w:r w:rsidRPr="00EE5BDE">
          <w:rPr>
            <w:rStyle w:val="Hyperlink"/>
            <w:rFonts w:ascii="Times New Roman" w:hAnsi="Times New Roman" w:cs="Times New Roman"/>
            <w:sz w:val="28"/>
            <w:szCs w:val="28"/>
          </w:rPr>
          <w:t>malign foreign talent recruitment program</w:t>
        </w:r>
      </w:hyperlink>
      <w:r w:rsidRPr="00EE5BD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06CEF0" w14:textId="77777777" w:rsidR="00B3650D" w:rsidRPr="00EE5BDE" w:rsidRDefault="00B3650D" w:rsidP="00B3650D">
      <w:pPr>
        <w:pStyle w:val="BodyText"/>
        <w:spacing w:before="9"/>
        <w:ind w:left="140"/>
        <w:rPr>
          <w:rFonts w:ascii="Times New Roman" w:hAnsi="Times New Roman" w:cs="Times New Roman"/>
          <w:sz w:val="28"/>
          <w:szCs w:val="28"/>
        </w:rPr>
      </w:pPr>
    </w:p>
    <w:p w14:paraId="363D7C9E" w14:textId="77777777" w:rsidR="00B3650D" w:rsidRPr="00EE5BDE" w:rsidRDefault="00B3650D" w:rsidP="00B3650D">
      <w:pPr>
        <w:pStyle w:val="BodyText"/>
        <w:spacing w:before="9"/>
        <w:ind w:left="140"/>
        <w:rPr>
          <w:rFonts w:ascii="Times New Roman" w:hAnsi="Times New Roman" w:cs="Times New Roman"/>
          <w:bCs/>
          <w:sz w:val="28"/>
          <w:szCs w:val="28"/>
        </w:rPr>
      </w:pPr>
      <w:r w:rsidRPr="00EE5BDE">
        <w:rPr>
          <w:rFonts w:ascii="Times New Roman" w:hAnsi="Times New Roman" w:cs="Times New Roman"/>
          <w:bCs/>
          <w:sz w:val="28"/>
          <w:szCs w:val="28"/>
        </w:rPr>
        <w:t>In accordance with Section 10634 of the CHIPS and Science Act of 2022 (42 U.S.C. § 19234), I certify that I have completed the requisite research security training that meets the requirements specified in NASA’s research security training requirements guidance within 12 months prior to proposal submission.</w:t>
      </w:r>
    </w:p>
    <w:p w14:paraId="6FE29269" w14:textId="77777777" w:rsidR="00B3650D" w:rsidRPr="00EE5BDE" w:rsidRDefault="00B3650D" w:rsidP="00B3650D">
      <w:pPr>
        <w:pStyle w:val="BodyText"/>
        <w:spacing w:before="9"/>
        <w:ind w:left="140"/>
        <w:rPr>
          <w:rFonts w:ascii="Times New Roman" w:hAnsi="Times New Roman" w:cs="Times New Roman"/>
          <w:bCs/>
          <w:sz w:val="28"/>
          <w:szCs w:val="28"/>
        </w:rPr>
      </w:pPr>
    </w:p>
    <w:p w14:paraId="6217BE41" w14:textId="77777777" w:rsidR="00B3650D" w:rsidRPr="00EE5BDE" w:rsidRDefault="00B3650D" w:rsidP="00B3650D">
      <w:pPr>
        <w:pStyle w:val="BodyText"/>
        <w:spacing w:before="94"/>
        <w:ind w:left="140"/>
        <w:rPr>
          <w:rFonts w:ascii="Times New Roman" w:hAnsi="Times New Roman" w:cs="Times New Roman"/>
          <w:sz w:val="28"/>
          <w:szCs w:val="28"/>
        </w:rPr>
      </w:pPr>
      <w:r w:rsidRPr="00EE5BDE">
        <w:rPr>
          <w:rFonts w:ascii="Times New Roman" w:hAnsi="Times New Roman" w:cs="Times New Roman"/>
          <w:sz w:val="28"/>
          <w:szCs w:val="28"/>
        </w:rPr>
        <w:t>Misrepresentations and/or omissions may be subject to prosecution and liability pursuant to, but not limited to, 18 U.S.C. §§ 287, 1001, 1031 and 31 U.S.C. §§ 3729-3733 and 3802.</w:t>
      </w:r>
    </w:p>
    <w:p w14:paraId="2DA2C67A" w14:textId="3BF3C986" w:rsidR="00347195" w:rsidRPr="00EE5BDE" w:rsidRDefault="00347195">
      <w:pPr>
        <w:rPr>
          <w:sz w:val="24"/>
          <w:szCs w:val="24"/>
        </w:rPr>
      </w:pPr>
    </w:p>
    <w:p w14:paraId="58A50931" w14:textId="46764F9D" w:rsidR="00347195" w:rsidRPr="00EE5BDE" w:rsidRDefault="00930E1B">
      <w:pPr>
        <w:rPr>
          <w:sz w:val="24"/>
          <w:szCs w:val="24"/>
        </w:rPr>
      </w:pPr>
      <w:r w:rsidRPr="00EE5BDE">
        <w:rPr>
          <w:sz w:val="24"/>
          <w:szCs w:val="24"/>
        </w:rPr>
        <w:br/>
        <w:t xml:space="preserve">Signature: </w:t>
      </w:r>
      <w:r w:rsidR="006B69E3" w:rsidRPr="00EE5BDE">
        <w:rPr>
          <w:noProof/>
          <w:sz w:val="24"/>
          <w:szCs w:val="24"/>
        </w:rPr>
        <w:drawing>
          <wp:inline distT="0" distB="0" distL="0" distR="0" wp14:anchorId="1F1BB3C2" wp14:editId="406A3B6B">
            <wp:extent cx="932815" cy="219710"/>
            <wp:effectExtent l="0" t="0" r="635" b="8890"/>
            <wp:docPr id="6895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E5BDE">
        <w:rPr>
          <w:sz w:val="24"/>
          <w:szCs w:val="24"/>
        </w:rPr>
        <w:t>____________________________</w:t>
      </w:r>
    </w:p>
    <w:p w14:paraId="4E5E7298" w14:textId="3A25AA81" w:rsidR="00347195" w:rsidRPr="00EE5BDE" w:rsidRDefault="00930E1B">
      <w:pPr>
        <w:rPr>
          <w:sz w:val="24"/>
          <w:szCs w:val="24"/>
        </w:rPr>
      </w:pPr>
      <w:proofErr w:type="gramStart"/>
      <w:r w:rsidRPr="00EE5BDE">
        <w:rPr>
          <w:sz w:val="24"/>
          <w:szCs w:val="24"/>
        </w:rPr>
        <w:t>Date: _</w:t>
      </w:r>
      <w:proofErr w:type="gramEnd"/>
      <w:r w:rsidRPr="00EE5BDE">
        <w:rPr>
          <w:sz w:val="24"/>
          <w:szCs w:val="24"/>
        </w:rPr>
        <w:t>________</w:t>
      </w:r>
      <w:r w:rsidR="00CF46B1" w:rsidRPr="00EE5BDE">
        <w:rPr>
          <w:sz w:val="24"/>
          <w:szCs w:val="24"/>
        </w:rPr>
        <w:t>7</w:t>
      </w:r>
      <w:r w:rsidR="006B69E3" w:rsidRPr="00EE5BDE">
        <w:rPr>
          <w:sz w:val="24"/>
          <w:szCs w:val="24"/>
        </w:rPr>
        <w:t>/</w:t>
      </w:r>
      <w:r w:rsidR="00CF46B1" w:rsidRPr="00EE5BDE">
        <w:rPr>
          <w:sz w:val="24"/>
          <w:szCs w:val="24"/>
        </w:rPr>
        <w:t>30</w:t>
      </w:r>
      <w:r w:rsidR="006B69E3" w:rsidRPr="00EE5BDE">
        <w:rPr>
          <w:sz w:val="24"/>
          <w:szCs w:val="24"/>
        </w:rPr>
        <w:t>/2026</w:t>
      </w:r>
      <w:r w:rsidRPr="00EE5BDE">
        <w:rPr>
          <w:sz w:val="24"/>
          <w:szCs w:val="24"/>
        </w:rPr>
        <w:t>________________________</w:t>
      </w:r>
    </w:p>
    <w:sectPr w:rsidR="00347195" w:rsidRPr="00EE5BDE" w:rsidSect="00EE5BD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BDC920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38C3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820C93"/>
    <w:multiLevelType w:val="multilevel"/>
    <w:tmpl w:val="209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80961"/>
    <w:multiLevelType w:val="hybridMultilevel"/>
    <w:tmpl w:val="01D8F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23DC6"/>
    <w:multiLevelType w:val="hybridMultilevel"/>
    <w:tmpl w:val="1EC6F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461FA2"/>
    <w:multiLevelType w:val="multilevel"/>
    <w:tmpl w:val="76DE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986185">
    <w:abstractNumId w:val="8"/>
  </w:num>
  <w:num w:numId="2" w16cid:durableId="1094401832">
    <w:abstractNumId w:val="6"/>
  </w:num>
  <w:num w:numId="3" w16cid:durableId="312564875">
    <w:abstractNumId w:val="5"/>
  </w:num>
  <w:num w:numId="4" w16cid:durableId="1762410864">
    <w:abstractNumId w:val="4"/>
  </w:num>
  <w:num w:numId="5" w16cid:durableId="1004673899">
    <w:abstractNumId w:val="7"/>
  </w:num>
  <w:num w:numId="6" w16cid:durableId="1603493791">
    <w:abstractNumId w:val="3"/>
  </w:num>
  <w:num w:numId="7" w16cid:durableId="675884401">
    <w:abstractNumId w:val="2"/>
  </w:num>
  <w:num w:numId="8" w16cid:durableId="1006784834">
    <w:abstractNumId w:val="1"/>
  </w:num>
  <w:num w:numId="9" w16cid:durableId="194923285">
    <w:abstractNumId w:val="0"/>
  </w:num>
  <w:num w:numId="10" w16cid:durableId="743645991">
    <w:abstractNumId w:val="7"/>
  </w:num>
  <w:num w:numId="11" w16cid:durableId="81604666">
    <w:abstractNumId w:val="9"/>
  </w:num>
  <w:num w:numId="12" w16cid:durableId="1002733320">
    <w:abstractNumId w:val="12"/>
  </w:num>
  <w:num w:numId="13" w16cid:durableId="1924607697">
    <w:abstractNumId w:val="11"/>
  </w:num>
  <w:num w:numId="14" w16cid:durableId="123088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3B7"/>
    <w:rsid w:val="0015074B"/>
    <w:rsid w:val="001978B4"/>
    <w:rsid w:val="0029639D"/>
    <w:rsid w:val="002A6388"/>
    <w:rsid w:val="003004CB"/>
    <w:rsid w:val="00326F90"/>
    <w:rsid w:val="00347195"/>
    <w:rsid w:val="003604B7"/>
    <w:rsid w:val="003F530C"/>
    <w:rsid w:val="00413EEB"/>
    <w:rsid w:val="004772BB"/>
    <w:rsid w:val="005A0E7D"/>
    <w:rsid w:val="005C53BA"/>
    <w:rsid w:val="006737A4"/>
    <w:rsid w:val="006B69E3"/>
    <w:rsid w:val="00722A50"/>
    <w:rsid w:val="008A41C6"/>
    <w:rsid w:val="008D38BD"/>
    <w:rsid w:val="009017F8"/>
    <w:rsid w:val="00930E1B"/>
    <w:rsid w:val="00A54CDC"/>
    <w:rsid w:val="00A6439B"/>
    <w:rsid w:val="00AA1D8D"/>
    <w:rsid w:val="00B3650D"/>
    <w:rsid w:val="00B47730"/>
    <w:rsid w:val="00BC277E"/>
    <w:rsid w:val="00C56B38"/>
    <w:rsid w:val="00CB0664"/>
    <w:rsid w:val="00CF46B1"/>
    <w:rsid w:val="00D85D1C"/>
    <w:rsid w:val="00E917AC"/>
    <w:rsid w:val="00EA7FB8"/>
    <w:rsid w:val="00EE5BDE"/>
    <w:rsid w:val="00F816D8"/>
    <w:rsid w:val="00FC693F"/>
    <w:rsid w:val="00FE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051F302-9EDB-4F94-80FF-EA6C1229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365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nsf.gov/bfa/dias/policy/researchprotection/nspm33definitions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9-0007-1460-956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Iannello</cp:lastModifiedBy>
  <cp:revision>10</cp:revision>
  <dcterms:created xsi:type="dcterms:W3CDTF">2026-07-30T18:50:00Z</dcterms:created>
  <dcterms:modified xsi:type="dcterms:W3CDTF">2026-07-30T18:56:00Z</dcterms:modified>
  <cp:category/>
</cp:coreProperties>
</file>