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12" w:rsidRDefault="00081777" w:rsidP="00081777">
      <w:pPr>
        <w:spacing w:line="240" w:lineRule="auto"/>
        <w:contextualSpacing/>
      </w:pPr>
      <w:r>
        <w:t>Ian Nelson</w:t>
      </w:r>
    </w:p>
    <w:p w:rsidR="00081777" w:rsidRDefault="00081777" w:rsidP="00081777">
      <w:pPr>
        <w:spacing w:line="240" w:lineRule="auto"/>
        <w:contextualSpacing/>
      </w:pPr>
      <w:r>
        <w:t>CMIS115</w:t>
      </w:r>
    </w:p>
    <w:p w:rsidR="00081777" w:rsidRDefault="00081777" w:rsidP="00081777">
      <w:pPr>
        <w:spacing w:line="240" w:lineRule="auto"/>
        <w:contextualSpacing/>
      </w:pPr>
      <w:r>
        <w:t>Project 1</w:t>
      </w:r>
    </w:p>
    <w:p w:rsidR="00081777" w:rsidRDefault="00081777" w:rsidP="00081777">
      <w:pPr>
        <w:spacing w:line="240" w:lineRule="auto"/>
        <w:contextualSpacing/>
      </w:pPr>
      <w:r>
        <w:t>Puran Nebhnani</w:t>
      </w:r>
    </w:p>
    <w:p w:rsidR="00081777" w:rsidRDefault="00081777" w:rsidP="00081777">
      <w:pPr>
        <w:spacing w:line="240" w:lineRule="auto"/>
        <w:contextualSpacing/>
      </w:pPr>
    </w:p>
    <w:p w:rsidR="00081777" w:rsidRPr="002852CC" w:rsidRDefault="00081777" w:rsidP="00081777">
      <w:pPr>
        <w:spacing w:line="240" w:lineRule="auto"/>
        <w:contextualSpacing/>
        <w:jc w:val="center"/>
        <w:rPr>
          <w:b/>
        </w:rPr>
      </w:pPr>
      <w:r w:rsidRPr="002852CC">
        <w:rPr>
          <w:b/>
        </w:rPr>
        <w:t>Project 1 Description and Analysis</w:t>
      </w:r>
    </w:p>
    <w:p w:rsidR="00081777" w:rsidRDefault="00081777" w:rsidP="00081777">
      <w:pPr>
        <w:spacing w:line="240" w:lineRule="auto"/>
        <w:contextualSpacing/>
      </w:pPr>
    </w:p>
    <w:p w:rsidR="00081777" w:rsidRDefault="00081777" w:rsidP="00081777">
      <w:pPr>
        <w:spacing w:line="240" w:lineRule="auto"/>
        <w:contextualSpacing/>
        <w:jc w:val="both"/>
      </w:pPr>
      <w:r>
        <w:t xml:space="preserve">For Project 1, the default project settings for a Command Line project were used, in combination with the Foundation classes. Instead of focusing on the default ‘main.m’ file, I created a new class in line with the project requirements, ‘SimpleCalc.m’. Once the new class was created, I removed the auto-generated ‘SimpleCalc.h’ header file, and moved the @interface into the class file for a single code base. The @interface describes the internal integer variables through two @property declarations. These @property declarations describe the integer, and are annotated to generate named get and set methods instead of the generated functions via </w:t>
      </w:r>
      <w:r w:rsidR="00876D11">
        <w:t>a synthesize call.</w:t>
      </w:r>
    </w:p>
    <w:p w:rsidR="00081777" w:rsidRDefault="00081777" w:rsidP="00081777">
      <w:pPr>
        <w:spacing w:line="240" w:lineRule="auto"/>
        <w:contextualSpacing/>
        <w:jc w:val="both"/>
      </w:pPr>
    </w:p>
    <w:p w:rsidR="00081777" w:rsidRDefault="00081777" w:rsidP="00081777">
      <w:pPr>
        <w:spacing w:line="240" w:lineRule="auto"/>
        <w:contextualSpacing/>
        <w:jc w:val="both"/>
      </w:pPr>
      <w:r>
        <w:t xml:space="preserve">The @implemenation portion of the </w:t>
      </w:r>
      <w:r w:rsidR="00876D11">
        <w:t>class define six methods: The 2 get functions and set functions for the first and second integer, as well as the addition and subtraction methods for calculation.</w:t>
      </w:r>
    </w:p>
    <w:p w:rsidR="00876D11" w:rsidRDefault="00876D11" w:rsidP="00081777">
      <w:pPr>
        <w:spacing w:line="240" w:lineRule="auto"/>
        <w:contextualSpacing/>
        <w:jc w:val="both"/>
      </w:pPr>
    </w:p>
    <w:p w:rsidR="00876D11" w:rsidRDefault="00876D11" w:rsidP="00081777">
      <w:pPr>
        <w:spacing w:line="240" w:lineRule="auto"/>
        <w:contextualSpacing/>
        <w:jc w:val="both"/>
      </w:pPr>
      <w:r>
        <w:t xml:space="preserve">Finally, the main function instantiates the SimpleCalc class object, and sets </w:t>
      </w:r>
      <w:r w:rsidR="00A02204">
        <w:t>test integers in place for output. The test cases are simple, and designed to test different use cases of input, as seen in the table below:</w:t>
      </w:r>
    </w:p>
    <w:p w:rsidR="00A02204" w:rsidRDefault="00A02204" w:rsidP="00081777">
      <w:pPr>
        <w:spacing w:line="240" w:lineRule="auto"/>
        <w:contextualSpacing/>
        <w:jc w:val="both"/>
      </w:pPr>
    </w:p>
    <w:tbl>
      <w:tblPr>
        <w:tblStyle w:val="TableGrid"/>
        <w:tblW w:w="0" w:type="auto"/>
        <w:tblLook w:val="04A0" w:firstRow="1" w:lastRow="0" w:firstColumn="1" w:lastColumn="0" w:noHBand="0" w:noVBand="1"/>
      </w:tblPr>
      <w:tblGrid>
        <w:gridCol w:w="1089"/>
        <w:gridCol w:w="1313"/>
        <w:gridCol w:w="1315"/>
        <w:gridCol w:w="1375"/>
        <w:gridCol w:w="1450"/>
        <w:gridCol w:w="1356"/>
        <w:gridCol w:w="1452"/>
      </w:tblGrid>
      <w:tr w:rsidR="002852CC" w:rsidTr="002852CC">
        <w:tc>
          <w:tcPr>
            <w:tcW w:w="1089" w:type="dxa"/>
          </w:tcPr>
          <w:p w:rsidR="002852CC" w:rsidRDefault="002852CC" w:rsidP="00A02204">
            <w:pPr>
              <w:contextualSpacing/>
              <w:jc w:val="center"/>
            </w:pPr>
            <w:r>
              <w:t>Test</w:t>
            </w:r>
          </w:p>
          <w:p w:rsidR="002852CC" w:rsidRDefault="002852CC" w:rsidP="00A02204">
            <w:pPr>
              <w:contextualSpacing/>
              <w:jc w:val="center"/>
            </w:pPr>
            <w:r>
              <w:t>Case</w:t>
            </w:r>
          </w:p>
        </w:tc>
        <w:tc>
          <w:tcPr>
            <w:tcW w:w="1313" w:type="dxa"/>
          </w:tcPr>
          <w:p w:rsidR="002852CC" w:rsidRDefault="002852CC" w:rsidP="00A02204">
            <w:pPr>
              <w:contextualSpacing/>
              <w:jc w:val="center"/>
            </w:pPr>
            <w:r>
              <w:t>First Integer</w:t>
            </w:r>
          </w:p>
        </w:tc>
        <w:tc>
          <w:tcPr>
            <w:tcW w:w="1315" w:type="dxa"/>
          </w:tcPr>
          <w:p w:rsidR="002852CC" w:rsidRDefault="002852CC" w:rsidP="00A02204">
            <w:pPr>
              <w:contextualSpacing/>
              <w:jc w:val="center"/>
            </w:pPr>
            <w:r>
              <w:t>Second Integer</w:t>
            </w:r>
          </w:p>
        </w:tc>
        <w:tc>
          <w:tcPr>
            <w:tcW w:w="1375" w:type="dxa"/>
          </w:tcPr>
          <w:p w:rsidR="002852CC" w:rsidRDefault="002852CC" w:rsidP="00A02204">
            <w:pPr>
              <w:contextualSpacing/>
              <w:jc w:val="center"/>
            </w:pPr>
            <w:r>
              <w:t>Addition</w:t>
            </w:r>
          </w:p>
          <w:p w:rsidR="002852CC" w:rsidRDefault="002852CC" w:rsidP="00A02204">
            <w:pPr>
              <w:contextualSpacing/>
              <w:jc w:val="center"/>
            </w:pPr>
            <w:r>
              <w:t>Expected</w:t>
            </w:r>
          </w:p>
        </w:tc>
        <w:tc>
          <w:tcPr>
            <w:tcW w:w="1450" w:type="dxa"/>
          </w:tcPr>
          <w:p w:rsidR="002852CC" w:rsidRDefault="002852CC" w:rsidP="00A02204">
            <w:pPr>
              <w:contextualSpacing/>
              <w:jc w:val="center"/>
            </w:pPr>
            <w:r>
              <w:t>Subtraction</w:t>
            </w:r>
          </w:p>
          <w:p w:rsidR="002852CC" w:rsidRDefault="002852CC" w:rsidP="00A02204">
            <w:pPr>
              <w:contextualSpacing/>
              <w:jc w:val="center"/>
            </w:pPr>
            <w:r>
              <w:t>Expected</w:t>
            </w:r>
          </w:p>
        </w:tc>
        <w:tc>
          <w:tcPr>
            <w:tcW w:w="1356" w:type="dxa"/>
          </w:tcPr>
          <w:p w:rsidR="002852CC" w:rsidRDefault="002852CC" w:rsidP="00A02204">
            <w:pPr>
              <w:contextualSpacing/>
              <w:jc w:val="center"/>
            </w:pPr>
            <w:r>
              <w:t>Addition</w:t>
            </w:r>
          </w:p>
          <w:p w:rsidR="002852CC" w:rsidRDefault="002852CC" w:rsidP="00A02204">
            <w:pPr>
              <w:contextualSpacing/>
              <w:jc w:val="center"/>
            </w:pPr>
            <w:r>
              <w:t>Pass?</w:t>
            </w:r>
          </w:p>
        </w:tc>
        <w:tc>
          <w:tcPr>
            <w:tcW w:w="1452" w:type="dxa"/>
          </w:tcPr>
          <w:p w:rsidR="002852CC" w:rsidRDefault="002852CC" w:rsidP="00A02204">
            <w:pPr>
              <w:contextualSpacing/>
              <w:jc w:val="center"/>
            </w:pPr>
            <w:r>
              <w:t>Subtraction Pass?</w:t>
            </w:r>
          </w:p>
        </w:tc>
      </w:tr>
      <w:tr w:rsidR="002852CC" w:rsidTr="002852CC">
        <w:tc>
          <w:tcPr>
            <w:tcW w:w="1089" w:type="dxa"/>
          </w:tcPr>
          <w:p w:rsidR="002852CC" w:rsidRDefault="002852CC" w:rsidP="002852CC">
            <w:pPr>
              <w:contextualSpacing/>
              <w:jc w:val="center"/>
            </w:pPr>
            <w:r>
              <w:t>Positive</w:t>
            </w:r>
          </w:p>
        </w:tc>
        <w:tc>
          <w:tcPr>
            <w:tcW w:w="1313" w:type="dxa"/>
          </w:tcPr>
          <w:p w:rsidR="002852CC" w:rsidRDefault="002852CC" w:rsidP="00081777">
            <w:pPr>
              <w:contextualSpacing/>
              <w:jc w:val="both"/>
            </w:pPr>
            <w:r>
              <w:t>1</w:t>
            </w:r>
          </w:p>
        </w:tc>
        <w:tc>
          <w:tcPr>
            <w:tcW w:w="1315" w:type="dxa"/>
          </w:tcPr>
          <w:p w:rsidR="002852CC" w:rsidRDefault="002852CC" w:rsidP="00081777">
            <w:pPr>
              <w:contextualSpacing/>
              <w:jc w:val="both"/>
            </w:pPr>
            <w:r>
              <w:t>9</w:t>
            </w:r>
          </w:p>
        </w:tc>
        <w:tc>
          <w:tcPr>
            <w:tcW w:w="1375" w:type="dxa"/>
          </w:tcPr>
          <w:p w:rsidR="002852CC" w:rsidRDefault="002852CC" w:rsidP="00081777">
            <w:pPr>
              <w:contextualSpacing/>
              <w:jc w:val="both"/>
            </w:pPr>
            <w:r>
              <w:t>10</w:t>
            </w:r>
          </w:p>
        </w:tc>
        <w:tc>
          <w:tcPr>
            <w:tcW w:w="1450" w:type="dxa"/>
          </w:tcPr>
          <w:p w:rsidR="002852CC" w:rsidRDefault="002852CC" w:rsidP="00081777">
            <w:pPr>
              <w:contextualSpacing/>
              <w:jc w:val="both"/>
            </w:pPr>
            <w:r>
              <w:t>-8</w:t>
            </w:r>
          </w:p>
        </w:tc>
        <w:tc>
          <w:tcPr>
            <w:tcW w:w="1356" w:type="dxa"/>
          </w:tcPr>
          <w:p w:rsidR="002852CC" w:rsidRDefault="002852CC" w:rsidP="00081777">
            <w:pPr>
              <w:contextualSpacing/>
              <w:jc w:val="both"/>
            </w:pPr>
            <w:r>
              <w:t>Y</w:t>
            </w:r>
          </w:p>
        </w:tc>
        <w:tc>
          <w:tcPr>
            <w:tcW w:w="1452" w:type="dxa"/>
          </w:tcPr>
          <w:p w:rsidR="002852CC" w:rsidRDefault="002852CC" w:rsidP="00081777">
            <w:pPr>
              <w:contextualSpacing/>
              <w:jc w:val="both"/>
            </w:pPr>
            <w:r>
              <w:t>Y</w:t>
            </w:r>
          </w:p>
        </w:tc>
      </w:tr>
      <w:tr w:rsidR="002852CC" w:rsidTr="002852CC">
        <w:tc>
          <w:tcPr>
            <w:tcW w:w="1089" w:type="dxa"/>
          </w:tcPr>
          <w:p w:rsidR="002852CC" w:rsidRDefault="002852CC" w:rsidP="002852CC">
            <w:pPr>
              <w:contextualSpacing/>
              <w:jc w:val="center"/>
            </w:pPr>
            <w:r>
              <w:t>Negative</w:t>
            </w:r>
          </w:p>
        </w:tc>
        <w:tc>
          <w:tcPr>
            <w:tcW w:w="1313" w:type="dxa"/>
          </w:tcPr>
          <w:p w:rsidR="002852CC" w:rsidRDefault="002852CC" w:rsidP="00081777">
            <w:pPr>
              <w:contextualSpacing/>
              <w:jc w:val="both"/>
            </w:pPr>
            <w:r>
              <w:t>11</w:t>
            </w:r>
          </w:p>
        </w:tc>
        <w:tc>
          <w:tcPr>
            <w:tcW w:w="1315" w:type="dxa"/>
          </w:tcPr>
          <w:p w:rsidR="002852CC" w:rsidRDefault="002852CC" w:rsidP="00081777">
            <w:pPr>
              <w:contextualSpacing/>
              <w:jc w:val="both"/>
            </w:pPr>
            <w:r>
              <w:t>-20</w:t>
            </w:r>
          </w:p>
        </w:tc>
        <w:tc>
          <w:tcPr>
            <w:tcW w:w="1375" w:type="dxa"/>
          </w:tcPr>
          <w:p w:rsidR="002852CC" w:rsidRDefault="002852CC" w:rsidP="00081777">
            <w:pPr>
              <w:contextualSpacing/>
              <w:jc w:val="both"/>
            </w:pPr>
            <w:r>
              <w:t>-9</w:t>
            </w:r>
          </w:p>
        </w:tc>
        <w:tc>
          <w:tcPr>
            <w:tcW w:w="1450" w:type="dxa"/>
          </w:tcPr>
          <w:p w:rsidR="002852CC" w:rsidRDefault="002852CC" w:rsidP="00081777">
            <w:pPr>
              <w:contextualSpacing/>
              <w:jc w:val="both"/>
            </w:pPr>
            <w:r>
              <w:t>31</w:t>
            </w:r>
          </w:p>
        </w:tc>
        <w:tc>
          <w:tcPr>
            <w:tcW w:w="1356" w:type="dxa"/>
          </w:tcPr>
          <w:p w:rsidR="002852CC" w:rsidRDefault="002852CC" w:rsidP="00081777">
            <w:pPr>
              <w:contextualSpacing/>
              <w:jc w:val="both"/>
            </w:pPr>
            <w:r>
              <w:t>Y</w:t>
            </w:r>
          </w:p>
        </w:tc>
        <w:tc>
          <w:tcPr>
            <w:tcW w:w="1452" w:type="dxa"/>
          </w:tcPr>
          <w:p w:rsidR="002852CC" w:rsidRDefault="002852CC" w:rsidP="00081777">
            <w:pPr>
              <w:contextualSpacing/>
              <w:jc w:val="both"/>
            </w:pPr>
            <w:r>
              <w:t>Y</w:t>
            </w:r>
          </w:p>
        </w:tc>
      </w:tr>
      <w:tr w:rsidR="002852CC" w:rsidTr="002852CC">
        <w:tc>
          <w:tcPr>
            <w:tcW w:w="1089" w:type="dxa"/>
          </w:tcPr>
          <w:p w:rsidR="002852CC" w:rsidRDefault="002852CC" w:rsidP="002852CC">
            <w:pPr>
              <w:contextualSpacing/>
              <w:jc w:val="center"/>
            </w:pPr>
            <w:r>
              <w:t>Zero</w:t>
            </w:r>
          </w:p>
        </w:tc>
        <w:tc>
          <w:tcPr>
            <w:tcW w:w="1313" w:type="dxa"/>
          </w:tcPr>
          <w:p w:rsidR="002852CC" w:rsidRDefault="002852CC" w:rsidP="00081777">
            <w:pPr>
              <w:contextualSpacing/>
              <w:jc w:val="both"/>
            </w:pPr>
            <w:r>
              <w:t>0</w:t>
            </w:r>
          </w:p>
        </w:tc>
        <w:tc>
          <w:tcPr>
            <w:tcW w:w="1315" w:type="dxa"/>
          </w:tcPr>
          <w:p w:rsidR="002852CC" w:rsidRDefault="002852CC" w:rsidP="00081777">
            <w:pPr>
              <w:contextualSpacing/>
              <w:jc w:val="both"/>
            </w:pPr>
            <w:r>
              <w:t>0</w:t>
            </w:r>
          </w:p>
        </w:tc>
        <w:tc>
          <w:tcPr>
            <w:tcW w:w="1375" w:type="dxa"/>
          </w:tcPr>
          <w:p w:rsidR="002852CC" w:rsidRDefault="002852CC" w:rsidP="00081777">
            <w:pPr>
              <w:contextualSpacing/>
              <w:jc w:val="both"/>
            </w:pPr>
            <w:r>
              <w:t>0</w:t>
            </w:r>
          </w:p>
        </w:tc>
        <w:tc>
          <w:tcPr>
            <w:tcW w:w="1450" w:type="dxa"/>
          </w:tcPr>
          <w:p w:rsidR="002852CC" w:rsidRDefault="002852CC" w:rsidP="00081777">
            <w:pPr>
              <w:contextualSpacing/>
              <w:jc w:val="both"/>
            </w:pPr>
            <w:r>
              <w:t>0</w:t>
            </w:r>
          </w:p>
        </w:tc>
        <w:tc>
          <w:tcPr>
            <w:tcW w:w="1356" w:type="dxa"/>
          </w:tcPr>
          <w:p w:rsidR="002852CC" w:rsidRDefault="002852CC" w:rsidP="00081777">
            <w:pPr>
              <w:contextualSpacing/>
              <w:jc w:val="both"/>
            </w:pPr>
            <w:r>
              <w:t>Y</w:t>
            </w:r>
          </w:p>
        </w:tc>
        <w:tc>
          <w:tcPr>
            <w:tcW w:w="1452" w:type="dxa"/>
          </w:tcPr>
          <w:p w:rsidR="002852CC" w:rsidRDefault="002852CC" w:rsidP="00081777">
            <w:pPr>
              <w:contextualSpacing/>
              <w:jc w:val="both"/>
            </w:pPr>
            <w:r>
              <w:t>Y</w:t>
            </w:r>
          </w:p>
        </w:tc>
      </w:tr>
      <w:tr w:rsidR="002852CC" w:rsidTr="002852CC">
        <w:tc>
          <w:tcPr>
            <w:tcW w:w="1089" w:type="dxa"/>
          </w:tcPr>
          <w:p w:rsidR="002852CC" w:rsidRDefault="002852CC" w:rsidP="002852CC">
            <w:pPr>
              <w:contextualSpacing/>
              <w:jc w:val="center"/>
            </w:pPr>
            <w:r>
              <w:t>Non-Int</w:t>
            </w:r>
          </w:p>
        </w:tc>
        <w:tc>
          <w:tcPr>
            <w:tcW w:w="1313" w:type="dxa"/>
          </w:tcPr>
          <w:p w:rsidR="002852CC" w:rsidRDefault="002852CC" w:rsidP="00081777">
            <w:pPr>
              <w:contextualSpacing/>
              <w:jc w:val="both"/>
            </w:pPr>
            <w:r>
              <w:t>0.5</w:t>
            </w:r>
          </w:p>
        </w:tc>
        <w:tc>
          <w:tcPr>
            <w:tcW w:w="1315" w:type="dxa"/>
          </w:tcPr>
          <w:p w:rsidR="002852CC" w:rsidRDefault="002852CC" w:rsidP="00081777">
            <w:pPr>
              <w:contextualSpacing/>
              <w:jc w:val="both"/>
            </w:pPr>
            <w:r>
              <w:t>5</w:t>
            </w:r>
          </w:p>
        </w:tc>
        <w:tc>
          <w:tcPr>
            <w:tcW w:w="1375" w:type="dxa"/>
          </w:tcPr>
          <w:p w:rsidR="002852CC" w:rsidRDefault="002852CC" w:rsidP="00081777">
            <w:pPr>
              <w:contextualSpacing/>
              <w:jc w:val="both"/>
            </w:pPr>
            <w:r>
              <w:t>5</w:t>
            </w:r>
          </w:p>
        </w:tc>
        <w:tc>
          <w:tcPr>
            <w:tcW w:w="1450" w:type="dxa"/>
          </w:tcPr>
          <w:p w:rsidR="002852CC" w:rsidRDefault="002852CC" w:rsidP="00081777">
            <w:pPr>
              <w:contextualSpacing/>
              <w:jc w:val="both"/>
            </w:pPr>
            <w:r>
              <w:t>-5</w:t>
            </w:r>
          </w:p>
        </w:tc>
        <w:tc>
          <w:tcPr>
            <w:tcW w:w="1356" w:type="dxa"/>
          </w:tcPr>
          <w:p w:rsidR="002852CC" w:rsidRDefault="002852CC" w:rsidP="00081777">
            <w:pPr>
              <w:contextualSpacing/>
              <w:jc w:val="both"/>
            </w:pPr>
            <w:r>
              <w:t>Y</w:t>
            </w:r>
          </w:p>
        </w:tc>
        <w:tc>
          <w:tcPr>
            <w:tcW w:w="1452" w:type="dxa"/>
          </w:tcPr>
          <w:p w:rsidR="002852CC" w:rsidRDefault="002852CC" w:rsidP="00081777">
            <w:pPr>
              <w:contextualSpacing/>
              <w:jc w:val="both"/>
            </w:pPr>
            <w:r>
              <w:t>Y</w:t>
            </w:r>
          </w:p>
        </w:tc>
      </w:tr>
      <w:tr w:rsidR="002852CC" w:rsidTr="002852CC">
        <w:tc>
          <w:tcPr>
            <w:tcW w:w="1089" w:type="dxa"/>
          </w:tcPr>
          <w:p w:rsidR="002852CC" w:rsidRDefault="002852CC" w:rsidP="002852CC">
            <w:pPr>
              <w:contextualSpacing/>
              <w:jc w:val="center"/>
            </w:pPr>
            <w:r>
              <w:t>ASCII</w:t>
            </w:r>
          </w:p>
        </w:tc>
        <w:tc>
          <w:tcPr>
            <w:tcW w:w="1313" w:type="dxa"/>
          </w:tcPr>
          <w:p w:rsidR="002852CC" w:rsidRDefault="002852CC" w:rsidP="00081777">
            <w:pPr>
              <w:contextualSpacing/>
              <w:jc w:val="both"/>
            </w:pPr>
            <w:r>
              <w:t xml:space="preserve">‘a’ </w:t>
            </w:r>
          </w:p>
          <w:p w:rsidR="002852CC" w:rsidRDefault="002852CC" w:rsidP="00081777">
            <w:pPr>
              <w:contextualSpacing/>
              <w:jc w:val="both"/>
            </w:pPr>
            <w:r>
              <w:t>(ASCII 97)</w:t>
            </w:r>
          </w:p>
        </w:tc>
        <w:tc>
          <w:tcPr>
            <w:tcW w:w="1315" w:type="dxa"/>
          </w:tcPr>
          <w:p w:rsidR="002852CC" w:rsidRDefault="002852CC" w:rsidP="00081777">
            <w:pPr>
              <w:contextualSpacing/>
              <w:jc w:val="both"/>
            </w:pPr>
            <w:r>
              <w:t>10</w:t>
            </w:r>
          </w:p>
        </w:tc>
        <w:tc>
          <w:tcPr>
            <w:tcW w:w="1375" w:type="dxa"/>
          </w:tcPr>
          <w:p w:rsidR="002852CC" w:rsidRDefault="002852CC" w:rsidP="00081777">
            <w:pPr>
              <w:contextualSpacing/>
              <w:jc w:val="both"/>
            </w:pPr>
            <w:r>
              <w:t>107</w:t>
            </w:r>
          </w:p>
        </w:tc>
        <w:tc>
          <w:tcPr>
            <w:tcW w:w="1450" w:type="dxa"/>
          </w:tcPr>
          <w:p w:rsidR="002852CC" w:rsidRDefault="002852CC" w:rsidP="00081777">
            <w:pPr>
              <w:contextualSpacing/>
              <w:jc w:val="both"/>
            </w:pPr>
            <w:r>
              <w:t>87</w:t>
            </w:r>
          </w:p>
        </w:tc>
        <w:tc>
          <w:tcPr>
            <w:tcW w:w="1356" w:type="dxa"/>
          </w:tcPr>
          <w:p w:rsidR="002852CC" w:rsidRDefault="002852CC" w:rsidP="00081777">
            <w:pPr>
              <w:contextualSpacing/>
              <w:jc w:val="both"/>
            </w:pPr>
            <w:r>
              <w:t>Y</w:t>
            </w:r>
          </w:p>
        </w:tc>
        <w:tc>
          <w:tcPr>
            <w:tcW w:w="1452" w:type="dxa"/>
          </w:tcPr>
          <w:p w:rsidR="002852CC" w:rsidRDefault="002852CC" w:rsidP="00081777">
            <w:pPr>
              <w:contextualSpacing/>
              <w:jc w:val="both"/>
            </w:pPr>
            <w:r>
              <w:t>Y</w:t>
            </w:r>
          </w:p>
        </w:tc>
      </w:tr>
    </w:tbl>
    <w:p w:rsidR="00A02204" w:rsidRDefault="00A02204" w:rsidP="00081777">
      <w:pPr>
        <w:spacing w:line="240" w:lineRule="auto"/>
        <w:contextualSpacing/>
        <w:jc w:val="both"/>
      </w:pPr>
    </w:p>
    <w:p w:rsidR="002852CC" w:rsidRDefault="002852CC" w:rsidP="00081777">
      <w:pPr>
        <w:spacing w:line="240" w:lineRule="auto"/>
        <w:contextualSpacing/>
        <w:jc w:val="both"/>
        <w:rPr>
          <w:noProof/>
        </w:rPr>
      </w:pPr>
      <w:r>
        <w:rPr>
          <w:noProof/>
        </w:rPr>
        <w:t xml:space="preserve">As can be seen from the ‘Test Cases’ column in the table above, these were generated to test various types of input, some that apply directly in the types of integers supplied, and some that were done to test non-integer input, such as floats or ASCII character values. </w:t>
      </w:r>
      <w:r w:rsidR="00A151F2">
        <w:rPr>
          <w:noProof/>
        </w:rPr>
        <w:t>Of note is the testing value of 0.5. In this test, since 0.5 is not an integer the floor of the value is taken (in this case 0), and applied as the integer value.</w:t>
      </w:r>
      <w:bookmarkStart w:id="0" w:name="_GoBack"/>
      <w:bookmarkEnd w:id="0"/>
    </w:p>
    <w:p w:rsidR="002852CC" w:rsidRDefault="002852CC">
      <w:pPr>
        <w:rPr>
          <w:noProof/>
        </w:rPr>
      </w:pPr>
      <w:r>
        <w:rPr>
          <w:noProof/>
        </w:rPr>
        <w:br w:type="page"/>
      </w:r>
    </w:p>
    <w:p w:rsidR="00876D11" w:rsidRDefault="002852CC" w:rsidP="00081777">
      <w:pPr>
        <w:spacing w:line="240" w:lineRule="auto"/>
        <w:contextualSpacing/>
        <w:jc w:val="both"/>
        <w:rPr>
          <w:noProof/>
        </w:rPr>
      </w:pPr>
      <w:r>
        <w:rPr>
          <w:noProof/>
        </w:rPr>
        <w:lastRenderedPageBreak/>
        <w:drawing>
          <wp:inline distT="0" distB="0" distL="0" distR="0">
            <wp:extent cx="5943600" cy="4932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932680"/>
                    </a:xfrm>
                    <a:prstGeom prst="rect">
                      <a:avLst/>
                    </a:prstGeom>
                  </pic:spPr>
                </pic:pic>
              </a:graphicData>
            </a:graphic>
          </wp:inline>
        </w:drawing>
      </w:r>
    </w:p>
    <w:p w:rsidR="002852CC" w:rsidRDefault="002852CC" w:rsidP="00081777">
      <w:pPr>
        <w:spacing w:line="240" w:lineRule="auto"/>
        <w:contextualSpacing/>
        <w:jc w:val="both"/>
        <w:rPr>
          <w:noProof/>
        </w:rPr>
      </w:pPr>
    </w:p>
    <w:p w:rsidR="002852CC" w:rsidRPr="002A5103" w:rsidRDefault="002852CC" w:rsidP="00081777">
      <w:pPr>
        <w:spacing w:line="240" w:lineRule="auto"/>
        <w:contextualSpacing/>
        <w:jc w:val="both"/>
        <w:rPr>
          <w:b/>
        </w:rPr>
      </w:pPr>
      <w:r w:rsidRPr="002A5103">
        <w:rPr>
          <w:b/>
        </w:rPr>
        <w:t>Image 1:</w:t>
      </w:r>
    </w:p>
    <w:p w:rsidR="002852CC" w:rsidRDefault="002852CC" w:rsidP="00081777">
      <w:pPr>
        <w:spacing w:line="240" w:lineRule="auto"/>
        <w:contextualSpacing/>
        <w:jc w:val="both"/>
      </w:pPr>
    </w:p>
    <w:p w:rsidR="002852CC" w:rsidRDefault="002852CC" w:rsidP="00081777">
      <w:pPr>
        <w:spacing w:line="240" w:lineRule="auto"/>
        <w:contextualSpacing/>
        <w:jc w:val="both"/>
      </w:pPr>
      <w:r>
        <w:t xml:space="preserve">This screenshot shows the direct output from the </w:t>
      </w:r>
      <w:r w:rsidR="002A5103">
        <w:t>XCode build of Project 1. As can be seen in the output, this execution of the integer test cases matches directly to the test case table presented in the project document. Additionally, a successful build and execution of Project 1 can be seen here, as well as the use of SimpleCalc.m versus the default main.m.</w:t>
      </w:r>
    </w:p>
    <w:sectPr w:rsidR="00285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77"/>
    <w:rsid w:val="00081777"/>
    <w:rsid w:val="002852CC"/>
    <w:rsid w:val="002A5103"/>
    <w:rsid w:val="00876D11"/>
    <w:rsid w:val="00A02204"/>
    <w:rsid w:val="00A151F2"/>
    <w:rsid w:val="00E3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06788-A457-4FD2-AE25-C6BA660E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cp:revision>
  <dcterms:created xsi:type="dcterms:W3CDTF">2014-06-14T19:59:00Z</dcterms:created>
  <dcterms:modified xsi:type="dcterms:W3CDTF">2014-06-14T20:45:00Z</dcterms:modified>
</cp:coreProperties>
</file>