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17C85">
      <w:pPr>
        <w:bidi w:val="0"/>
        <w:rPr>
          <w:rFonts w:hint="eastAsia" w:ascii="宋体" w:hAnsi="宋体" w:eastAsia="宋体" w:cs="宋体"/>
          <w:lang w:val="en-US" w:eastAsia="zh-CN"/>
        </w:rPr>
      </w:pPr>
    </w:p>
    <w:p w14:paraId="1BB5AEAB">
      <w:pPr>
        <w:bidi w:val="0"/>
        <w:rPr>
          <w:rFonts w:hint="eastAsia" w:ascii="宋体" w:hAnsi="宋体" w:eastAsia="宋体" w:cs="宋体"/>
          <w:lang w:val="en-US" w:eastAsia="zh-CN"/>
        </w:rPr>
      </w:pPr>
    </w:p>
    <w:p w14:paraId="3E986750">
      <w:pPr>
        <w:bidi w:val="0"/>
        <w:rPr>
          <w:rFonts w:hint="eastAsia" w:ascii="宋体" w:hAnsi="宋体" w:eastAsia="宋体" w:cs="宋体"/>
          <w:lang w:val="en-US" w:eastAsia="zh-CN"/>
        </w:rPr>
      </w:pPr>
    </w:p>
    <w:p w14:paraId="0F62A4E3">
      <w:pPr>
        <w:bidi w:val="0"/>
        <w:rPr>
          <w:rFonts w:hint="eastAsia" w:ascii="宋体" w:hAnsi="宋体" w:eastAsia="宋体" w:cs="宋体"/>
          <w:lang w:val="en-US" w:eastAsia="zh-CN"/>
        </w:rPr>
      </w:pPr>
    </w:p>
    <w:p w14:paraId="4EC90E1A">
      <w:pPr>
        <w:bidi w:val="0"/>
        <w:rPr>
          <w:rFonts w:hint="eastAsia" w:ascii="宋体" w:hAnsi="宋体" w:eastAsia="宋体" w:cs="宋体"/>
          <w:lang w:val="en-US" w:eastAsia="zh-CN"/>
        </w:rPr>
      </w:pPr>
    </w:p>
    <w:p w14:paraId="3F1720AB">
      <w:pPr>
        <w:bidi w:val="0"/>
        <w:rPr>
          <w:rFonts w:hint="eastAsia" w:ascii="宋体" w:hAnsi="宋体" w:eastAsia="宋体" w:cs="宋体"/>
          <w:lang w:val="en-US" w:eastAsia="zh-CN"/>
        </w:rPr>
      </w:pPr>
    </w:p>
    <w:p w14:paraId="069AE1C4">
      <w:pPr>
        <w:bidi w:val="0"/>
        <w:rPr>
          <w:rFonts w:hint="eastAsia" w:ascii="宋体" w:hAnsi="宋体" w:eastAsia="宋体" w:cs="宋体"/>
          <w:lang w:val="en-US" w:eastAsia="zh-CN"/>
        </w:rPr>
      </w:pPr>
    </w:p>
    <w:p w14:paraId="065BE533">
      <w:pPr>
        <w:bidi w:val="0"/>
        <w:rPr>
          <w:rFonts w:hint="eastAsia" w:ascii="宋体" w:hAnsi="宋体" w:eastAsia="宋体" w:cs="宋体"/>
          <w:lang w:val="en-US" w:eastAsia="zh-CN"/>
        </w:rPr>
      </w:pPr>
    </w:p>
    <w:p w14:paraId="721E540E">
      <w:pPr>
        <w:bidi w:val="0"/>
        <w:rPr>
          <w:rFonts w:hint="eastAsia" w:ascii="宋体" w:hAnsi="宋体" w:eastAsia="宋体" w:cs="宋体"/>
          <w:lang w:val="en-US" w:eastAsia="zh-CN"/>
        </w:rPr>
      </w:pPr>
    </w:p>
    <w:p w14:paraId="5E4C8133">
      <w:pPr>
        <w:bidi w:val="0"/>
        <w:rPr>
          <w:rFonts w:hint="eastAsia" w:ascii="宋体" w:hAnsi="宋体" w:eastAsia="宋体" w:cs="宋体"/>
          <w:lang w:val="en-US" w:eastAsia="zh-CN"/>
        </w:rPr>
      </w:pPr>
    </w:p>
    <w:p w14:paraId="2E674CAE">
      <w:pPr>
        <w:bidi w:val="0"/>
        <w:rPr>
          <w:rFonts w:hint="eastAsia" w:ascii="宋体" w:hAnsi="宋体" w:eastAsia="宋体" w:cs="宋体"/>
          <w:lang w:val="en-US" w:eastAsia="zh-CN"/>
        </w:rPr>
      </w:pPr>
    </w:p>
    <w:p w14:paraId="001FBADC">
      <w:pPr>
        <w:bidi w:val="0"/>
        <w:rPr>
          <w:rFonts w:hint="eastAsia" w:ascii="宋体" w:hAnsi="宋体" w:eastAsia="宋体" w:cs="宋体"/>
          <w:lang w:val="en-US" w:eastAsia="zh-CN"/>
        </w:rPr>
      </w:pPr>
    </w:p>
    <w:p w14:paraId="0EB0C6A5">
      <w:pPr>
        <w:bidi w:val="0"/>
        <w:rPr>
          <w:rFonts w:hint="eastAsia" w:ascii="宋体" w:hAnsi="宋体" w:eastAsia="宋体" w:cs="宋体"/>
          <w:lang w:val="en-US" w:eastAsia="zh-CN"/>
        </w:rPr>
      </w:pPr>
    </w:p>
    <w:p w14:paraId="396D0DB5">
      <w:pPr>
        <w:bidi w:val="0"/>
        <w:rPr>
          <w:rFonts w:hint="eastAsia" w:ascii="宋体" w:hAnsi="宋体" w:eastAsia="宋体" w:cs="宋体"/>
          <w:lang w:val="en-US" w:eastAsia="zh-CN"/>
        </w:rPr>
      </w:pPr>
    </w:p>
    <w:p w14:paraId="59FF7DAB">
      <w:pPr>
        <w:bidi w:val="0"/>
        <w:rPr>
          <w:rFonts w:hint="eastAsia" w:ascii="宋体" w:hAnsi="宋体" w:eastAsia="宋体" w:cs="宋体"/>
          <w:lang w:val="en-US" w:eastAsia="zh-CN"/>
        </w:rPr>
      </w:pPr>
    </w:p>
    <w:p w14:paraId="24D752C7">
      <w:pPr>
        <w:rPr>
          <w:rFonts w:hint="eastAsia" w:ascii="宋体" w:hAnsi="宋体" w:eastAsia="宋体" w:cs="宋体"/>
          <w:u w:val="single" w:color="auto"/>
        </w:rPr>
      </w:pPr>
      <w:r>
        <w:rPr>
          <w:rFonts w:hint="eastAsia" w:ascii="宋体" w:hAnsi="宋体" w:eastAsia="宋体" w:cs="宋体"/>
          <w:sz w:val="52"/>
          <w:lang w:val="en-US" w:eastAsia="zh-CN"/>
        </w:rPr>
        <w:t>评估的枷锁：数字时代的权力与控制</w:t>
      </w:r>
      <w:r>
        <w:rPr>
          <w:rFonts w:hint="eastAsia" w:ascii="宋体" w:hAnsi="宋体" w:eastAsia="宋体" w:cs="宋体"/>
        </w:rPr>
        <w:t>The Fetters of Evaluation: Power and Control in the Digital Age</w:t>
      </w:r>
    </w:p>
    <w:p w14:paraId="023D95B7">
      <w:pPr>
        <w:rPr>
          <w:rFonts w:hint="eastAsia" w:ascii="宋体" w:hAnsi="宋体" w:eastAsia="宋体" w:cs="宋体"/>
        </w:rPr>
      </w:pPr>
    </w:p>
    <w:p w14:paraId="345CFEDB">
      <w:pPr>
        <w:rPr>
          <w:rFonts w:hint="eastAsia" w:ascii="宋体" w:hAnsi="宋体" w:eastAsia="宋体" w:cs="宋体"/>
          <w:lang w:val="en-US" w:eastAsia="zh-CN"/>
        </w:rPr>
      </w:pPr>
      <w:r>
        <w:rPr>
          <w:rFonts w:hint="eastAsia" w:ascii="宋体" w:hAnsi="宋体" w:eastAsia="宋体" w:cs="宋体"/>
          <w:lang w:val="en-US" w:eastAsia="zh-CN"/>
        </w:rPr>
        <w:t>作者：祝融</w:t>
      </w:r>
    </w:p>
    <w:p w14:paraId="11CB1FA7">
      <w:pPr>
        <w:rPr>
          <w:rFonts w:hint="eastAsia" w:ascii="宋体" w:hAnsi="宋体" w:eastAsia="宋体" w:cs="宋体"/>
          <w:lang w:val="en-US" w:eastAsia="zh-CN"/>
        </w:rPr>
      </w:pPr>
    </w:p>
    <w:p w14:paraId="5CDF1CEC">
      <w:pPr>
        <w:rPr>
          <w:rFonts w:hint="eastAsia" w:ascii="宋体" w:hAnsi="宋体" w:eastAsia="宋体" w:cs="宋体"/>
          <w:lang w:val="en-US" w:eastAsia="zh-CN"/>
        </w:rPr>
      </w:pPr>
    </w:p>
    <w:p w14:paraId="4301B1BB">
      <w:pPr>
        <w:rPr>
          <w:rFonts w:hint="eastAsia" w:ascii="宋体" w:hAnsi="宋体" w:eastAsia="宋体" w:cs="宋体"/>
          <w:lang w:val="en-US" w:eastAsia="zh-CN"/>
        </w:rPr>
        <w:sectPr>
          <w:headerReference r:id="rId3" w:type="default"/>
          <w:pgSz w:w="11906" w:h="16838"/>
          <w:pgMar w:top="1440" w:right="1800" w:bottom="1440" w:left="1800" w:header="851" w:footer="992" w:gutter="0"/>
          <w:cols w:space="425" w:num="1"/>
          <w:docGrid w:type="lines" w:linePitch="312" w:charSpace="0"/>
        </w:sectPr>
      </w:pPr>
    </w:p>
    <w:sdt>
      <w:sdtPr>
        <w:rPr>
          <w:rFonts w:hint="eastAsia" w:ascii="宋体" w:hAnsi="宋体" w:eastAsia="宋体" w:cs="宋体"/>
          <w:lang w:val="en-US" w:eastAsia="zh-CN"/>
        </w:rPr>
        <w:id w:val="767198397"/>
        <w15:color w:val="DBDBDB"/>
        <w:docPartObj>
          <w:docPartGallery w:val="Table of Contents"/>
          <w:docPartUnique/>
        </w:docPartObj>
      </w:sdtPr>
      <w:sdtEndPr>
        <w:rPr>
          <w:rFonts w:hint="eastAsia" w:ascii="宋体" w:hAnsi="宋体" w:eastAsia="宋体" w:cs="宋体"/>
          <w:kern w:val="2"/>
          <w:sz w:val="21"/>
          <w:szCs w:val="24"/>
          <w:lang w:val="en-US" w:eastAsia="zh-CN" w:bidi="ar-SA"/>
        </w:rPr>
      </w:sdtEndPr>
      <w:sdtContent>
        <w:p w14:paraId="7555B087">
          <w:pPr>
            <w:pStyle w:val="3"/>
            <w:bidi w:val="0"/>
            <w:jc w:val="center"/>
            <w:rPr>
              <w:rFonts w:hint="eastAsia" w:ascii="宋体" w:hAnsi="宋体" w:eastAsia="宋体" w:cs="宋体"/>
            </w:rPr>
          </w:pPr>
          <w:bookmarkStart w:id="0" w:name="_Toc2038079064"/>
          <w:bookmarkStart w:id="1" w:name="_Toc243632498"/>
          <w:bookmarkStart w:id="2" w:name="_Toc1136555891"/>
          <w:bookmarkStart w:id="3" w:name="_Toc1277397381"/>
          <w:r>
            <w:rPr>
              <w:rFonts w:hint="eastAsia" w:ascii="宋体" w:hAnsi="宋体" w:eastAsia="宋体" w:cs="宋体"/>
            </w:rPr>
            <w:t>目录</w:t>
          </w:r>
          <w:bookmarkEnd w:id="0"/>
          <w:bookmarkEnd w:id="1"/>
          <w:bookmarkEnd w:id="2"/>
          <w:bookmarkEnd w:id="3"/>
        </w:p>
        <w:p w14:paraId="7461467E">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TOC \o "1-3" \h \u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_Toc2038079064 </w:instrText>
          </w:r>
          <w:r>
            <w:rPr>
              <w:rFonts w:hint="eastAsia" w:ascii="宋体" w:hAnsi="宋体" w:eastAsia="宋体" w:cs="宋体"/>
              <w:lang w:val="en-US" w:eastAsia="zh-CN"/>
            </w:rPr>
            <w:fldChar w:fldCharType="separate"/>
          </w:r>
          <w:r>
            <w:rPr>
              <w:rFonts w:hint="eastAsia" w:ascii="宋体" w:hAnsi="宋体" w:eastAsia="宋体" w:cs="宋体"/>
            </w:rPr>
            <w:t>目录</w:t>
          </w:r>
          <w:r>
            <w:tab/>
          </w:r>
          <w:r>
            <w:fldChar w:fldCharType="begin"/>
          </w:r>
          <w:r>
            <w:instrText xml:space="preserve"> PAGEREF _Toc2038079064 \h </w:instrText>
          </w:r>
          <w:r>
            <w:fldChar w:fldCharType="separate"/>
          </w:r>
          <w:r>
            <w:t>2</w:t>
          </w:r>
          <w:r>
            <w:fldChar w:fldCharType="end"/>
          </w:r>
          <w:r>
            <w:rPr>
              <w:rFonts w:hint="eastAsia" w:ascii="宋体" w:hAnsi="宋体" w:eastAsia="宋体" w:cs="宋体"/>
              <w:lang w:val="en-US" w:eastAsia="zh-CN"/>
            </w:rPr>
            <w:fldChar w:fldCharType="end"/>
          </w:r>
        </w:p>
        <w:p w14:paraId="74662B71">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_Toc1630658998 </w:instrText>
          </w:r>
          <w:r>
            <w:rPr>
              <w:rFonts w:hint="eastAsia" w:ascii="宋体" w:hAnsi="宋体" w:eastAsia="宋体" w:cs="宋体"/>
              <w:lang w:val="en-US" w:eastAsia="zh-CN"/>
            </w:rPr>
            <w:fldChar w:fldCharType="separate"/>
          </w:r>
          <w:r>
            <w:rPr>
              <w:rFonts w:hint="eastAsia" w:ascii="宋体" w:hAnsi="宋体" w:eastAsia="宋体" w:cs="宋体"/>
              <w:szCs w:val="36"/>
            </w:rPr>
            <w:t>导论：从规训到评估——数字时代权力的范式转移</w:t>
          </w:r>
          <w:r>
            <w:tab/>
          </w:r>
          <w:r>
            <w:fldChar w:fldCharType="begin"/>
          </w:r>
          <w:r>
            <w:instrText xml:space="preserve"> PAGEREF _Toc1630658998 \h </w:instrText>
          </w:r>
          <w:r>
            <w:fldChar w:fldCharType="separate"/>
          </w:r>
          <w:r>
            <w:t>3</w:t>
          </w:r>
          <w:r>
            <w:fldChar w:fldCharType="end"/>
          </w:r>
          <w:r>
            <w:rPr>
              <w:rFonts w:hint="eastAsia" w:ascii="宋体" w:hAnsi="宋体" w:eastAsia="宋体" w:cs="宋体"/>
              <w:lang w:val="en-US" w:eastAsia="zh-CN"/>
            </w:rPr>
            <w:fldChar w:fldCharType="end"/>
          </w:r>
        </w:p>
        <w:p w14:paraId="695A1C23">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_Toc299476372 </w:instrText>
          </w:r>
          <w:r>
            <w:rPr>
              <w:rFonts w:hint="eastAsia" w:ascii="宋体" w:hAnsi="宋体" w:eastAsia="宋体" w:cs="宋体"/>
              <w:lang w:val="en-US" w:eastAsia="zh-CN"/>
            </w:rPr>
            <w:fldChar w:fldCharType="separate"/>
          </w:r>
          <w:r>
            <w:rPr>
              <w:rFonts w:hint="eastAsia" w:ascii="宋体" w:hAnsi="宋体" w:eastAsia="宋体" w:cs="宋体"/>
            </w:rPr>
            <w:t>福柯之后：超越“规训权力”与“生命权力”</w:t>
          </w:r>
          <w:r>
            <w:tab/>
          </w:r>
          <w:r>
            <w:fldChar w:fldCharType="begin"/>
          </w:r>
          <w:r>
            <w:instrText xml:space="preserve"> PAGEREF _Toc299476372 \h </w:instrText>
          </w:r>
          <w:r>
            <w:fldChar w:fldCharType="separate"/>
          </w:r>
          <w:r>
            <w:t>4</w:t>
          </w:r>
          <w:r>
            <w:fldChar w:fldCharType="end"/>
          </w:r>
          <w:r>
            <w:rPr>
              <w:rFonts w:hint="eastAsia" w:ascii="宋体" w:hAnsi="宋体" w:eastAsia="宋体" w:cs="宋体"/>
              <w:lang w:val="en-US" w:eastAsia="zh-CN"/>
            </w:rPr>
            <w:fldChar w:fldCharType="end"/>
          </w:r>
        </w:p>
        <w:p w14:paraId="74F7673A">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_Toc1745199283 </w:instrText>
          </w:r>
          <w:r>
            <w:rPr>
              <w:rFonts w:hint="eastAsia" w:ascii="宋体" w:hAnsi="宋体" w:eastAsia="宋体" w:cs="宋体"/>
              <w:lang w:val="en-US" w:eastAsia="zh-CN"/>
            </w:rPr>
            <w:fldChar w:fldCharType="separate"/>
          </w:r>
          <w:r>
            <w:rPr>
              <w:rFonts w:hint="eastAsia" w:ascii="宋体" w:hAnsi="宋体" w:eastAsia="宋体" w:cs="宋体"/>
            </w:rPr>
            <w:t>“评估”作为一种新的治理技术</w:t>
          </w:r>
          <w:r>
            <w:tab/>
          </w:r>
          <w:r>
            <w:fldChar w:fldCharType="begin"/>
          </w:r>
          <w:r>
            <w:instrText xml:space="preserve"> PAGEREF _Toc1745199283 \h </w:instrText>
          </w:r>
          <w:r>
            <w:fldChar w:fldCharType="separate"/>
          </w:r>
          <w:r>
            <w:t>6</w:t>
          </w:r>
          <w:r>
            <w:fldChar w:fldCharType="end"/>
          </w:r>
          <w:r>
            <w:rPr>
              <w:rFonts w:hint="eastAsia" w:ascii="宋体" w:hAnsi="宋体" w:eastAsia="宋体" w:cs="宋体"/>
              <w:lang w:val="en-US" w:eastAsia="zh-CN"/>
            </w:rPr>
            <w:fldChar w:fldCharType="end"/>
          </w:r>
        </w:p>
        <w:p w14:paraId="66497AD1">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_Toc1232698655 </w:instrText>
          </w:r>
          <w:r>
            <w:rPr>
              <w:rFonts w:hint="eastAsia" w:ascii="宋体" w:hAnsi="宋体" w:eastAsia="宋体" w:cs="宋体"/>
              <w:lang w:val="en-US" w:eastAsia="zh-CN"/>
            </w:rPr>
            <w:fldChar w:fldCharType="separate"/>
          </w:r>
          <w:r>
            <w:rPr>
              <w:rFonts w:hint="eastAsia" w:ascii="宋体" w:hAnsi="宋体" w:eastAsia="宋体" w:cs="宋体"/>
            </w:rPr>
            <w:t>核心问题：数字技术如何将“评估”内化为一种无处不在的社会控制机制？</w:t>
          </w:r>
          <w:r>
            <w:tab/>
          </w:r>
          <w:r>
            <w:fldChar w:fldCharType="begin"/>
          </w:r>
          <w:r>
            <w:instrText xml:space="preserve"> PAGEREF _Toc1232698655 \h </w:instrText>
          </w:r>
          <w:r>
            <w:fldChar w:fldCharType="separate"/>
          </w:r>
          <w:r>
            <w:t>7</w:t>
          </w:r>
          <w:r>
            <w:fldChar w:fldCharType="end"/>
          </w:r>
          <w:r>
            <w:rPr>
              <w:rFonts w:hint="eastAsia" w:ascii="宋体" w:hAnsi="宋体" w:eastAsia="宋体" w:cs="宋体"/>
              <w:lang w:val="en-US" w:eastAsia="zh-CN"/>
            </w:rPr>
            <w:fldChar w:fldCharType="end"/>
          </w:r>
        </w:p>
        <w:p w14:paraId="40353C5F">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_Toc1191551976 </w:instrText>
          </w:r>
          <w:r>
            <w:rPr>
              <w:rFonts w:hint="eastAsia" w:ascii="宋体" w:hAnsi="宋体" w:eastAsia="宋体" w:cs="宋体"/>
              <w:lang w:val="en-US" w:eastAsia="zh-CN"/>
            </w:rPr>
            <w:fldChar w:fldCharType="separate"/>
          </w:r>
          <w:r>
            <w:rPr>
              <w:rFonts w:hint="eastAsia" w:ascii="宋体" w:hAnsi="宋体" w:eastAsia="宋体" w:cs="宋体"/>
            </w:rPr>
            <w:t>理论框架：“权力差序”与“评估异化”的分析路径</w:t>
          </w:r>
          <w:r>
            <w:tab/>
          </w:r>
          <w:r>
            <w:fldChar w:fldCharType="begin"/>
          </w:r>
          <w:r>
            <w:instrText xml:space="preserve"> PAGEREF _Toc1191551976 \h </w:instrText>
          </w:r>
          <w:r>
            <w:fldChar w:fldCharType="separate"/>
          </w:r>
          <w:r>
            <w:t>8</w:t>
          </w:r>
          <w:r>
            <w:fldChar w:fldCharType="end"/>
          </w:r>
          <w:r>
            <w:rPr>
              <w:rFonts w:hint="eastAsia" w:ascii="宋体" w:hAnsi="宋体" w:eastAsia="宋体" w:cs="宋体"/>
              <w:lang w:val="en-US" w:eastAsia="zh-CN"/>
            </w:rPr>
            <w:fldChar w:fldCharType="end"/>
          </w:r>
        </w:p>
        <w:p w14:paraId="06CC79F9">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_Toc1129052357 </w:instrText>
          </w:r>
          <w:r>
            <w:rPr>
              <w:rFonts w:hint="eastAsia" w:ascii="宋体" w:hAnsi="宋体" w:eastAsia="宋体" w:cs="宋体"/>
              <w:lang w:val="en-US" w:eastAsia="zh-CN"/>
            </w:rPr>
            <w:fldChar w:fldCharType="separate"/>
          </w:r>
          <w:r>
            <w:rPr>
              <w:rFonts w:hint="eastAsia" w:ascii="宋体" w:hAnsi="宋体" w:eastAsia="宋体" w:cs="宋体"/>
            </w:rPr>
            <w:t>章节结构与研究方法</w:t>
          </w:r>
          <w:r>
            <w:tab/>
          </w:r>
          <w:r>
            <w:fldChar w:fldCharType="begin"/>
          </w:r>
          <w:r>
            <w:instrText xml:space="preserve"> PAGEREF _Toc1129052357 \h </w:instrText>
          </w:r>
          <w:r>
            <w:fldChar w:fldCharType="separate"/>
          </w:r>
          <w:r>
            <w:t>10</w:t>
          </w:r>
          <w:r>
            <w:fldChar w:fldCharType="end"/>
          </w:r>
          <w:r>
            <w:rPr>
              <w:rFonts w:hint="eastAsia" w:ascii="宋体" w:hAnsi="宋体" w:eastAsia="宋体" w:cs="宋体"/>
              <w:lang w:val="en-US" w:eastAsia="zh-CN"/>
            </w:rPr>
            <w:fldChar w:fldCharType="end"/>
          </w:r>
        </w:p>
        <w:p w14:paraId="245C5A6C">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_Toc817459207 </w:instrText>
          </w:r>
          <w:r>
            <w:rPr>
              <w:rFonts w:hint="eastAsia" w:ascii="宋体" w:hAnsi="宋体" w:eastAsia="宋体" w:cs="宋体"/>
              <w:lang w:val="en-US" w:eastAsia="zh-CN"/>
            </w:rPr>
            <w:fldChar w:fldCharType="separate"/>
          </w:r>
          <w:r>
            <w:rPr>
              <w:rFonts w:hint="eastAsia" w:ascii="宋体" w:hAnsi="宋体" w:eastAsia="宋体" w:cs="宋体"/>
              <w:szCs w:val="36"/>
            </w:rPr>
            <w:t>第一部分：理论基础——评估权力的谱系学</w:t>
          </w:r>
          <w:r>
            <w:tab/>
          </w:r>
          <w:r>
            <w:fldChar w:fldCharType="begin"/>
          </w:r>
          <w:r>
            <w:instrText xml:space="preserve"> PAGEREF _Toc817459207 \h </w:instrText>
          </w:r>
          <w:r>
            <w:fldChar w:fldCharType="separate"/>
          </w:r>
          <w:r>
            <w:t>13</w:t>
          </w:r>
          <w:r>
            <w:fldChar w:fldCharType="end"/>
          </w:r>
          <w:r>
            <w:rPr>
              <w:rFonts w:hint="eastAsia" w:ascii="宋体" w:hAnsi="宋体" w:eastAsia="宋体" w:cs="宋体"/>
              <w:lang w:val="en-US" w:eastAsia="zh-CN"/>
            </w:rPr>
            <w:fldChar w:fldCharType="end"/>
          </w:r>
        </w:p>
        <w:p w14:paraId="5FD0DFF1">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_Toc1584002190 </w:instrText>
          </w:r>
          <w:r>
            <w:rPr>
              <w:rFonts w:hint="eastAsia" w:ascii="宋体" w:hAnsi="宋体" w:eastAsia="宋体" w:cs="宋体"/>
              <w:lang w:val="en-US" w:eastAsia="zh-CN"/>
            </w:rPr>
            <w:fldChar w:fldCharType="separate"/>
          </w:r>
          <w:r>
            <w:rPr>
              <w:rFonts w:hint="eastAsia" w:ascii="宋体" w:hAnsi="宋体" w:eastAsia="宋体" w:cs="宋体"/>
            </w:rPr>
            <w:t>第一章：权力的本体论：作为“可能性收敛”的能力</w:t>
          </w:r>
          <w:r>
            <w:tab/>
          </w:r>
          <w:r>
            <w:fldChar w:fldCharType="begin"/>
          </w:r>
          <w:r>
            <w:instrText xml:space="preserve"> PAGEREF _Toc1584002190 \h </w:instrText>
          </w:r>
          <w:r>
            <w:fldChar w:fldCharType="separate"/>
          </w:r>
          <w:r>
            <w:t>13</w:t>
          </w:r>
          <w:r>
            <w:fldChar w:fldCharType="end"/>
          </w:r>
          <w:r>
            <w:rPr>
              <w:rFonts w:hint="eastAsia" w:ascii="宋体" w:hAnsi="宋体" w:eastAsia="宋体" w:cs="宋体"/>
              <w:lang w:val="en-US" w:eastAsia="zh-CN"/>
            </w:rPr>
            <w:fldChar w:fldCharType="end"/>
          </w:r>
        </w:p>
        <w:p w14:paraId="15F3932F">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_Toc2117519118 </w:instrText>
          </w:r>
          <w:r>
            <w:rPr>
              <w:rFonts w:hint="eastAsia" w:ascii="宋体" w:hAnsi="宋体" w:eastAsia="宋体" w:cs="宋体"/>
              <w:lang w:val="en-US" w:eastAsia="zh-CN"/>
            </w:rPr>
            <w:fldChar w:fldCharType="separate"/>
          </w:r>
          <w:r>
            <w:rPr>
              <w:rFonts w:hint="eastAsia" w:ascii="宋体" w:hAnsi="宋体" w:eastAsia="宋体" w:cs="宋体"/>
            </w:rPr>
            <w:t>第二章：评估异化：从共识建构到单向认证</w:t>
          </w:r>
          <w:r>
            <w:tab/>
          </w:r>
          <w:r>
            <w:fldChar w:fldCharType="begin"/>
          </w:r>
          <w:r>
            <w:instrText xml:space="preserve"> PAGEREF _Toc2117519118 \h </w:instrText>
          </w:r>
          <w:r>
            <w:fldChar w:fldCharType="separate"/>
          </w:r>
          <w:r>
            <w:t>25</w:t>
          </w:r>
          <w:r>
            <w:fldChar w:fldCharType="end"/>
          </w:r>
          <w:r>
            <w:rPr>
              <w:rFonts w:hint="eastAsia" w:ascii="宋体" w:hAnsi="宋体" w:eastAsia="宋体" w:cs="宋体"/>
              <w:lang w:val="en-US" w:eastAsia="zh-CN"/>
            </w:rPr>
            <w:fldChar w:fldCharType="end"/>
          </w:r>
        </w:p>
        <w:p w14:paraId="7A907BEB">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_Toc1044818142 </w:instrText>
          </w:r>
          <w:r>
            <w:rPr>
              <w:rFonts w:hint="eastAsia" w:ascii="宋体" w:hAnsi="宋体" w:eastAsia="宋体" w:cs="宋体"/>
              <w:lang w:val="en-US" w:eastAsia="zh-CN"/>
            </w:rPr>
            <w:fldChar w:fldCharType="separate"/>
          </w:r>
          <w:r>
            <w:rPr>
              <w:rFonts w:hint="eastAsia" w:ascii="宋体" w:hAnsi="宋体" w:eastAsia="宋体" w:cs="宋体"/>
              <w:szCs w:val="36"/>
            </w:rPr>
            <w:t>第二部分：经验场域——数字技术下的评估异化</w:t>
          </w:r>
          <w:r>
            <w:tab/>
          </w:r>
          <w:r>
            <w:fldChar w:fldCharType="begin"/>
          </w:r>
          <w:r>
            <w:instrText xml:space="preserve"> PAGEREF _Toc1044818142 \h </w:instrText>
          </w:r>
          <w:r>
            <w:fldChar w:fldCharType="separate"/>
          </w:r>
          <w:r>
            <w:t>39</w:t>
          </w:r>
          <w:r>
            <w:fldChar w:fldCharType="end"/>
          </w:r>
          <w:r>
            <w:rPr>
              <w:rFonts w:hint="eastAsia" w:ascii="宋体" w:hAnsi="宋体" w:eastAsia="宋体" w:cs="宋体"/>
              <w:lang w:val="en-US" w:eastAsia="zh-CN"/>
            </w:rPr>
            <w:fldChar w:fldCharType="end"/>
          </w:r>
        </w:p>
        <w:p w14:paraId="5D2FC20A">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_Toc284731075 </w:instrText>
          </w:r>
          <w:r>
            <w:rPr>
              <w:rFonts w:hint="eastAsia" w:ascii="宋体" w:hAnsi="宋体" w:eastAsia="宋体" w:cs="宋体"/>
              <w:lang w:val="en-US" w:eastAsia="zh-CN"/>
            </w:rPr>
            <w:fldChar w:fldCharType="separate"/>
          </w:r>
          <w:r>
            <w:rPr>
              <w:rFonts w:hint="eastAsia" w:ascii="宋体" w:hAnsi="宋体" w:eastAsia="宋体" w:cs="宋体"/>
            </w:rPr>
            <w:t>第三章：算法的全景敞视：信用评分与社会治理</w:t>
          </w:r>
          <w:r>
            <w:tab/>
          </w:r>
          <w:r>
            <w:fldChar w:fldCharType="begin"/>
          </w:r>
          <w:r>
            <w:instrText xml:space="preserve"> PAGEREF _Toc284731075 \h </w:instrText>
          </w:r>
          <w:r>
            <w:fldChar w:fldCharType="separate"/>
          </w:r>
          <w:r>
            <w:t>39</w:t>
          </w:r>
          <w:r>
            <w:fldChar w:fldCharType="end"/>
          </w:r>
          <w:r>
            <w:rPr>
              <w:rFonts w:hint="eastAsia" w:ascii="宋体" w:hAnsi="宋体" w:eastAsia="宋体" w:cs="宋体"/>
              <w:lang w:val="en-US" w:eastAsia="zh-CN"/>
            </w:rPr>
            <w:fldChar w:fldCharType="end"/>
          </w:r>
        </w:p>
        <w:p w14:paraId="188FA1DD">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_Toc881612009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第四章：平台资本主义与“强制自愿”的劳动</w:t>
          </w:r>
          <w:r>
            <w:tab/>
          </w:r>
          <w:r>
            <w:fldChar w:fldCharType="begin"/>
          </w:r>
          <w:r>
            <w:instrText xml:space="preserve"> PAGEREF _Toc881612009 \h </w:instrText>
          </w:r>
          <w:r>
            <w:fldChar w:fldCharType="separate"/>
          </w:r>
          <w:r>
            <w:t>51</w:t>
          </w:r>
          <w:r>
            <w:fldChar w:fldCharType="end"/>
          </w:r>
          <w:r>
            <w:rPr>
              <w:rFonts w:hint="eastAsia" w:ascii="宋体" w:hAnsi="宋体" w:eastAsia="宋体" w:cs="宋体"/>
              <w:lang w:val="en-US" w:eastAsia="zh-CN"/>
            </w:rPr>
            <w:fldChar w:fldCharType="end"/>
          </w:r>
        </w:p>
        <w:p w14:paraId="47405952">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_Toc1763354610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第五章：公共领域的瓦解：语境污染与语义极化</w:t>
          </w:r>
          <w:r>
            <w:tab/>
          </w:r>
          <w:r>
            <w:fldChar w:fldCharType="begin"/>
          </w:r>
          <w:r>
            <w:instrText xml:space="preserve"> PAGEREF _Toc1763354610 \h </w:instrText>
          </w:r>
          <w:r>
            <w:fldChar w:fldCharType="separate"/>
          </w:r>
          <w:r>
            <w:t>64</w:t>
          </w:r>
          <w:r>
            <w:fldChar w:fldCharType="end"/>
          </w:r>
          <w:r>
            <w:rPr>
              <w:rFonts w:hint="eastAsia" w:ascii="宋体" w:hAnsi="宋体" w:eastAsia="宋体" w:cs="宋体"/>
              <w:lang w:val="en-US" w:eastAsia="zh-CN"/>
            </w:rPr>
            <w:fldChar w:fldCharType="end"/>
          </w:r>
        </w:p>
        <w:p w14:paraId="59DC077D">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_Toc1426601670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第三部分：抵抗与未来——夺回评估权的可能性</w:t>
          </w:r>
          <w:r>
            <w:tab/>
          </w:r>
          <w:r>
            <w:fldChar w:fldCharType="begin"/>
          </w:r>
          <w:r>
            <w:instrText xml:space="preserve"> PAGEREF _Toc1426601670 \h </w:instrText>
          </w:r>
          <w:r>
            <w:fldChar w:fldCharType="separate"/>
          </w:r>
          <w:r>
            <w:t>76</w:t>
          </w:r>
          <w:r>
            <w:fldChar w:fldCharType="end"/>
          </w:r>
          <w:r>
            <w:rPr>
              <w:rFonts w:hint="eastAsia" w:ascii="宋体" w:hAnsi="宋体" w:eastAsia="宋体" w:cs="宋体"/>
              <w:lang w:val="en-US" w:eastAsia="zh-CN"/>
            </w:rPr>
            <w:fldChar w:fldCharType="end"/>
          </w:r>
        </w:p>
        <w:p w14:paraId="03F8C1D1">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_Toc239348935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第六章：微观抵抗的策略：“边缘体系”的建立</w:t>
          </w:r>
          <w:r>
            <w:tab/>
          </w:r>
          <w:r>
            <w:fldChar w:fldCharType="begin"/>
          </w:r>
          <w:r>
            <w:instrText xml:space="preserve"> PAGEREF _Toc239348935 \h </w:instrText>
          </w:r>
          <w:r>
            <w:fldChar w:fldCharType="separate"/>
          </w:r>
          <w:r>
            <w:t>76</w:t>
          </w:r>
          <w:r>
            <w:fldChar w:fldCharType="end"/>
          </w:r>
          <w:r>
            <w:rPr>
              <w:rFonts w:hint="eastAsia" w:ascii="宋体" w:hAnsi="宋体" w:eastAsia="宋体" w:cs="宋体"/>
              <w:lang w:val="en-US" w:eastAsia="zh-CN"/>
            </w:rPr>
            <w:fldChar w:fldCharType="end"/>
          </w:r>
        </w:p>
        <w:p w14:paraId="5701E57C">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_Toc500679714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第七章：制度层面的重构：迈向“评估正义”</w:t>
          </w:r>
          <w:r>
            <w:tab/>
          </w:r>
          <w:r>
            <w:fldChar w:fldCharType="begin"/>
          </w:r>
          <w:r>
            <w:instrText xml:space="preserve"> PAGEREF _Toc500679714 \h </w:instrText>
          </w:r>
          <w:r>
            <w:fldChar w:fldCharType="separate"/>
          </w:r>
          <w:r>
            <w:t>88</w:t>
          </w:r>
          <w:r>
            <w:fldChar w:fldCharType="end"/>
          </w:r>
          <w:r>
            <w:rPr>
              <w:rFonts w:hint="eastAsia" w:ascii="宋体" w:hAnsi="宋体" w:eastAsia="宋体" w:cs="宋体"/>
              <w:lang w:val="en-US" w:eastAsia="zh-CN"/>
            </w:rPr>
            <w:fldChar w:fldCharType="end"/>
          </w:r>
        </w:p>
        <w:p w14:paraId="6D815569">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_Toc1083024252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结论：在评估的枷锁下舞蹈</w:t>
          </w:r>
          <w:r>
            <w:tab/>
          </w:r>
          <w:r>
            <w:fldChar w:fldCharType="begin"/>
          </w:r>
          <w:r>
            <w:instrText xml:space="preserve"> PAGEREF _Toc1083024252 \h </w:instrText>
          </w:r>
          <w:r>
            <w:fldChar w:fldCharType="separate"/>
          </w:r>
          <w:r>
            <w:t>100</w:t>
          </w:r>
          <w:r>
            <w:fldChar w:fldCharType="end"/>
          </w:r>
          <w:r>
            <w:rPr>
              <w:rFonts w:hint="eastAsia" w:ascii="宋体" w:hAnsi="宋体" w:eastAsia="宋体" w:cs="宋体"/>
              <w:lang w:val="en-US" w:eastAsia="zh-CN"/>
            </w:rPr>
            <w:fldChar w:fldCharType="end"/>
          </w:r>
        </w:p>
        <w:p w14:paraId="4ED21FB6">
          <w:pPr>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fldChar w:fldCharType="end"/>
          </w:r>
        </w:p>
      </w:sdtContent>
    </w:sdt>
    <w:p w14:paraId="1840B758">
      <w:pPr>
        <w:rPr>
          <w:rFonts w:hint="eastAsia" w:ascii="宋体" w:hAnsi="宋体" w:eastAsia="宋体" w:cs="宋体"/>
          <w:lang w:val="en-US" w:eastAsia="zh-CN"/>
        </w:rPr>
        <w:sectPr>
          <w:pgSz w:w="11906" w:h="16838"/>
          <w:pgMar w:top="1440" w:right="1800" w:bottom="1440" w:left="1800" w:header="851" w:footer="992" w:gutter="0"/>
          <w:cols w:space="425" w:num="1"/>
          <w:docGrid w:type="lines" w:linePitch="312" w:charSpace="0"/>
        </w:sectPr>
      </w:pPr>
    </w:p>
    <w:p w14:paraId="38ECD03B">
      <w:pPr>
        <w:pStyle w:val="3"/>
        <w:bidi w:val="0"/>
        <w:rPr>
          <w:rFonts w:hint="eastAsia" w:ascii="宋体" w:hAnsi="宋体" w:eastAsia="宋体" w:cs="宋体"/>
          <w:sz w:val="24"/>
        </w:rPr>
      </w:pPr>
      <w:bookmarkStart w:id="4" w:name="_Toc1630658998"/>
      <w:r>
        <w:rPr>
          <w:rFonts w:hint="eastAsia" w:ascii="宋体" w:hAnsi="宋体" w:eastAsia="宋体" w:cs="宋体"/>
          <w:sz w:val="36"/>
          <w:szCs w:val="36"/>
        </w:rPr>
        <w:t>导论：从规训到评估——数字时代权力的范式转移</w:t>
      </w:r>
      <w:bookmarkEnd w:id="4"/>
    </w:p>
    <w:p w14:paraId="2374EF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清晨，当第一缕数字化的阳光——智能手机屏幕的光亮——刺破睡意，我们的一天便在无形的评估网络中开始了。</w:t>
      </w:r>
    </w:p>
    <w:p w14:paraId="19335E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B577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算法根据我们的历史浏览数据，推送了它“认为”我们最感兴趣的新闻；智能手环记录下我们的睡眠质量，并给出一个分数，悄然塑造着我们对健康的认知；出门上班，网约车平台的派单逻辑与路线规划，不仅决定了我们的通勤效率，也通过评分机制持续规训着司机与乘客的行为；工作期间，协同办公软件量化着我们的任务进度与沟通频率，绩效考核系统将复杂的劳动过程压缩为冰冷的KPI指标；午餐时分，外卖平台的推荐算法引导着我们的味蕾，而我们的每一次选择与评价，又反过来成为训练算法的养料；傍晚，社交媒体上的点赞、评论与转发，构成了我们社会资本的晴雨表，维系着我们脆弱的数字身份认同；深夜，当我们向银行申请一笔小额贷款时，一个我们无从知晓其内部运作的信用评分模型，在几秒钟内就对我们的“可信度”做出了最终裁决，其影响可能伴随我们数年之久。</w:t>
      </w:r>
    </w:p>
    <w:p w14:paraId="1FE407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326F7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并非未来主义的科幻想象，而是我们每个人身处的、被数据与算法深度渗透的日常现实。我们生活在一个前所未有的“全面评估”时代。一种新型的权力形态，如毛细血管般渗透到社会肌体的最末端，它不再依赖于监狱的高墙、工厂的纪律或是国家的宏大叙事，而是通过一种更为精微、更为个性化、也更为无孔不入的技术——“评估”——来实施治理与控制。这种权力以“客观”、“中立”、“高效”的数据为外衣，以“个性化推荐”、“用户体验优化”为诱饵，将社会成员转化为持续不断被测量、被比较、被排序的“数据化主体”。我们自愿地交出数据，积极地参与评估，甚至内化了评估的逻辑，在无休止的自我优化与绩效竞争中，为自己戴上了一副由代码编织而成的、名为“评估”的精致枷锁。</w:t>
      </w:r>
    </w:p>
    <w:p w14:paraId="30331D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FC8D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本书的核心关切正在于此。它试图回答一个根本性的问题：在21世纪的数字图景中，权力是如何运作的？如果说，米歇尔·福柯（Michel Foucault）为我们揭示了现代社会中“规训权力”与“生命权力”的秘密，那么，在算法、大数据与人工智能已成为社会核心基础设施的今天，我们是否正在经历一场权力的范式转移？本书认为，答案是肯定的。一种以“评估”为核心治理技术的权力新范式正在崛起，它并未完全取代旧有的权力形态，而是在其基础上进行了一次精密的迭代与升级，形成了一种更具适应性、更具渗透性、也更具隐蔽性的控制机制。</w:t>
      </w:r>
    </w:p>
    <w:p w14:paraId="03A2F5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5CC9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本书将这一新兴的权力范式命名为“评估权力”（Evaluative Power）。它旨在系统地描绘评估权力的运作逻辑、技术基础、社会后果，并探索在这一权力网络中，个体与社会进行抵抗与重构的可能性。为此，本书将提出一个原创性的理论框架——“权力差序”与“评估异化”——作为分析的支点，通过谱系学考察、经验场域分析与批判性反思，为理解我们所处的数字时代提供一个全新的理论透镜。</w:t>
      </w:r>
    </w:p>
    <w:p w14:paraId="6F55E7F6">
      <w:pPr>
        <w:pStyle w:val="4"/>
        <w:bidi w:val="0"/>
        <w:rPr>
          <w:rFonts w:hint="eastAsia" w:ascii="宋体" w:hAnsi="宋体" w:eastAsia="宋体" w:cs="宋体"/>
          <w:sz w:val="24"/>
        </w:rPr>
      </w:pPr>
      <w:bookmarkStart w:id="5" w:name="_Toc299476372"/>
      <w:r>
        <w:rPr>
          <w:rFonts w:hint="eastAsia" w:ascii="宋体" w:hAnsi="宋体" w:eastAsia="宋体" w:cs="宋体"/>
        </w:rPr>
        <w:t>福柯之后：超越“规训权力”与“生命权力”</w:t>
      </w:r>
      <w:bookmarkEnd w:id="5"/>
    </w:p>
    <w:p w14:paraId="00D3E9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任何对当代权力形态的严肃探讨，都无法绕开米歇尔·福柯这座巍峨的思想高峰。福柯以其惊人的洞察力，颠覆了传统政治哲学中将权力等同于主权、法律与压迫的“君权”模型。他指出，现代社会的权力是一种生产性的、弥散性的、关系性的存在，它不只是“禁止”与“惩罚”，更是“塑造”与“引导”。在其里程碑式的著作《规训与惩罚》中，福柯系统阐述了“规训权力”（Disciplinary Power）的运作机制。</w:t>
      </w:r>
    </w:p>
    <w:p w14:paraId="6946A9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0963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规训权力的核心场域是19世纪的各种封闭空间：监狱、兵营、工厂、学校、医院。其目标是通过一系列精密的“权力技术”，如层级监视（以边沁的全景敞视监狱为理想模型）、规范化裁决（考试、检查）以及对身体的精细分割与训练（时间表、操作分解），来塑造“驯顺的肉体”（Docile Bodies）。这种权力的特点在于其连续性、个体化与总体化。它不再满足于对越轨行为的偶发性惩罚，而是致力于对个体进行持续的监视与矫正，将其打造成符合社会规范的、既有用又顺从的个体。全景敞视主义（Panopticism）的精髓在于，监视的权力是可见的（高耸的瞭望塔）而又无法被核实的（囚犯不知道自己何时被监视），这种不对称的可见性最终会使被监视者将监视的目光内化于心，实现自我规训。</w:t>
      </w:r>
    </w:p>
    <w:p w14:paraId="56CCA8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D739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福柯很快意识到，仅有对个体的规训尚不足以解释现代国家对人口的治理。在《性史（第一卷）》及法兰西学院的系列讲座中，他进一步提出了“生命权力”（Biopower）的概念。如果说规训权力作用于“个体-身体”，那么生命权力则作用于“人口-身体”。它关注的是作为物种的人类集体的生命过程：出生率、死亡率、健康水平、寿命、种族等。其治理技术不再是身体的训练，而是统计学、人口学、公共卫生、城市规划等宏观调控手段。国家通过对人口生命特征的计算、预测与调节，来确保劳动力的再生产与国力的强盛。生命权力与规训权力共同构成了现代权力的“两极”，一极是个体身体的解剖政治学，另一极是人口生命的调节政治学，二者相互支撑，共同编织了现代社会的治理网络。</w:t>
      </w:r>
    </w:p>
    <w:p w14:paraId="7E4476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1FB92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福柯的权力分析理论，无疑为我们理解现代社会提供了无与倫比的锐利武器。然而，当我们用这套理论来审视当下的数字社会时，却会发现其解释力出现了某种程度的“失焦”。数字时代的权力运作，呈现出一些显著区别于经典规训与生命权力的新特征：</w:t>
      </w:r>
    </w:p>
    <w:p w14:paraId="769287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CCC3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第一，从“封闭空间”到“开放网络”的转变</w:t>
      </w:r>
      <w:r>
        <w:rPr>
          <w:rFonts w:hint="eastAsia" w:ascii="宋体" w:hAnsi="宋体" w:eastAsia="宋体" w:cs="宋体"/>
          <w:sz w:val="24"/>
          <w:lang w:eastAsia="zh-CN"/>
        </w:rPr>
        <w:t>。</w:t>
      </w:r>
      <w:r>
        <w:rPr>
          <w:rFonts w:hint="eastAsia" w:ascii="宋体" w:hAnsi="宋体" w:eastAsia="宋体" w:cs="宋体"/>
          <w:sz w:val="24"/>
        </w:rPr>
        <w:t>规训权力高度依赖于物理性的封闭空间。然而，数字评估权力却在开放的网络环境中运作。我们不再需要被禁锢在特定的场所，智能手机、可穿戴设备、物联网传感器等构成了流动的、无处不在的“数字圆形监狱”。监视不再局限于特定的时间与地点，而是化为24/7全天候的数据追踪，覆盖了我们的工作、消费、社交、健康乃至情感生活的方方面面。</w:t>
      </w:r>
    </w:p>
    <w:p w14:paraId="1E1EB7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0101D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第二，从“规范化”到“最优化”的逻辑演进</w:t>
      </w:r>
      <w:r>
        <w:rPr>
          <w:rFonts w:hint="eastAsia" w:ascii="宋体" w:hAnsi="宋体" w:eastAsia="宋体" w:cs="宋体"/>
          <w:sz w:val="24"/>
          <w:lang w:eastAsia="zh-CN"/>
        </w:rPr>
        <w:t>。</w:t>
      </w:r>
      <w:r>
        <w:rPr>
          <w:rFonts w:hint="eastAsia" w:ascii="宋体" w:hAnsi="宋体" w:eastAsia="宋体" w:cs="宋体"/>
          <w:sz w:val="24"/>
        </w:rPr>
        <w:t>规训权力的目标是使个体符合一个预设的“规范”，消除偏差，趋于同质。而评估权力的逻辑则更倾向于“最优化”。它通过评分、排名、排行榜等机制，激励个体在一个永无止境的竞争阶梯上不断攀爬。它追求的不是整齐划一的“合格品”，而是能够不断迭代、自我提升、追求更高绩效的“最优解”。这种逻辑将社会成员从“被规训者”转变为“自我经营的企业家”，每个人都必须为自己的人力资本、社会资本和健康资本负责，并持续进行投资与增值。</w:t>
      </w:r>
    </w:p>
    <w:p w14:paraId="4A71E7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5025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第三，从“矫正过去”到“预测未来”的时间转向</w:t>
      </w:r>
      <w:r>
        <w:rPr>
          <w:rFonts w:hint="eastAsia" w:ascii="宋体" w:hAnsi="宋体" w:eastAsia="宋体" w:cs="宋体"/>
          <w:sz w:val="24"/>
          <w:lang w:eastAsia="zh-CN"/>
        </w:rPr>
        <w:t>。</w:t>
      </w:r>
      <w:r>
        <w:rPr>
          <w:rFonts w:hint="eastAsia" w:ascii="宋体" w:hAnsi="宋体" w:eastAsia="宋体" w:cs="宋体"/>
          <w:sz w:val="24"/>
        </w:rPr>
        <w:t>规训权力是一种回溯性的权力，它基于个体过去的行为（如考试成绩、犯罪记录）来进行裁决与矫正。生命权力则关注人口当下的状态与趋势。而数字评估权力则具有鲜明的“前瞻性”（forward-looking）。它通过对海量历史数据的挖掘，构建预测模型，其目的不再是惩罚已经发生的行为，而是为了预测、评估甚至“预置”未来的可能性。预测性警务试图在犯罪发生前锁定高风险区域与个体；信用评分系统评估的是未来的违约风险；保险公司则根据你的驾驶数据来预测未来的出险概率。在这种逻辑下，个体不再因其所为而被评判，而是因其“可能所为”而被分类、被干预。</w:t>
      </w:r>
    </w:p>
    <w:p w14:paraId="015DF1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08F3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第四，从“宏大人口”到“精细个体”的治理粒度</w:t>
      </w:r>
      <w:r>
        <w:rPr>
          <w:rFonts w:hint="eastAsia" w:ascii="宋体" w:hAnsi="宋体" w:eastAsia="宋体" w:cs="宋体"/>
          <w:sz w:val="24"/>
          <w:lang w:eastAsia="zh-CN"/>
        </w:rPr>
        <w:t>。</w:t>
      </w:r>
      <w:r>
        <w:rPr>
          <w:rFonts w:hint="eastAsia" w:ascii="宋体" w:hAnsi="宋体" w:eastAsia="宋体" w:cs="宋体"/>
          <w:sz w:val="24"/>
        </w:rPr>
        <w:t>生命权力作用于统计学意义上的人口，其干预是宏观的、分类的。而数字评估权力则实现了前所未有的治理粒度。它能够穿透“人口”这一统计学集合，直达每一个独一无二的个体。基于个人数据的“画像”技术，可以实现“千人千面”的精准推送、个性化定价与差异化管理。权力不再需要通过粗放的人口分类来施政，而是可以直接对每个个体进行实时的、动态的、定制化的干预。这是一种“个体化的生命权力”，它将福柯所说的两极——解剖政治学与生命调节政治学——在数字化的层面上诡异地融合了。</w:t>
      </w:r>
    </w:p>
    <w:p w14:paraId="74645B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A07C4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正是基于以上差异，我们有理由认为，一种新的权力范式正在形成。德勒兹（Gilles Deleuze）曾在其短文《后记：论控制社会》中预言性地指出，我们将从福柯所描述的“规训社会”过渡到“控制社会”。在控制社会中，权力不再通过模具（molding）来塑造个体，而是通过调制（modulation）来进行持续的、网络的、流动的控制。我们认为，“评估”正是这种“调制”的核心技术。它将德勒兹的哲学预言，转化为一个可以被经验性地观察和分析的社会现实。因此，本书的研究起点，正是要对“评估”这一看似中性的技术活动进行一次彻底的“权力考古学”分析。</w:t>
      </w:r>
    </w:p>
    <w:p w14:paraId="6BF4FF43">
      <w:pPr>
        <w:pStyle w:val="4"/>
        <w:bidi w:val="0"/>
        <w:rPr>
          <w:rFonts w:hint="eastAsia" w:ascii="宋体" w:hAnsi="宋体" w:eastAsia="宋体" w:cs="宋体"/>
          <w:sz w:val="24"/>
        </w:rPr>
      </w:pPr>
      <w:bookmarkStart w:id="6" w:name="_Toc1745199283"/>
      <w:r>
        <w:rPr>
          <w:rFonts w:hint="eastAsia" w:ascii="宋体" w:hAnsi="宋体" w:eastAsia="宋体" w:cs="宋体"/>
        </w:rPr>
        <w:t>“评估”作为一种新的治理技术</w:t>
      </w:r>
      <w:bookmarkEnd w:id="6"/>
    </w:p>
    <w:p w14:paraId="38E6A7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Evaluation）一词，在日常语境中通常指代一种价值判断活动，如评估一篇论文的质量、一个项目的成效或一处房产的价值。它似乎是一种客观、理性的技术性操作。然而，在本书的理论框架中，“评估”被视为一种深刻的政治行为，一种现代社会晚期，特别是数字时代，最为核心的治理技术。</w:t>
      </w:r>
    </w:p>
    <w:p w14:paraId="4740E18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6C43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作为一种治理技术，数字评估具有以下几个关键特征：</w:t>
      </w:r>
    </w:p>
    <w:p w14:paraId="7726EA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0EA11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一，量化。评估的首要步骤，是将复杂的、多维度的、原本难以比较的社会现象与个人特质，转化为可计算、可比较的数字指标。无论是教育领域的绩点（GPA）、科研领域的H指数，还是社交媒体上的粉丝数、商业领域的客户终身价值（CLV），其本质都是一种“量化简化”。这种简化过程并非价值中立，它必然会突出某些维度（通常是易于测量的维度），而遮蔽其他维度（如创造力、同情心、伦理关怀等）。正如俗语所言，“什么被测量，什么就被完成”（What gets measured, gets done）。量化不仅是一种描述，更是一种规训，它通过设定测量指标，来引导和塑造被评估者的行为。</w:t>
      </w:r>
    </w:p>
    <w:p w14:paraId="475DEB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A988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二，比较与排序。数字一旦产生，就必然被置于比较的序列之中。评估的内在动力来自于排序的欲望。从大学排名、餐厅评分到员工绩效排序，我们生活在一个被排行榜所包围的世界。排序创造了一种等级森严的“绩效社会”（performance society），个体与组织被迫卷入一场“军备竞赛”式的竞争，不断寻求提升自身在评价体系中的位次。这种竞争压力是评估权力最有效的驱动力之一，它将外部的治理要求，内化为个体追求卓越的内在动机。</w:t>
      </w:r>
    </w:p>
    <w:p w14:paraId="3C79BFF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9DC5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第三，自动化与实时性。传统评估（如年度考核）是周期性的、由人执行的。而数字评估则 increasingly 趋向于自动化和实时化。算法可以7x24小时不间断地收集数据、运行模型、输出评估结果。网约车司机在完成每一单后会立即被评分，电商卖家的信誉度随着每一笔交易动态更新，我们的社交影响力也因每一次互动而实时波动。这种即时反馈机制极大地缩短了行为与奖惩之间的链条，形成了一种高效的、类似于操作性条件反射的控制回路，使得任何偏离“最优”轨道的行为都能被迅速识别和纠正。</w:t>
      </w:r>
    </w:p>
    <w:p w14:paraId="62E3E0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B537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四，不透明性与不可辩驳性。现代评估体系，特别是基于复杂机器学习模型的算法评估，通常以“黑箱”的形式运作。我们知道输入（我们的数据）和输出（评估结果），但中间的决策逻辑却往往是专有的、难以解释的。这种不透明性剥夺了被评估者的申诉权与辩护权。当一个算法拒绝了你的贷款申请，或者将你的简历筛掉时，你很难知道具体原因，更难以对其提出有效的挑战。评估结果往往以一种客观、科学、不容置疑的面目出现，其背后复杂的权力关系、数据偏见与价值预设被技术的外壳巧妙地掩盖了。</w:t>
      </w:r>
    </w:p>
    <w:p w14:paraId="09A78D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047C6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五，反馈循环与自我确证。评估系统并非静态地反映现实，而是动态地塑造现实。它通过一个强大的反馈循环机制，使其自身的预测和分类具有“自我实现”的倾向。例如，一个被预测性警务系统标记为“高风险”的社区，会吸引更多的警力部署，从而导致更多的逮捕记录，这反过来又在数据上“证实”了该社区的“高风险”性。同样，一个被推荐算法判定为“低价值”的用户，会收到更少的优质内容或机会，导致其参与度下降，从而“证实”了其“低价值”的判断。评估不仅在描述世界，更在以自己的面貌创造世界。</w:t>
      </w:r>
    </w:p>
    <w:p w14:paraId="17E57E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F5DC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综上所述，“评估”远非一种中立的技术工具，它是一种权力技术，通过量化、排序、自动化、黑箱化以及自我实现的反馈循环，将复杂的社会现实转化为一个可计算、可管理、可控制的治理场域。它代表了一种治理理念的深刻转变：从对公民权利的保障，转向对个体风险的管理；从对社会平等的追求，转向对绩效差异的激励；从对公共善的协商，转向对数据化指标的优化。</w:t>
      </w:r>
    </w:p>
    <w:p w14:paraId="44786B6E">
      <w:pPr>
        <w:pStyle w:val="4"/>
        <w:bidi w:val="0"/>
        <w:rPr>
          <w:rFonts w:hint="eastAsia" w:ascii="宋体" w:hAnsi="宋体" w:eastAsia="宋体" w:cs="宋体"/>
          <w:sz w:val="24"/>
        </w:rPr>
      </w:pPr>
      <w:bookmarkStart w:id="7" w:name="_Toc1232698655"/>
      <w:r>
        <w:rPr>
          <w:rFonts w:hint="eastAsia" w:ascii="宋体" w:hAnsi="宋体" w:eastAsia="宋体" w:cs="宋体"/>
        </w:rPr>
        <w:t>核心问题：数字技术如何将“评估”内化为一种无处不在的社会控制机制？</w:t>
      </w:r>
      <w:bookmarkEnd w:id="7"/>
    </w:p>
    <w:p w14:paraId="6AE54DB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的核心问题，正是要追问：在数字技术的催化下，“评估”这种治理技术是如何从特定的专业领域（如会计、审计、教育测量）溢出，扩散并“内化”（internalize）为一种弥漫于整个社会的、无处不在的控制机制的？我们认为，这一过程主要通过以下三个相互关联的机制实现：</w:t>
      </w:r>
    </w:p>
    <w:p w14:paraId="106252D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49801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机制一：基础设施化。数字技术，特别是平台，为评估的普及提供了基础设施。Facebook、Google、Amazon、阿里巴巴、腾讯等巨型科技公司，构建了我们这个时代的“数字基础设施”。它们不仅是信息交换的渠道，更是评估的引擎。它们制定了评估的标准（如什么是“相关”的内容，什么是“优质”的商家），垄断了评估所需的数据，并提供了执行评估的算法工具。当我们使用这些平台时，我们不仅是在消费服务，更是在接受并参与其背后的一整套评估体系。评估不再是一种可选择的附加功能，而是深度嵌入到我们日常交往、消费、工作所依赖的基础设施之中，变得不可或缺且难以逃避。</w:t>
      </w:r>
    </w:p>
    <w:p w14:paraId="371CB4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2941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机制二：数据化。如果说平台是评估的骨架，那么数据就是评估的血液。数字技术的核心能力在于其“数据化”的倾向，即将世界上的一切，包括人类的行为、关系、情感，都转化为可供计算分析的数据。我们的每一次点击、每一次停留、每一次地理位置的移动、每一次心率的跳动，都被捕捉、记录、量化。这种“万物皆可数据化”的趋势，极大地扩展了评估的边界。过去那些被认为是私密的、主观的、不可量化的领域，如今都被纳入了评估的视野。评估的权力触角得以伸入到人类经验的最深处，对我们的内在世界进行前所未有的“读心术”式探测与剖析。</w:t>
      </w:r>
    </w:p>
    <w:p w14:paraId="42DBD4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9349E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机制三：主体化。这是评估权力得以“内化”的关键环节。所谓“主体化”，是指个体在与权力关系的互动中，被塑造为特定类型的主体的过程。在评估权力的作用下，我们被塑造为一种“可评估的主体”。我们逐渐学会用评估体系的眼光来看待自己和他人。我们开始主动管理自己的“数字声誉”，精心策划社交媒体上的形象，努力提升自己在各种系统中的评分。我们追求的不再是内在的满足或德性的完善，而是外在的、可量化的指标的提升。这种“为评估而活”的心态，使得外部的控制要求，转化为内在的自我驱动力。福柯笔下的“自我规训”在此升级为“自我优化”。我们成为了自己的监工、自己的绩效经理、自己的数据分析师，心甘情愿地在评估的跑步机上奋力奔跑，而这台跑步机的速度与坡度，却是由我们无法控制的他人设定的。</w:t>
      </w:r>
    </w:p>
    <w:p w14:paraId="5F70B9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149A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基础设施化、数据化与主体化这三大机制的协同作用，评估权力完成了其从外在强制到内在驱动的转化，成为一种深刻影响我们认知、行为与身份认同的社会控制力量。本书后续的经验章节，将分别深入探讨这三大机制在社会治理、市场经济与公共领域等不同场域的具体表现。</w:t>
      </w:r>
    </w:p>
    <w:p w14:paraId="134EB3F4">
      <w:pPr>
        <w:pStyle w:val="4"/>
        <w:bidi w:val="0"/>
        <w:rPr>
          <w:rFonts w:hint="eastAsia" w:ascii="宋体" w:hAnsi="宋体" w:eastAsia="宋体" w:cs="宋体"/>
          <w:sz w:val="24"/>
        </w:rPr>
      </w:pPr>
      <w:bookmarkStart w:id="8" w:name="_Toc1191551976"/>
      <w:r>
        <w:rPr>
          <w:rFonts w:hint="eastAsia" w:ascii="宋体" w:hAnsi="宋体" w:eastAsia="宋体" w:cs="宋体"/>
        </w:rPr>
        <w:t>理论框架：“权力差序”与“评估异化”的分析路径</w:t>
      </w:r>
      <w:bookmarkEnd w:id="8"/>
    </w:p>
    <w:p w14:paraId="23992A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为了系统地剖析评估权力的内在结构与运作逻辑，本书构建了一个由两大核心概念组成的理论框架：“权力差序”（Power Hierarchy）与“评估异化”（Evaluative Alienation）。这两个概念源于对《进阶rc》中核心思想的社会学转译，旨在为本书的批判性分析提供理论的“龙骨”。</w:t>
      </w:r>
    </w:p>
    <w:p w14:paraId="0422D2B1">
      <w:pPr>
        <w:pStyle w:val="5"/>
        <w:bidi w:val="0"/>
        <w:rPr>
          <w:rFonts w:hint="eastAsia" w:ascii="宋体" w:hAnsi="宋体" w:eastAsia="宋体" w:cs="宋体"/>
          <w:sz w:val="24"/>
        </w:rPr>
      </w:pPr>
      <w:r>
        <w:rPr>
          <w:rFonts w:hint="eastAsia" w:ascii="宋体" w:hAnsi="宋体" w:eastAsia="宋体" w:cs="宋体"/>
        </w:rPr>
        <w:t>概念一：权力差序（Power Hierarchy）</w:t>
      </w:r>
    </w:p>
    <w:p w14:paraId="0AA815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传统权力理论往往关注权力的来源（如阶级、国家）或形式（如暴力、意识形态）。而本书提出的“权力差序”概念，则试图从一个更根本的层面来定义权力。我们认为，权力的本质，在于定义和执行评估标准的能力，即“评估权”（Evaluative Power）</w:t>
      </w:r>
      <w:r>
        <w:rPr>
          <w:rFonts w:hint="eastAsia" w:ascii="宋体" w:hAnsi="宋体" w:eastAsia="宋体" w:cs="宋体"/>
          <w:sz w:val="24"/>
          <w:lang w:eastAsia="zh-CN"/>
        </w:rPr>
        <w:t>。</w:t>
      </w:r>
      <w:r>
        <w:rPr>
          <w:rFonts w:hint="eastAsia" w:ascii="宋体" w:hAnsi="宋体" w:eastAsia="宋体" w:cs="宋体"/>
          <w:sz w:val="24"/>
        </w:rPr>
        <w:t>换言之，权力最核心的体现，并非直接命令他人做什么，而是设定一套价值坐标系，让身处其中的行动者自发地按照这套坐标系去行动。</w:t>
      </w:r>
    </w:p>
    <w:p w14:paraId="625A18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A86F7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力差序”指的正是这种“评估权”在社会中的非对称分布。在一个社会系统中，总有一些行动者（优势主体）占据了定义评估标准、设计评估机制、解释评估结果的权力位置，而其他大多数行动者（劣势主体）则只能被动地接受评估，并在既定的框架内努力表现。</w:t>
      </w:r>
    </w:p>
    <w:p w14:paraId="43F341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7330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以平台经济为例，平台方（如Uber、美团）是优势主体。它们设计了评分系统、派单算法、奖励与惩罚机制。而骑手和司机则是劣势主体。他们无法改变评估的标准，只能通过延长工作时间、承担交通风险、压抑个人情绪等方式，来适应这套评估体系，以求获得更高的评分和更多的订单。这种权力结构并非赤裸裸的命令-服从关系，而是一种更为精巧的结构性支配。平台通过垄断“评估权”，重构了整个行业的可能性分布，使得劳动者除了“自愿”接受这套评估枷锁外，别无太多选择。</w:t>
      </w:r>
    </w:p>
    <w:p w14:paraId="112577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934D4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力差序”概念的分析价值在于，它促使我们追问：在任何一个评估体系中，谁是规则的制定者？谁是数据的拥有者？谁是算法的设计者？谁从这套评估中获益？谁又在其中被边缘化？通过揭示评估权力的不平等分配，我们可以穿透“客观”、“中立”的技术表象，直抵其背后深刻的利益与权力关系。</w:t>
      </w:r>
    </w:p>
    <w:p w14:paraId="476078C4">
      <w:pPr>
        <w:pStyle w:val="5"/>
        <w:bidi w:val="0"/>
        <w:rPr>
          <w:rFonts w:hint="eastAsia" w:ascii="宋体" w:hAnsi="宋体" w:eastAsia="宋体" w:cs="宋体"/>
          <w:sz w:val="24"/>
        </w:rPr>
      </w:pPr>
      <w:r>
        <w:rPr>
          <w:rFonts w:hint="eastAsia" w:ascii="宋体" w:hAnsi="宋体" w:eastAsia="宋体" w:cs="宋体"/>
        </w:rPr>
        <w:t>概念二：评估异化（Evaluative Alienation）</w:t>
      </w:r>
    </w:p>
    <w:p w14:paraId="62AC3A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异化”是马克思主义社会批判理论的核心概念，通常指劳动者在资本主义生产过程中，与其劳动产品、劳动过程、自身以及他人都相分离的状态。本书借用并改造了这一概念，提出了“评估异化”理论，用以描述在“权力差序”结构下，评估活动本身所发生的本质性扭曲。</w:t>
      </w:r>
    </w:p>
    <w:p w14:paraId="11324C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8941B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认为，评估在其本源意义上，是一种主体间的、情境化的、旨在促进理解与成长的相互承认活动。例如，一位经验丰富的师傅对徒弟作品的点评，是基于深厚的个人关系、具体的实践情境和共同的价值追求，其目的是帮助徒弟成长。这种评估是双向的、对话式的、充满人文关怀的。</w:t>
      </w:r>
    </w:p>
    <w:p w14:paraId="2C98FE4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66546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然而，在现代评估权力体系中，评估发生了深刻的异化。这种异化主要体现在三个维度：</w:t>
      </w:r>
    </w:p>
    <w:p w14:paraId="352224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79E75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主体消解（Subject Dissolution）：在自动化评估中，评估者与被评估者之间的人际联系被切断。有血有肉的个体被抽象为一串数据流，评估过程变成了算法对数据的冷酷计算。被评估者失去了作为完整“主体”被理解和承认的机会，其独特的背景、潜能与困境被完全无视。同时，评估者（无论是人还是算法）也无需为评估结果承担伦理责任，评估变成了一种非人格化的技术操作。</w:t>
      </w:r>
    </w:p>
    <w:p w14:paraId="67D487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DBA9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认知垄断（Cognitive Monopoly）：优势主体通过建立复杂的、不透明的评估体系，形成了对“价值”的认知垄断。它们定义了什么是“好”的员工、“可信”的借款人、“有影响力”的用户。劣势主体逐渐丧失了自主评估的能力，只能依赖优势主体提供的“标准答案”来判断自我和他人的价值。这种认知上的依附，是评估权力得以维系的重要基础。</w:t>
      </w:r>
    </w:p>
    <w:p w14:paraId="61A859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5455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价值扭曲（Value Distortion）：当评估标准被单一化、量化时，评估活动本身就会扭曲其所要评估的对象。为了在评估中胜出，人们会采取各种策略来“迎合指标”，而非追求事物本身的价值。医生可能会为了完成KPI而进行过度治疗，学者可能会为了发表论文而追逐热点、放弃耗时长的基础研究，内容创作者可能会为了流量而制造耸人听闻的标题。最终，评估工具绑架了评估目标，导致系统性的价值扭曲与“劣币驱逐良币”现象。</w:t>
      </w:r>
    </w:p>
    <w:p w14:paraId="0793A0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C8033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“评估异化”理论揭示了评估权力对人类社会造成的深层伤害。它不仅导致了资源分配的不公，更侵蚀了人与人之间的信任、扭曲了我们对价值的认知、消解了人之为人的主体性与尊严。</w:t>
      </w:r>
    </w:p>
    <w:p w14:paraId="5E7455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E2C41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综上，“权力差序”与“评估异化”共同构成了本书的分析棱镜。前者聚焦于评估权力的宏观结构性不平等，后者则关注其在微观层面造成的社会心理与伦理后果。二者相互补充，共同指向一个核心论断：数字时代的权力，正通过一种异化的评估机制，在社会中建立起新的等级秩序与控制形态。</w:t>
      </w:r>
    </w:p>
    <w:p w14:paraId="694EFE4B">
      <w:pPr>
        <w:pStyle w:val="4"/>
        <w:bidi w:val="0"/>
        <w:rPr>
          <w:rFonts w:hint="eastAsia" w:ascii="宋体" w:hAnsi="宋体" w:eastAsia="宋体" w:cs="宋体"/>
          <w:sz w:val="24"/>
        </w:rPr>
      </w:pPr>
      <w:bookmarkStart w:id="9" w:name="_Toc1129052357"/>
      <w:r>
        <w:rPr>
          <w:rFonts w:hint="eastAsia" w:ascii="宋体" w:hAnsi="宋体" w:eastAsia="宋体" w:cs="宋体"/>
        </w:rPr>
        <w:t>章节结构与研究方法</w:t>
      </w:r>
      <w:bookmarkEnd w:id="9"/>
    </w:p>
    <w:p w14:paraId="14CA6A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为了系统地展开上述论证，本书的结构安排如下：</w:t>
      </w:r>
    </w:p>
    <w:p w14:paraId="16E4F9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17DB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第一部分：理论基础——评估权力的谱系学</w:t>
      </w:r>
      <w:r>
        <w:rPr>
          <w:rFonts w:hint="eastAsia" w:ascii="宋体" w:hAnsi="宋体" w:eastAsia="宋体" w:cs="宋体"/>
          <w:sz w:val="24"/>
          <w:lang w:eastAsia="zh-CN"/>
        </w:rPr>
        <w:t>。</w:t>
      </w:r>
      <w:r>
        <w:rPr>
          <w:rFonts w:hint="eastAsia" w:ascii="宋体" w:hAnsi="宋体" w:eastAsia="宋体" w:cs="宋体"/>
          <w:sz w:val="24"/>
        </w:rPr>
        <w:t>这一部分旨在为全书的分析奠定坚实的理论根基。</w:t>
      </w:r>
    </w:p>
    <w:p w14:paraId="60DBFC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B741B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第一章：权力的本体论：作为“可能性收敛”的能力</w:t>
      </w:r>
      <w:r>
        <w:rPr>
          <w:rFonts w:hint="eastAsia" w:ascii="宋体" w:hAnsi="宋体" w:eastAsia="宋体" w:cs="宋体"/>
          <w:sz w:val="24"/>
          <w:lang w:eastAsia="zh-CN"/>
        </w:rPr>
        <w:t>。</w:t>
      </w:r>
      <w:r>
        <w:rPr>
          <w:rFonts w:hint="eastAsia" w:ascii="宋体" w:hAnsi="宋体" w:eastAsia="宋体" w:cs="宋体"/>
          <w:sz w:val="24"/>
        </w:rPr>
        <w:t>本章将追溯本书理论框架的哲学源头，重思权力的本质。它将论证，权力是一种收敛他人行动可能性的能力，而“评估权”正是这种能力在当代社会最核心的体现。本章将与马克思、韦伯、福柯等经典权力理论进行深入对话，确立本书的理论坐标。</w:t>
      </w:r>
    </w:p>
    <w:p w14:paraId="46C9DE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FFA8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第二章：评估异化：从共识建构到单向认证</w:t>
      </w:r>
      <w:r>
        <w:rPr>
          <w:rFonts w:hint="eastAsia" w:ascii="宋体" w:hAnsi="宋体" w:eastAsia="宋体" w:cs="宋体"/>
          <w:sz w:val="24"/>
          <w:lang w:eastAsia="zh-CN"/>
        </w:rPr>
        <w:t>。</w:t>
      </w:r>
      <w:r>
        <w:rPr>
          <w:rFonts w:hint="eastAsia" w:ascii="宋体" w:hAnsi="宋体" w:eastAsia="宋体" w:cs="宋体"/>
          <w:sz w:val="24"/>
        </w:rPr>
        <w:t>本章将详细阐述“评估异化”理论。通过对评估活动进行谱系学考察，本章将追溯其从主体间的相互承认，到现代社会中标准化的、单向度的认证体系的演变过程，并系统分析评估异化在主体、认知、价值三个维度上的具体表现。</w:t>
      </w:r>
    </w:p>
    <w:p w14:paraId="7CCFBC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A22BE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第二部分：经验场域——数字技术下的评估异化</w:t>
      </w:r>
      <w:r>
        <w:rPr>
          <w:rFonts w:hint="eastAsia" w:ascii="宋体" w:hAnsi="宋体" w:eastAsia="宋体" w:cs="宋体"/>
          <w:sz w:val="24"/>
          <w:lang w:eastAsia="zh-CN"/>
        </w:rPr>
        <w:t>。</w:t>
      </w:r>
      <w:r>
        <w:rPr>
          <w:rFonts w:hint="eastAsia" w:ascii="宋体" w:hAnsi="宋体" w:eastAsia="宋体" w:cs="宋体"/>
          <w:sz w:val="24"/>
        </w:rPr>
        <w:t>这一部分是全书的核心，将运用理论框架对三个关键的社会领域进行深入的案例分析。</w:t>
      </w:r>
    </w:p>
    <w:p w14:paraId="3BB0FF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D032E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第三章：算法的全景敞视：信用评分与社会治理</w:t>
      </w:r>
      <w:r>
        <w:rPr>
          <w:rFonts w:hint="eastAsia" w:ascii="宋体" w:hAnsi="宋体" w:eastAsia="宋体" w:cs="宋体"/>
          <w:sz w:val="24"/>
          <w:lang w:eastAsia="zh-CN"/>
        </w:rPr>
        <w:t>。</w:t>
      </w:r>
      <w:r>
        <w:rPr>
          <w:rFonts w:hint="eastAsia" w:ascii="宋体" w:hAnsi="宋体" w:eastAsia="宋体" w:cs="宋体"/>
          <w:sz w:val="24"/>
        </w:rPr>
        <w:t>本章聚焦于国家与社会治理领域，以社会信用体系、预测性警务等为案例，分析评估权力如何将公民转化为可计算、可管理的“数据身体”，以及这种治理模式对公民权利与社会公正构成的挑战。</w:t>
      </w:r>
    </w:p>
    <w:p w14:paraId="4CD68C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D887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第四章：平台资本主义与“强制自愿”的劳动</w:t>
      </w:r>
      <w:r>
        <w:rPr>
          <w:rFonts w:hint="eastAsia" w:ascii="宋体" w:hAnsi="宋体" w:eastAsia="宋体" w:cs="宋体"/>
          <w:sz w:val="24"/>
          <w:lang w:eastAsia="zh-CN"/>
        </w:rPr>
        <w:t>。</w:t>
      </w:r>
      <w:r>
        <w:rPr>
          <w:rFonts w:hint="eastAsia" w:ascii="宋体" w:hAnsi="宋体" w:eastAsia="宋体" w:cs="宋体"/>
          <w:sz w:val="24"/>
        </w:rPr>
        <w:t>本章转向市场经济领域，重点剖析零工经济、电商平台等场景。本章将揭示平台如何通过垄断评估权，对劳动者与消费者进行精密的控制与价值攫取，并制造出一种看似自由选择、实则深度剥削的“强制自愿”结构。</w:t>
      </w:r>
    </w:p>
    <w:p w14:paraId="390E0B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3712B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第五章：公共领域的瓦解：语境污染与语义极化</w:t>
      </w:r>
      <w:r>
        <w:rPr>
          <w:rFonts w:hint="eastAsia" w:ascii="宋体" w:hAnsi="宋体" w:eastAsia="宋体" w:cs="宋体"/>
          <w:sz w:val="24"/>
          <w:lang w:eastAsia="zh-CN"/>
        </w:rPr>
        <w:t>。</w:t>
      </w:r>
      <w:r>
        <w:rPr>
          <w:rFonts w:hint="eastAsia" w:ascii="宋体" w:hAnsi="宋体" w:eastAsia="宋体" w:cs="宋体"/>
          <w:sz w:val="24"/>
        </w:rPr>
        <w:t>本章关注文化与政治领域，探讨社交媒体的推荐算法与评估机制如何重塑公共话语空间。本章将分析“语境污染”与“语义极化”现象，论证评估权力如何通过操纵信息与情绪，瓦解理性共识的形成基础，加剧社会撕裂。</w:t>
      </w:r>
    </w:p>
    <w:p w14:paraId="027DF9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CCA7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第三部分：抵抗与未来——夺回评估权的可能性</w:t>
      </w:r>
      <w:r>
        <w:rPr>
          <w:rFonts w:hint="eastAsia" w:ascii="宋体" w:hAnsi="宋体" w:eastAsia="宋体" w:cs="宋体"/>
          <w:sz w:val="24"/>
          <w:lang w:eastAsia="zh-CN"/>
        </w:rPr>
        <w:t>。</w:t>
      </w:r>
      <w:r>
        <w:rPr>
          <w:rFonts w:hint="eastAsia" w:ascii="宋体" w:hAnsi="宋体" w:eastAsia="宋体" w:cs="宋体"/>
          <w:sz w:val="24"/>
        </w:rPr>
        <w:t>在进行了深入的批判之后，这一部分将转向对未来可能性的建设性探索。</w:t>
      </w:r>
    </w:p>
    <w:p w14:paraId="7A6AB7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0EDA684">
      <w:pPr>
        <w:snapToGrid/>
        <w:spacing w:beforeAutospacing="0" w:afterAutospacing="0" w:line="288" w:lineRule="auto"/>
        <w:ind w:left="0" w:leftChars="0" w:right="0" w:rightChars="0" w:firstLine="482" w:firstLineChars="0"/>
        <w:jc w:val="both"/>
        <w:rPr>
          <w:rFonts w:hint="default" w:ascii="宋体" w:hAnsi="宋体" w:eastAsia="宋体" w:cs="宋体"/>
          <w:sz w:val="24"/>
          <w:lang w:val="en-US" w:eastAsia="zh-CN"/>
        </w:rPr>
      </w:pPr>
      <w:r>
        <w:rPr>
          <w:rFonts w:hint="eastAsia" w:ascii="宋体" w:hAnsi="宋体" w:eastAsia="宋体" w:cs="宋体"/>
          <w:sz w:val="24"/>
        </w:rPr>
        <w:t>第六章：微观抵抗的策略：“边缘体系”的建立</w:t>
      </w:r>
      <w:r>
        <w:rPr>
          <w:rFonts w:hint="eastAsia" w:ascii="宋体" w:hAnsi="宋体" w:eastAsia="宋体" w:cs="宋体"/>
          <w:sz w:val="24"/>
          <w:lang w:eastAsia="zh-CN"/>
        </w:rPr>
        <w:t>。</w:t>
      </w:r>
      <w:r>
        <w:rPr>
          <w:rFonts w:hint="eastAsia" w:ascii="宋体" w:hAnsi="宋体" w:eastAsia="宋体" w:cs="宋体"/>
          <w:sz w:val="24"/>
        </w:rPr>
        <w:t>本章将从“自下而上”的视角，考察个体与社群在评估权力网络中的抵抗实践，如“数据游击”、“算法博弈”、亚文化社群的另类共识</w:t>
      </w:r>
      <w:r>
        <w:rPr>
          <w:rFonts w:hint="eastAsia" w:ascii="宋体" w:hAnsi="宋体" w:eastAsia="宋体" w:cs="宋体"/>
          <w:sz w:val="24"/>
          <w:lang w:val="en-US" w:eastAsia="zh-CN"/>
        </w:rPr>
        <w:t>的建立。</w:t>
      </w:r>
    </w:p>
    <w:p w14:paraId="315FC8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第七章：制度层面的重构：迈向“评估正义”</w:t>
      </w:r>
      <w:r>
        <w:rPr>
          <w:rFonts w:hint="eastAsia" w:ascii="宋体" w:hAnsi="宋体" w:eastAsia="宋体" w:cs="宋体"/>
          <w:sz w:val="24"/>
          <w:lang w:eastAsia="zh-CN"/>
        </w:rPr>
        <w:t>。</w:t>
      </w:r>
      <w:r>
        <w:rPr>
          <w:rFonts w:hint="eastAsia" w:ascii="宋体" w:hAnsi="宋体" w:eastAsia="宋体" w:cs="宋体"/>
          <w:sz w:val="24"/>
        </w:rPr>
        <w:t>本章将从“自上而下”的视角，探讨在法律、政策与制度设计层面进行干预的可能性。本章将批判性地审视“算法透明度”、“数据所有权”等主流方案的局限，并提出以“评估参与权”为核心的、旨在实现“评估正义”的制度构想。</w:t>
      </w:r>
    </w:p>
    <w:p w14:paraId="18A297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425C9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结论：在评估的枷锁下舞蹈</w:t>
      </w:r>
      <w:r>
        <w:rPr>
          <w:rFonts w:hint="eastAsia" w:ascii="宋体" w:hAnsi="宋体" w:eastAsia="宋体" w:cs="宋体"/>
          <w:sz w:val="24"/>
          <w:lang w:eastAsia="zh-CN"/>
        </w:rPr>
        <w:t>。</w:t>
      </w:r>
      <w:r>
        <w:rPr>
          <w:rFonts w:hint="eastAsia" w:ascii="宋体" w:hAnsi="宋体" w:eastAsia="宋体" w:cs="宋体"/>
          <w:sz w:val="24"/>
        </w:rPr>
        <w:t>结论部分将对全书的核心论点进行总结，重申评估权力作为数字时代核心治理逻辑的地位，并探讨本书的理论贡献与未来研究方向。最后，本书将以一个开放性的问题作结：在一个被全面评估的时代，我们应如何行动，才能既不被这副枷锁所奴役，又能利用其潜在的能量，跳出属于人之为人的、充满尊严与自由的舞蹈？</w:t>
      </w:r>
    </w:p>
    <w:p w14:paraId="594B5D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8940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的研究方法将是跨学科的，综合运用了批判理论、权力谱系学、政治经济学分析与案例研究法。在理论层面，本书将与福柯的权力理论、法兰克福学派的批判理论、马克思主义的异化理论以及当代平台研究进行持续对话。在经验层面，本书将选取具有代表性的案例，通过对相关文献、媒体报道、公司文件、用户协议以及二手访谈资料的深入分析，来具体呈现评估权力的运作机制与社会后果。本书力求在宏大的理论建构与坚实的经验分析之间建立起稳固的桥梁，从而为读者提供一个既具思想深度又具现实解释力的分析框架。</w:t>
      </w:r>
    </w:p>
    <w:p w14:paraId="434B622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F646C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正处在一个历史的十字路口。数字技术为人类社会带来了前所未有的便利与可能性，但同时也锻造了前所未有的控制工具。理解并批判“评估权力”，不仅是一个重要的学术议题，更是一个紧迫的社会与政治任务。唯有清醒地认识到我们身上这副枷锁的材质与构造，我们才有可能找到挣脱它，乃至将它重铸为解放工具的路径。本书愿为这一艰难而必要的努力，贡献一份绵薄之力。</w:t>
      </w:r>
    </w:p>
    <w:p w14:paraId="28E0ADEE">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br w:type="page"/>
      </w:r>
    </w:p>
    <w:p w14:paraId="0B08ACE9">
      <w:pPr>
        <w:pStyle w:val="3"/>
        <w:bidi w:val="0"/>
        <w:rPr>
          <w:rFonts w:hint="eastAsia" w:ascii="宋体" w:hAnsi="宋体" w:eastAsia="宋体" w:cs="宋体"/>
          <w:sz w:val="36"/>
          <w:szCs w:val="36"/>
          <w:lang w:val="en-US" w:eastAsia="zh-CN"/>
        </w:rPr>
      </w:pPr>
      <w:bookmarkStart w:id="10" w:name="_Toc817459207"/>
      <w:r>
        <w:rPr>
          <w:rFonts w:hint="eastAsia" w:ascii="宋体" w:hAnsi="宋体" w:eastAsia="宋体" w:cs="宋体"/>
          <w:sz w:val="36"/>
          <w:szCs w:val="36"/>
        </w:rPr>
        <w:t>第一部分：理论基础——评估权力的谱系学</w:t>
      </w:r>
      <w:bookmarkEnd w:id="10"/>
    </w:p>
    <w:p w14:paraId="17E95300">
      <w:pPr>
        <w:pStyle w:val="4"/>
        <w:bidi w:val="0"/>
        <w:rPr>
          <w:rFonts w:hint="eastAsia" w:ascii="宋体" w:hAnsi="宋体" w:eastAsia="宋体" w:cs="宋体"/>
          <w:sz w:val="24"/>
        </w:rPr>
      </w:pPr>
      <w:bookmarkStart w:id="11" w:name="_Toc1584002190"/>
      <w:r>
        <w:rPr>
          <w:rFonts w:hint="eastAsia" w:ascii="宋体" w:hAnsi="宋体" w:eastAsia="宋体" w:cs="宋体"/>
        </w:rPr>
        <w:t>第一章：权力的本体论：作为“可能性收敛”的能力</w:t>
      </w:r>
      <w:bookmarkEnd w:id="11"/>
    </w:p>
    <w:p w14:paraId="30B75288">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“权力之谜，不在于其为何显现，而在于其如何隐藏；不在于其如何压迫，而在于其如何生产；不在于其如何说‘不’，而在于其如何让我们心悦诚服地说‘是’。”</w:t>
      </w:r>
    </w:p>
    <w:p w14:paraId="49FB8354">
      <w:pPr>
        <w:pStyle w:val="5"/>
        <w:bidi w:val="0"/>
        <w:rPr>
          <w:rFonts w:hint="eastAsia" w:ascii="宋体" w:hAnsi="宋体" w:eastAsia="宋体" w:cs="宋体"/>
          <w:sz w:val="24"/>
        </w:rPr>
      </w:pPr>
      <w:r>
        <w:rPr>
          <w:rFonts w:hint="eastAsia" w:ascii="宋体" w:hAnsi="宋体" w:eastAsia="宋体" w:cs="宋体"/>
        </w:rPr>
        <w:t>重思权力：从强制力到定义现实的能力</w:t>
      </w:r>
    </w:p>
    <w:p w14:paraId="61EB56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力”一词，在人类的政治与社会思想史中，始终占据着核心而又充满争议的位置。当我们谈论权力时，脑海中浮现的往往是具象化的、充满戏剧张力的场景：君主颁布敕令，将军调遣军队，法官敲下法槌，资本家关闭工厂。在这些经典的想象中，权力呈现为一种清晰可辨的、自上而下的、以强制与支配为核心特征的力量。这种对权力的直观理解，深刻地烙印在我们的日常语言与政治常识之中，其理论源头可以追溯到霍布斯（Thomas Hobbes）的“利维坦”——一个为了终结“一切人对一切人的战争”而垄断了终极暴力的绝对主权者。</w:t>
      </w:r>
    </w:p>
    <w:p w14:paraId="1AE64A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454B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在这种经典的“强制力模型”中，权力的运作逻辑可以被精炼地概括为罗伯特·达尔（Robert A. Dahl）的著名定义：“A对B拥有权力，当且仅当A能使B去做一件B在通常情况下不会去做的事情。</w:t>
      </w:r>
      <w:r>
        <w:rPr>
          <w:rFonts w:hint="eastAsia" w:ascii="宋体" w:hAnsi="宋体" w:eastAsia="宋体" w:cs="宋体"/>
          <w:sz w:val="24"/>
          <w:lang w:eastAsia="zh-CN"/>
        </w:rPr>
        <w:t>”</w:t>
      </w:r>
      <w:r>
        <w:rPr>
          <w:rFonts w:hint="eastAsia" w:ascii="宋体" w:hAnsi="宋体" w:eastAsia="宋体" w:cs="宋体"/>
          <w:sz w:val="24"/>
        </w:rPr>
        <w:t>这个定义清晰、简洁，易于操作化，它将权力关系还原为一种可观察的、主体间的因果互动。权力的核心在于克服他人的反抗，将自身的意志强加于人。无论是马克斯·韦伯（Max Weber）在其对“支配”的定义中强调的“在一定社会关系里，哪怕会遇到反抗，也能贯彻自己意志的任何可能性”，还是更为宽泛的政治现实主义传统，都将权力的本质锚定在强制、潜在的暴力以及意志的对抗之上。</w:t>
      </w:r>
    </w:p>
    <w:p w14:paraId="2982D8B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761B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模型无疑捕捉到了权力运作中一个至关重要且不可或缺的维度。从古代帝国的征服到现代国家的法律执行，强制力始终是权力结构最终的保障与“最后的论据”。然而，倘若我们将视野局限于此，权力图景中那些更为广阔、更为精微、也更为根本的领域，就将从我们的分析中悄然滑落。一个深刻的悖论在于：一个社会越是稳定，其权力结构越是巩固，赤裸裸的强制力就越是退居幕后。人们之所以遵守交通规则，并非因为每个路口都站着一名持枪的警察；员工之所以努力完成KPI，也不仅仅是出于对解雇的恐惧。在绝大多数情况下，权力的运作并非表现为意志的激烈对抗，而是体现为一种近乎自发的、不假思索的顺从。</w:t>
      </w:r>
    </w:p>
    <w:p w14:paraId="0ED71E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1CCB7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正是20世纪下半叶的权力理论，特别是以米歇尔·福柯为代表的思想家们所致力揭示的。福柯提醒我们，必须“砍掉君主的头”，即将权力研究从主权、法律和国家的中心化视野中解放出来。权力并非少数人所拥有的、可以像物品一样被占有或转让的实体，而是一种弥散性的、关系性的、生产性的网络。它不只是否定性的“禁止”与“压迫”，更是肯定性的“生产”与“塑造”。权力生产知识、生产话语、生产真理，更重要的是，它生产“主体”。福柯所描述的“规训权力”，其高明之处恰恰在于它超越了对身体的惩罚，转向对灵魂的塑造。通过全景敞视式的监视、规范化的裁决和精细化的训练，规训权力旨在制造出“驯顺的肉体”，让个体将外部的规训目光内化于心，实现高效的自我管理。</w:t>
      </w:r>
    </w:p>
    <w:p w14:paraId="121B48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C1CA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强制力”到“生产性”，这是权力理论的一次深刻范式转移。它促使我们追问：如果权力最有效的形式并非强制，那么其运作的根本机制究竟是什么？如果权力能够生产现实，那么这种“生产”是如何实现的？</w:t>
      </w:r>
    </w:p>
    <w:p w14:paraId="4B49CD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8833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认为，要回答这些问题，我们需要将对权力的理解再向前推进关键一步，抵达一个更为本体论的层面。无论是强制力还是生产性，都只是权力运作的不同表征。在其最根本的意义上，权力是一种定义和塑造“现实”（reality）本身的能力</w:t>
      </w:r>
      <w:r>
        <w:rPr>
          <w:rFonts w:hint="eastAsia" w:ascii="宋体" w:hAnsi="宋体" w:eastAsia="宋体" w:cs="宋体"/>
          <w:sz w:val="24"/>
          <w:lang w:eastAsia="zh-CN"/>
        </w:rPr>
        <w:t>。</w:t>
      </w:r>
      <w:r>
        <w:rPr>
          <w:rFonts w:hint="eastAsia" w:ascii="宋体" w:hAnsi="宋体" w:eastAsia="宋体" w:cs="宋体"/>
          <w:sz w:val="24"/>
        </w:rPr>
        <w:t>而这种定义现实的能力，具体表现为一种对“可能性”（possibility）进行筛选、引导和固化的能力。</w:t>
      </w:r>
    </w:p>
    <w:p w14:paraId="2FA3C0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02702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设想一个简单的场景：当一位城市规划师在绘制一幅新的城市蓝图时，他（或她）的权力体现在哪里？并非体现在调动挖掘机和起重机的强制力上，而是在于一个更早的阶段：在无数种可能的道路网络、功能分区、建筑形态中，选择并固化其中一种。一旦蓝图被确定并付诸实施，它就将成为一种坚实的“物质现实”，深刻地塑造未来数十年甚至数百年间，数百万居民的通勤方式、社交模式、阶级分布乃至健康状况。居民们将在规划师所设定的“可能性空间”内生活，他们的“自由选择”（选择走哪条路上班，选择在哪里购物）实际上是在一个被预先构建好的框架内的选择。规划师的权力，正体现于这种将一种“可能性”转化为压倒性“现实性”，从而收敛（converge）了他人未来行动可能性的能力。</w:t>
      </w:r>
    </w:p>
    <w:p w14:paraId="3929DD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15B0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这个例子揭示了权力的一个核心秘密：最强大的权力，不是在既有的现实规则下赢得游戏，而是制定游戏规则本身</w:t>
      </w:r>
      <w:r>
        <w:rPr>
          <w:rFonts w:hint="eastAsia" w:ascii="宋体" w:hAnsi="宋体" w:eastAsia="宋体" w:cs="宋体"/>
          <w:sz w:val="24"/>
          <w:lang w:eastAsia="zh-CN"/>
        </w:rPr>
        <w:t>。</w:t>
      </w:r>
      <w:r>
        <w:rPr>
          <w:rFonts w:hint="eastAsia" w:ascii="宋体" w:hAnsi="宋体" w:eastAsia="宋体" w:cs="宋体"/>
          <w:sz w:val="24"/>
        </w:rPr>
        <w:t>这种“元权力”（meta-power），即定义现实框架的权力，正是本书所要探讨的“评估权力”的内核。它通过设定标准、建立分类、赋予价值、定义“正常”与“异常”、“成功”与“失败”、“可信”与“不可信”，来构建一个引导社会成员行动的意义与价值坐标系。在这个坐标系中，某些行动的可能性被凸显、被鼓励、被奖励，而另一些可能性则被遮蔽、被抑制、被惩罚。</w:t>
      </w:r>
    </w:p>
    <w:p w14:paraId="6EB1BD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2477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因此，本书提出对权力的重新定义：权力是一种系统性地收敛他人行动可能性的能力，同时维持或扩展自身行动可能性的能力</w:t>
      </w:r>
      <w:r>
        <w:rPr>
          <w:rFonts w:hint="eastAsia" w:ascii="宋体" w:hAnsi="宋体" w:eastAsia="宋体" w:cs="宋体"/>
          <w:sz w:val="24"/>
          <w:lang w:eastAsia="zh-CN"/>
        </w:rPr>
        <w:t>。</w:t>
      </w:r>
      <w:r>
        <w:rPr>
          <w:rFonts w:hint="eastAsia" w:ascii="宋体" w:hAnsi="宋体" w:eastAsia="宋体" w:cs="宋体"/>
          <w:sz w:val="24"/>
        </w:rPr>
        <w:t>它是一种塑造“可能性基底”（the substrate of possibility）的结构性力量。这种力量越是强大，其运作就越是隐蔽，因为它并非直接作用于人们的行为，而是作用于人们行为得以发生的“可能性视域”（horizon of possibility）本身。它让我们所做的选择看起来像是“唯一合理”或“自然而然”的选择，而那些被排除在外的可能性，我们甚至根本无从想象。</w:t>
      </w:r>
    </w:p>
    <w:p w14:paraId="34EA27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3A8E1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强制力到定义现实的能力，这一视角的转换，为我们理解数字时代的权力运作提供了至关重要的理论入口。在数字时代，算法、平台与数据构成了我们这个时代最强大的“现实定义引擎”。它们不再需要像城市规划师那样借助物理建设来固化可能性，而是可以通过代码和数据，实时地、动态地、个性化地为每一个用户构建一个独特的“可能性空间”。推荐算法定义了我们看见世界（信息、商品、朋友）的可能性，信用评分算法定义了我们获得金融服务和社会资源的可能性，平台规则定义了劳动者获得收入的可能性。</w:t>
      </w:r>
    </w:p>
    <w:p w14:paraId="5DC830A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AA00D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新型的权力形态，其强制性被“个性化推荐”和“自由选择”的表象所掩盖，其生产性则体现在对“数据化主体”的持续塑造上。要揭示其运作的秘密，我们必须深入其本体论的内核，首先理解那个被权力所塑造的“可能性基底”究竟是什么，以及社会现实是如何在与这个基底的互动中被建构起来的。</w:t>
      </w:r>
    </w:p>
    <w:p w14:paraId="309C3175">
      <w:pPr>
        <w:pStyle w:val="5"/>
        <w:bidi w:val="0"/>
        <w:rPr>
          <w:rFonts w:hint="eastAsia" w:ascii="宋体" w:hAnsi="宋体" w:eastAsia="宋体" w:cs="宋体"/>
          <w:sz w:val="24"/>
        </w:rPr>
      </w:pPr>
      <w:r>
        <w:rPr>
          <w:rFonts w:hint="eastAsia" w:ascii="宋体" w:hAnsi="宋体" w:eastAsia="宋体" w:cs="宋体"/>
        </w:rPr>
        <w:t>“可能性基底”与社会实在的建构</w:t>
      </w:r>
    </w:p>
    <w:p w14:paraId="66166F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为了系统地阐述“权力作为可能性收敛能力”这一核心命题，我们必须引入一个更为基础的本体论概念：“可能性基底”（Possibility Substrate）。这个概念是本书理论框架的基石，它为我们理解社会实在（social reality）的动态生成过程提供了一个全新的视角。</w:t>
      </w:r>
    </w:p>
    <w:p w14:paraId="4CD020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1F07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可能性基底”可以被设想为一个理论上的、先于任何具体社会结构与意义系统而存在的、包含了所有潜在的社会行动、社会关系、意义解释与组织形态的无限集合。它并非一个物理实体，而是一个概念性的“场域”，是社会世界的“潜能”本身。在这个基底中，一切皆有可能：人类可以组织成母系氏族，也可以组织成原子化的核心家庭；可以用贝壳作为交换媒介，也可以用复杂的加密货币；可以信奉泛神论，也可以信奉一神教或无神论。这些潜在的存在形式，在它们被“实现”之前，都以一种并行的、不确定的状态共存于可能性基底之中。</w:t>
      </w:r>
    </w:p>
    <w:p w14:paraId="49EE80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35B75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这个概念借鉴了多重思想资源。它与物理学中量子力学的“波函数”或“状态叠加”有某种结构上的相似性——在被“观测”之前，一个粒子可以同时处于多种可能的状态。它也呼应了吉尔·德勒兹（Gilles Deleuze）哲学中的“虚拟”概念——虚拟并非不真实，而是作为真实过程的潜在生成力量而存在的实在。同时，它也与中国古典哲学，特别是《道德经》中的“道”或“无”有异曲同工之妙：“天下万物生于有，有生于无。</w:t>
      </w:r>
      <w:r>
        <w:rPr>
          <w:rFonts w:hint="eastAsia" w:ascii="宋体" w:hAnsi="宋体" w:eastAsia="宋体" w:cs="宋体"/>
          <w:sz w:val="24"/>
          <w:lang w:eastAsia="zh-CN"/>
        </w:rPr>
        <w:t>”</w:t>
      </w:r>
      <w:r>
        <w:rPr>
          <w:rFonts w:hint="eastAsia" w:ascii="宋体" w:hAnsi="宋体" w:eastAsia="宋体" w:cs="宋体"/>
          <w:sz w:val="24"/>
        </w:rPr>
        <w:t>这个“无”，并非空无一物，而是孕育万有的、充满无限可能性的本源状态。</w:t>
      </w:r>
    </w:p>
    <w:p w14:paraId="60D95C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253F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我们所经验到的社会世界，并非一个充满无限可能性的混沌场域，而是一个高度结构化、充满确定性与常规性的“实在”。我们每天醒来，都确信太阳会升起，货币可以用来购物，语言可以用来沟通。这种从“无限可能性”到“有限现实性”的转变，是如何发生的？</w:t>
      </w:r>
    </w:p>
    <w:p w14:paraId="3B2F8E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3BBF94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本书认为，社会实在的建构，正是一个对“可能性基底”进行持续“收敛”（convergence）的过程</w:t>
      </w:r>
      <w:r>
        <w:rPr>
          <w:rFonts w:hint="eastAsia" w:ascii="宋体" w:hAnsi="宋体" w:eastAsia="宋体" w:cs="宋体"/>
          <w:sz w:val="24"/>
          <w:lang w:eastAsia="zh-CN"/>
        </w:rPr>
        <w:t>。</w:t>
      </w:r>
      <w:r>
        <w:rPr>
          <w:rFonts w:hint="eastAsia" w:ascii="宋体" w:hAnsi="宋体" w:eastAsia="宋体" w:cs="宋体"/>
          <w:sz w:val="24"/>
        </w:rPr>
        <w:t>“收敛”在这里指代一系列的社会机制，通过这些机制，无限的潜在可能性被筛选、被选择、被固化，最终凝聚成我们称之为“现实”的、相对稳定的结构与模式。这个过程，可以被理解为一种广义上的“社会观测”（social observation）。</w:t>
      </w:r>
    </w:p>
    <w:p w14:paraId="44FCEA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5D019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正如在量子力学中，“观测”这一行为使得叠加的波函数“坍缩”（collapse）为一个确定的状态，在社会领域中，集体的“观测”——即集体的关注、共识、评估与实践——也使得流动的可能性“凝结”（crystallize）为确定的社会事实。这些“社会观测”机制包括：</w:t>
      </w:r>
    </w:p>
    <w:p w14:paraId="5228B9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38BAD1">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言与分类系统：语言是首要的可能性收敛机制。当我们用“树”这个词来指代一类特定的植物时，我们就从植物世界的无限连续多样性中，切割、划分并固化了一个概念范畴。这个范畴收敛了我们对这类植物的感知方式，使其成为一个可沟通、可操作的“对象”。所有的分类系统，从法律对“法人”与“自然人”的区分，到精神病学对“正常”与“异常”的界定，都是强大的收敛机制。它们在可能性基底上划出边界，将混沌的连续体转化为有序的、离散的现实单元。</w:t>
      </w:r>
    </w:p>
    <w:p w14:paraId="0C713B17">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规范与制度：社会规范（如习俗、道德）和制度（如法律、产权）是更为强力的收敛机制。它们为社会互动提供了“脚本”和“规则”，极大地收敛了人们在特定情境下的行为可能性。例如，婚姻制度就从人类繁衍与亲密关系的无限可能性中，收敛出几种被社会认可的、具有特定权利与义务的稳定模式。产权制度则从物品的占有、使用和转让的无限可能性中，收敛出“所有权”这一核心概念，并以此为基础构建起整个市场经济。</w:t>
      </w:r>
    </w:p>
    <w:p w14:paraId="5F0A5EB8">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技术与物质安排：技术与物质环境同样是塑造可能性的强大力量。一条高速公路的修建，极大地提升了城际交通的可能性，同时可能降低了沿线村庄保持其传统生活方式的可能性。互联网的发明，开启了全球即时通讯的巨大可能性，也同时带来了信息茧房与网络巴尔干化的可能性。正如城市规划的例子所示，物质基础设施是“固化”了的可能性收敛路径，它们以一种持久而深刻的方式，引导着我们的身体与行动。</w:t>
      </w:r>
    </w:p>
    <w:p w14:paraId="3D75A757">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与评估体系：这是所有收敛机制中最核心、也最具能动性的一个。一个社会所信奉的核心价值，以及基于这些价值建立起来的评估体系，直接决定了哪些可能性被认为是“好的”、“可欲的”，从而被优先选择和实现。在一个以经济增长为核心评估指标的社会，那些能够促进GDP的可能性（如工业发展、技术创新）会被极大地激励，而那些难以被量化的可能性（如环境保护、社区团结、精神生活）则可能被边缘化。</w:t>
      </w:r>
    </w:p>
    <w:p w14:paraId="49577F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5159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以上这些机制的协同作用，社会实在被一层层地建构起来。它并非一个外在于我们的、等待被发现的“客观”实体，而是一个由历代人的集体行动与评估所共同“锁定”（locked-in）的、可能性收敛的“快照”（snapshot）。这个“快照”因为长期的重复实践与相互确认，而获得了坚如磐石的“客观性”错觉。彼得·伯格（Peter L. Berger）和托马斯·卢克曼（Thomas Luckmann）在《现实的社会建构》一书中精辟地指出，社会是一个“客观事实”与“主观事实”的辩证统一体。我们创造了社会，反过来又被我们所创造的社会所塑造。用本书的术语来说，我们通过集体评估收敛了可能性基底，创造了社会实在；反过来，这个被固化的社会实在又成为我们行动的既定框架，限制并引导着我们未来的可能性。</w:t>
      </w:r>
    </w:p>
    <w:p w14:paraId="738857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F94E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解了社会实在的这一建构过程，我们就能以一种全新的眼光来看待“权力”。权力不再仅仅是在这个被建构好的“现实舞台”上争夺资源的行动，而是一种更根本的、介入“现实建构过程”本身的行动。权力，就是主导可能性收敛过程的能力</w:t>
      </w:r>
      <w:r>
        <w:rPr>
          <w:rFonts w:hint="eastAsia" w:ascii="宋体" w:hAnsi="宋体" w:eastAsia="宋体" w:cs="宋体"/>
          <w:sz w:val="24"/>
          <w:lang w:eastAsia="zh-CN"/>
        </w:rPr>
        <w:t>。</w:t>
      </w:r>
      <w:r>
        <w:rPr>
          <w:rFonts w:hint="eastAsia" w:ascii="宋体" w:hAnsi="宋体" w:eastAsia="宋体" w:cs="宋体"/>
          <w:sz w:val="24"/>
        </w:rPr>
        <w:t>它是在可能性基底的无限潜能中，将符合自身利益和意志的路径“现实化”，并使其成为他人必须面对的“客观现实”的能力。</w:t>
      </w:r>
    </w:p>
    <w:p w14:paraId="22F30D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2317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当我们将权力置于这一本体论高度时，一个关键的问题便浮现出来：在任何社会中，这种主导可能性收敛的能力，是否是平等分布的？答案显然是否定的。由此，我们便进入了对“权力差序”的分析。</w:t>
      </w:r>
    </w:p>
    <w:p w14:paraId="5D7A2E0E">
      <w:pPr>
        <w:pStyle w:val="5"/>
        <w:bidi w:val="0"/>
        <w:rPr>
          <w:rFonts w:hint="eastAsia" w:ascii="宋体" w:hAnsi="宋体" w:eastAsia="宋体" w:cs="宋体"/>
          <w:sz w:val="24"/>
        </w:rPr>
      </w:pPr>
      <w:r>
        <w:rPr>
          <w:rFonts w:hint="eastAsia" w:ascii="宋体" w:hAnsi="宋体" w:eastAsia="宋体" w:cs="宋体"/>
        </w:rPr>
        <w:t>“权力差序”的形成：评估权的非对称分布</w:t>
      </w:r>
    </w:p>
    <w:p w14:paraId="60C6A2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如果说社会实在是可能性收敛的产物，那么社会结构的核心秘密，就在于这种“收敛权”的非对称分布。在任何一个有组织的社会群体中，从家庭到国家，从小型</w:t>
      </w:r>
      <w:r>
        <w:rPr>
          <w:rFonts w:hint="eastAsia" w:ascii="宋体" w:hAnsi="宋体" w:eastAsia="宋体" w:cs="宋体"/>
          <w:sz w:val="24"/>
          <w:lang w:eastAsia="zh-CN"/>
        </w:rPr>
        <w:t>阵营</w:t>
      </w:r>
      <w:r>
        <w:rPr>
          <w:rFonts w:hint="eastAsia" w:ascii="宋体" w:hAnsi="宋体" w:eastAsia="宋体" w:cs="宋体"/>
          <w:sz w:val="24"/>
        </w:rPr>
        <w:t>到全球化体系，成员们在定义和塑造集体现实方面的能力都存在着显著的差异。这种差异，本书称之为“权力差序”（Power Hierarchy）。</w:t>
      </w:r>
    </w:p>
    <w:p w14:paraId="6AD172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3B25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力差序”概念的灵感，部分来源于中国社会学家费孝通先生的“差序格局”理论。费孝通指出，传统中国社会的人际关系网络，并非西方社会那种团体界限分明的“法团格局”，而是像石头投入水中泛起的波纹一样，以自我为中心，按亲疏远近向外推延的“差序格局”。本书借用“差序”一词，旨在强调权力并非一种“有或无”的二元状态，而是一个连续的、等级化的谱系。社会中的不同行动者，依据其掌握“可能性收敛能力”的程度，被安置在这个谱系的不同位置上。</w:t>
      </w:r>
    </w:p>
    <w:p w14:paraId="77B124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0438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这种可能性收敛能力的具体体现，就是我们反复强调的“评估权”（Evaluative Power）。“评估权”，即设立标准、执行判断、并使该判断产生社会性后果的权力</w:t>
      </w:r>
      <w:r>
        <w:rPr>
          <w:rFonts w:hint="eastAsia" w:ascii="宋体" w:hAnsi="宋体" w:eastAsia="宋体" w:cs="宋体"/>
          <w:sz w:val="24"/>
          <w:lang w:eastAsia="zh-CN"/>
        </w:rPr>
        <w:t>。</w:t>
      </w:r>
      <w:r>
        <w:rPr>
          <w:rFonts w:hint="eastAsia" w:ascii="宋体" w:hAnsi="宋体" w:eastAsia="宋体" w:cs="宋体"/>
          <w:sz w:val="24"/>
        </w:rPr>
        <w:t>它是权力差序结构得以形成和再生产的核心机制。一个行动者在权力差序中的位置，直接取决于其所拥有的评估权的层级与广度。</w:t>
      </w:r>
    </w:p>
    <w:p w14:paraId="3DA999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7DC5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据此，我们可以将社会中的行动者大致划分为两个理想类型：</w:t>
      </w:r>
    </w:p>
    <w:p w14:paraId="4B0C132D">
      <w:pPr>
        <w:pStyle w:val="6"/>
        <w:numPr>
          <w:numId w:val="0"/>
        </w:numPr>
        <w:bidi w:val="0"/>
        <w:rPr>
          <w:rFonts w:hint="eastAsia" w:ascii="宋体" w:hAnsi="宋体" w:eastAsia="宋体" w:cs="宋体"/>
          <w:lang w:val="en-US"/>
        </w:rPr>
      </w:pPr>
      <w:r>
        <w:rPr>
          <w:rFonts w:hint="eastAsia" w:ascii="宋体" w:hAnsi="宋体" w:eastAsia="宋体" w:cs="宋体"/>
        </w:rPr>
        <w:t>优势主体（Advantaged Subjects）</w:t>
      </w:r>
    </w:p>
    <w:p w14:paraId="5B7249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优势主体是那些占据了权力差序顶端的行动者。他们的核心特征在于掌握了“一级评估权”（Primary Evaluative Power），即定义游戏规则的权力。他们不仅是游戏中的玩家，更是游戏的设计者。具体而言，他们拥有以下一种或多种能力：</w:t>
      </w:r>
    </w:p>
    <w:p w14:paraId="5D739F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75DD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标准制定权</w:t>
      </w:r>
      <w:r>
        <w:rPr>
          <w:rFonts w:hint="eastAsia" w:ascii="宋体" w:hAnsi="宋体" w:eastAsia="宋体" w:cs="宋体"/>
          <w:sz w:val="24"/>
          <w:lang w:eastAsia="zh-CN"/>
        </w:rPr>
        <w:t>：</w:t>
      </w:r>
      <w:r>
        <w:rPr>
          <w:rFonts w:hint="eastAsia" w:ascii="宋体" w:hAnsi="宋体" w:eastAsia="宋体" w:cs="宋体"/>
          <w:sz w:val="24"/>
        </w:rPr>
        <w:t>他们能够创立、定义和推行衡量价值的标准。例如，国家制定法律，从而定义了“合法”与“非法”；学术权威机构定义了科研成果的评价标准；科技巨头则通过其平台算法，定义了什么是“优质内容”或“相关信息”。</w:t>
      </w:r>
    </w:p>
    <w:p w14:paraId="7A8959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6D01C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机制设计权</w:t>
      </w:r>
      <w:r>
        <w:rPr>
          <w:rFonts w:hint="eastAsia" w:ascii="宋体" w:hAnsi="宋体" w:eastAsia="宋体" w:cs="宋体"/>
          <w:sz w:val="24"/>
          <w:lang w:eastAsia="zh-CN"/>
        </w:rPr>
        <w:t>：</w:t>
      </w:r>
      <w:r>
        <w:rPr>
          <w:rFonts w:hint="eastAsia" w:ascii="宋体" w:hAnsi="宋体" w:eastAsia="宋体" w:cs="宋体"/>
          <w:sz w:val="24"/>
        </w:rPr>
        <w:t>他们能够设计并实施评估的具体机制与流程。例如，企业设计其内部的绩效考核体系（KPI）；金融机构设计信用评分模型；教育部门设计高考制度。</w:t>
      </w:r>
    </w:p>
    <w:p w14:paraId="4CF0C0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0BB9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结果解释权与执行权</w:t>
      </w:r>
      <w:r>
        <w:rPr>
          <w:rFonts w:hint="eastAsia" w:ascii="宋体" w:hAnsi="宋体" w:eastAsia="宋体" w:cs="宋体"/>
          <w:sz w:val="24"/>
          <w:lang w:eastAsia="zh-CN"/>
        </w:rPr>
        <w:t>：</w:t>
      </w:r>
      <w:r>
        <w:rPr>
          <w:rFonts w:hint="eastAsia" w:ascii="宋体" w:hAnsi="宋体" w:eastAsia="宋体" w:cs="宋体"/>
          <w:sz w:val="24"/>
        </w:rPr>
        <w:t>他们不仅能产出评估结果，更能权威地解释这些结果的意义，并使其与奖惩机制挂钩，从而产生真实的物质与社会后果。一次“差”的绩效评估可能导致降薪或解雇，一个“低”的信用评分可能导致贷款被拒。</w:t>
      </w:r>
    </w:p>
    <w:p w14:paraId="6E84E9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4B2A9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优势主体通过垄断一级评估权，成功地将自身的价值偏好、利益诉求和治理逻辑，转化为看似客观、中立、普适的“社会现实”。他们所构建的评估体系，成为其他社会成员必须面对的“基础设施”，深刻地塑造了劣势主体的生存空间与行动策略。</w:t>
      </w:r>
    </w:p>
    <w:p w14:paraId="33D7255C">
      <w:pPr>
        <w:pStyle w:val="6"/>
        <w:bidi w:val="0"/>
        <w:rPr>
          <w:rFonts w:hint="eastAsia" w:ascii="宋体" w:hAnsi="宋体" w:eastAsia="宋体" w:cs="宋体"/>
          <w:lang w:val="en-US"/>
        </w:rPr>
      </w:pPr>
      <w:r>
        <w:rPr>
          <w:rFonts w:hint="eastAsia" w:ascii="宋体" w:hAnsi="宋体" w:eastAsia="宋体" w:cs="宋体"/>
        </w:rPr>
        <w:t>劣势主体（Disadvantaged Subjects）</w:t>
      </w:r>
    </w:p>
    <w:p w14:paraId="350508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劣势主体是那些处于权力差序中下层的行动者。他们的核心特征在于，其行动空间主要被限制在“二级评估”（Secondary Evaluation）的层面。所谓二级评估，是指在由优势主体预先设定的评估框架内，进行策略性的选择与适应。他们是游戏规则的接受者，而非制定者。</w:t>
      </w:r>
    </w:p>
    <w:p w14:paraId="337777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0B028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被动接受评估</w:t>
      </w:r>
      <w:r>
        <w:rPr>
          <w:rFonts w:hint="eastAsia" w:ascii="宋体" w:hAnsi="宋体" w:eastAsia="宋体" w:cs="宋体"/>
          <w:sz w:val="24"/>
          <w:lang w:eastAsia="zh-CN"/>
        </w:rPr>
        <w:t>：</w:t>
      </w:r>
      <w:r>
        <w:rPr>
          <w:rFonts w:hint="eastAsia" w:ascii="宋体" w:hAnsi="宋体" w:eastAsia="宋体" w:cs="宋体"/>
          <w:sz w:val="24"/>
        </w:rPr>
        <w:t>他们的行为、能力、甚至人格特质，都持续不断地被外部的评估体系所审视和裁决。</w:t>
      </w:r>
    </w:p>
    <w:p w14:paraId="30221E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C3EF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框架内优化</w:t>
      </w:r>
      <w:r>
        <w:rPr>
          <w:rFonts w:hint="eastAsia" w:ascii="宋体" w:hAnsi="宋体" w:eastAsia="宋体" w:cs="宋体"/>
          <w:sz w:val="24"/>
          <w:lang w:eastAsia="zh-CN"/>
        </w:rPr>
        <w:t>：</w:t>
      </w:r>
      <w:r>
        <w:rPr>
          <w:rFonts w:hint="eastAsia" w:ascii="宋体" w:hAnsi="宋体" w:eastAsia="宋体" w:cs="宋体"/>
          <w:sz w:val="24"/>
        </w:rPr>
        <w:t>他们的能动性主要体现在如何更好地“迎合”评估标准，以期在既定游戏中获得更好的结果。例如，学生为了在高考中取得高分而进行应试训练；外卖骑手为了获得平台的好评而“多等五分钟”；内容创作者为了迎合算法推荐而使用“标题党”。</w:t>
      </w:r>
    </w:p>
    <w:p w14:paraId="082B9B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5FD9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有限的博弈空间</w:t>
      </w:r>
      <w:r>
        <w:rPr>
          <w:rFonts w:hint="eastAsia" w:ascii="宋体" w:hAnsi="宋体" w:eastAsia="宋体" w:cs="宋体"/>
          <w:sz w:val="24"/>
          <w:lang w:eastAsia="zh-CN"/>
        </w:rPr>
        <w:t>：</w:t>
      </w:r>
      <w:r>
        <w:rPr>
          <w:rFonts w:hint="eastAsia" w:ascii="宋体" w:hAnsi="宋体" w:eastAsia="宋体" w:cs="宋体"/>
          <w:sz w:val="24"/>
        </w:rPr>
        <w:t>劣势主体并非完全被动的木偶，他们也会发展出各种“反抗的策略”，如刷单、摸鱼、利用规则漏洞等。然而，这些博弈行为大多仍局限于规则的缝隙之中，很难从根本上挑战评估框架本身。</w:t>
      </w:r>
    </w:p>
    <w:p w14:paraId="0B3B59F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D4C5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力差序的形成，是一个历史性的、动态的过程。它往往源于某些群体在特定历史条件下（如军事征服、技术创新、资本积累）获得了初始优势，然后通过建立一套有利于自身的评估体系，将这种暂时性的优势固化为一种持久性的结构。例如，早期资本家通过占有生产资料，获得了评估“劳动价值”的权力，并以此为基础建立起整个资本主义的生产关系与分配体系。在数字时代，那些率先掌握了数据、算法与平台等“评估资料”的科技公司，则成为了新的优势主体，构建起新的权力差序。</w:t>
      </w:r>
    </w:p>
    <w:p w14:paraId="68CAA5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6F18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权力差序结构一旦形成，便具有强大的自我再生产能力。优势主体所制定的评估标准，会通过教育、媒体、市场等渠道被广泛传播，逐渐内化为社会成员的“常识”或“第二天性”。人们开始用这套标准来评估自己和他人，从而在日常生活中不自觉地再生产着这个权力结构。一个追求在社交媒体上获得更多“赞”的用户，实际上正在用平台的评估逻辑来衡量自身的社会价值，从而主动地将自己整合进平台所设定的权力差序之中。</w:t>
      </w:r>
    </w:p>
    <w:p w14:paraId="62DAA2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545F50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权力差序”不仅是一个关于资源分配不平等的宏观结构，更是一个关乎认知、价值与主体性的微观权力网络。它揭示了，评估并非一种中立的技术活动，而是一场没有硝烟的政治斗争。斗争的核心，在于争夺定义现实的“一级评估权”。理解了这一点，我们才能真正把握数字时代权力斗争的新形态，并为后续章节中对“评估异化”的深入分析铺平道路。</w:t>
      </w:r>
    </w:p>
    <w:p w14:paraId="7280A7C0">
      <w:pPr>
        <w:pStyle w:val="5"/>
        <w:bidi w:val="0"/>
        <w:rPr>
          <w:rFonts w:hint="eastAsia" w:ascii="宋体" w:hAnsi="宋体" w:eastAsia="宋体" w:cs="宋体"/>
          <w:sz w:val="24"/>
        </w:rPr>
      </w:pPr>
      <w:r>
        <w:rPr>
          <w:rFonts w:hint="eastAsia" w:ascii="宋体" w:hAnsi="宋体" w:eastAsia="宋体" w:cs="宋体"/>
        </w:rPr>
        <w:t>与经典权力理论的对话：马克思、韦伯与福柯</w:t>
      </w:r>
    </w:p>
    <w:p w14:paraId="4E10CF75">
      <w:pPr>
        <w:keepNext w:val="0"/>
        <w:keepLines w:val="0"/>
        <w:pageBreakBefore w:val="0"/>
        <w:widowControl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rPr>
      </w:pPr>
      <w:r>
        <w:rPr>
          <w:rFonts w:hint="eastAsia" w:ascii="宋体" w:hAnsi="宋体" w:eastAsia="宋体" w:cs="宋体"/>
          <w:sz w:val="24"/>
        </w:rPr>
        <w:t>任何一种新的理论建构，都无法在真空中进行。它必须通过与既有的思想传统进行对话、辩驳与融合，来确立自身的坐标与价值。本节将尝试将我们提出的“评估权力”理论框架，置于与三位现代权力思想的巨擘——卡尔·马克思、马克斯·韦伯与米歇尔·福柯——的对话之中。这场对话的目的，并非简单地否定前人，而是在承认其深刻洞见的基础上，论证我们的理论框架如何在某些关键方面，对他们的思想进行了补充、延伸乃至超越，从而为理解我们这个时代（特别是数字时代）的权力现象提供更具适配性的分析工具。</w:t>
      </w:r>
    </w:p>
    <w:p w14:paraId="30A8D4FB">
      <w:pPr>
        <w:pStyle w:val="6"/>
        <w:bidi w:val="0"/>
        <w:rPr>
          <w:rFonts w:hint="eastAsia" w:ascii="宋体" w:hAnsi="宋体" w:eastAsia="宋体" w:cs="宋体"/>
        </w:rPr>
      </w:pPr>
      <w:r>
        <w:rPr>
          <w:rFonts w:hint="eastAsia" w:ascii="宋体" w:hAnsi="宋体" w:eastAsia="宋体" w:cs="宋体"/>
        </w:rPr>
        <w:t>与马克思的对话：从“生产资料”到“评估资料”</w:t>
      </w:r>
    </w:p>
    <w:p w14:paraId="3D5C78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马克思对权力分析的革命性贡献，在于他将权力从政治和法律的上层建筑，拉回到了经济基础的坚实土壤之上。在马克思看来，资本主义社会最根本的权力关系，源于生产资料（means of production）的私有制。资产阶级之所以能够支配无产阶级，并非因为他们天生高贵或拥有更强的暴力，而是因为他们垄断了工人进行劳动、维持生存所必需的土地、工厂、机器等物质条件。</w:t>
      </w:r>
    </w:p>
    <w:p w14:paraId="2119CC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F690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这种基于生产资料所有权的权力，其核心正是一种深刻的“评估权”。资本家作为生产资料的所有者，天然地掌握了对“劳动”这一核心人类活动进行评估的权力。他决定了：</w:t>
      </w:r>
    </w:p>
    <w:p w14:paraId="2B271FE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劳动的准入评估</w:t>
      </w:r>
      <w:r>
        <w:rPr>
          <w:rFonts w:hint="eastAsia" w:ascii="宋体" w:hAnsi="宋体" w:eastAsia="宋体" w:cs="宋体"/>
          <w:sz w:val="24"/>
          <w:lang w:eastAsia="zh-CN"/>
        </w:rPr>
        <w:t>：</w:t>
      </w:r>
      <w:r>
        <w:rPr>
          <w:rFonts w:hint="eastAsia" w:ascii="宋体" w:hAnsi="宋体" w:eastAsia="宋体" w:cs="宋体"/>
          <w:sz w:val="24"/>
        </w:rPr>
        <w:t>谁可以进入工厂工作。</w:t>
      </w:r>
    </w:p>
    <w:p w14:paraId="349CA2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劳动的过程评估</w:t>
      </w:r>
      <w:r>
        <w:rPr>
          <w:rFonts w:hint="eastAsia" w:ascii="宋体" w:hAnsi="宋体" w:eastAsia="宋体" w:cs="宋体"/>
          <w:sz w:val="24"/>
          <w:lang w:eastAsia="zh-CN"/>
        </w:rPr>
        <w:t>：</w:t>
      </w:r>
      <w:r>
        <w:rPr>
          <w:rFonts w:hint="eastAsia" w:ascii="宋体" w:hAnsi="宋体" w:eastAsia="宋体" w:cs="宋体"/>
          <w:sz w:val="24"/>
        </w:rPr>
        <w:t>工人应该以何种速度、何种方式进行劳动（泰勒制是这种过程评估的极致体现）。</w:t>
      </w:r>
    </w:p>
    <w:p w14:paraId="0E6C0B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劳动的成果评估</w:t>
      </w:r>
      <w:r>
        <w:rPr>
          <w:rFonts w:hint="eastAsia" w:ascii="宋体" w:hAnsi="宋体" w:eastAsia="宋体" w:cs="宋体"/>
          <w:sz w:val="24"/>
          <w:lang w:eastAsia="zh-CN"/>
        </w:rPr>
        <w:t>：</w:t>
      </w:r>
      <w:r>
        <w:rPr>
          <w:rFonts w:hint="eastAsia" w:ascii="宋体" w:hAnsi="宋体" w:eastAsia="宋体" w:cs="宋体"/>
          <w:sz w:val="24"/>
        </w:rPr>
        <w:t>工人生产出的产品价值几何，其中多少应作为工资支付给工人（剩余价值理论的核心）。</w:t>
      </w:r>
    </w:p>
    <w:p w14:paraId="369FA8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F7540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这个角度看，马克思的权力理论与我们的框架高度契合。资本家的权力，正是一种典型的“一级评估权”，而工人的处境，则是在这个评估框架内进行“二级评估”——选择接受剥削，或者面临失业的风险。马克思所说的“异化”，也与我们将在下一章详细阐述的“评估异化”有着深刻的亲缘关系。</w:t>
      </w:r>
    </w:p>
    <w:p w14:paraId="45F01E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1FDF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然而，我们的理论框架试图在两个方面对马克思进行拓展：</w:t>
      </w:r>
    </w:p>
    <w:p w14:paraId="6D24C1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8F92F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首先，普遍化权力的基础</w:t>
      </w:r>
      <w:r>
        <w:rPr>
          <w:rFonts w:hint="eastAsia" w:ascii="宋体" w:hAnsi="宋体" w:eastAsia="宋体" w:cs="宋体"/>
          <w:sz w:val="24"/>
          <w:lang w:eastAsia="zh-CN"/>
        </w:rPr>
        <w:t>。</w:t>
      </w:r>
      <w:r>
        <w:rPr>
          <w:rFonts w:hint="eastAsia" w:ascii="宋体" w:hAnsi="宋体" w:eastAsia="宋体" w:cs="宋体"/>
          <w:sz w:val="24"/>
        </w:rPr>
        <w:t>马克思将权力的根源主要归结于经济领域中的生产资料所有权。而我们的“评估权力”理论认为，生产资料只是“评估资料”（means of evaluation）在工业资本主义时代的一种具体历史形态。在不同的社会形态中，“评估资料”可以有不同的表现。在前现代社会，它可能是解释神意的宗教知识或维系血缘关系的礼法系统；在知识经济时代，它可能是专利和学历；而在我们所处的数字时代，最重要的“评估资料”正在日益表现为数据、算法和平台</w:t>
      </w:r>
      <w:r>
        <w:rPr>
          <w:rFonts w:hint="eastAsia" w:ascii="宋体" w:hAnsi="宋体" w:eastAsia="宋体" w:cs="宋体"/>
          <w:sz w:val="24"/>
          <w:lang w:eastAsia="zh-CN"/>
        </w:rPr>
        <w:t>。</w:t>
      </w:r>
      <w:r>
        <w:rPr>
          <w:rFonts w:hint="eastAsia" w:ascii="宋体" w:hAnsi="宋体" w:eastAsia="宋体" w:cs="宋体"/>
          <w:sz w:val="24"/>
        </w:rPr>
        <w:t>谷歌、Meta、亚马逊等科技巨头，其核心权力并非来自对物理工厂的占有，而是来自对全球数据流的垄断、对塑造用户行为的算法的设计权，以及作为数字经济基础设施的平台地位。它们掌握了新时代的“评估资料”，从而成为了数字资本主义的核心权力主体。这一转换，使得我们能够用一个更具普遍性的框架，来分析不同历史阶段的权力结构。</w:t>
      </w:r>
    </w:p>
    <w:p w14:paraId="1190B1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4C32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其次，强调权力的文化与认知维度</w:t>
      </w:r>
      <w:r>
        <w:rPr>
          <w:rFonts w:hint="eastAsia" w:ascii="宋体" w:hAnsi="宋体" w:eastAsia="宋体" w:cs="宋体"/>
          <w:sz w:val="24"/>
          <w:lang w:eastAsia="zh-CN"/>
        </w:rPr>
        <w:t>。</w:t>
      </w:r>
      <w:r>
        <w:rPr>
          <w:rFonts w:hint="eastAsia" w:ascii="宋体" w:hAnsi="宋体" w:eastAsia="宋体" w:cs="宋体"/>
          <w:sz w:val="24"/>
        </w:rPr>
        <w:t>尽管马克思也通过“意识形态”理论探讨了上层建筑的反作用，但其理论的重心始终在经济基础。我们的框架则从一开始就将权力的认知与价值维度置于核心。评估权不仅是一种经济支配权，更是一种“认知垄断权”和“价值定义权”。它通过塑造我们的“常识”，让我们接受某种价值排序是“自然”的。例如，平台资本主义不仅在经济上剥削骑手，更在文化上将“服务”与“顺从”划上等号，通过评分机制将消费者塑造成对劳动者拥有微观评估权的“小君主”。这种对主体认知与价值观念的塑造，是评估权力得以稳固运行的深层基础，其重要性不亚于经济层面的支配。</w:t>
      </w:r>
    </w:p>
    <w:p w14:paraId="29EA5099">
      <w:pPr>
        <w:pStyle w:val="6"/>
        <w:bidi w:val="0"/>
        <w:rPr>
          <w:rFonts w:hint="eastAsia" w:ascii="宋体" w:hAnsi="宋体" w:eastAsia="宋体" w:cs="宋体"/>
          <w:sz w:val="24"/>
        </w:rPr>
      </w:pPr>
      <w:r>
        <w:rPr>
          <w:rFonts w:hint="eastAsia" w:ascii="宋体" w:hAnsi="宋体" w:eastAsia="宋体" w:cs="宋体"/>
        </w:rPr>
        <w:t>与韦伯的对话：从“支配的合法性”到“评估的本体性”</w:t>
      </w:r>
    </w:p>
    <w:p w14:paraId="713091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马克思揭示了权力的经济根源，那么马克斯·韦伯则聚焦于权力的政治与社会形态，特别是其“合法性”问题。韦伯的经典之处在于，他区分了纯粹的权力与具有合法性的支配。一个稳定的权力结构，不能仅仅依赖暴力，还必须让被支配者在某种程度上相信其存在的正当性。韦伯据此划分了三种理想的合法性类型：传统型（基于习俗与传统）、克里斯玛（魅力）型（基于领袖的超凡个人魅力）和法理型（基于非人格化的法律与规则）。</w:t>
      </w:r>
    </w:p>
    <w:p w14:paraId="4072D1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51D9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韦伯的理论，特别是他对“法理型支配”的分析，为我们理解现代评估权力提供了深刻的启示。法理型支配的核心是官僚制，而官僚制本质上就是一个庞大的、理性化的评估机器。它通过明确的层级、专业的知识、成文的规则和非人格化的程序，来对社会事务进行高效的管理与裁决。从这个意义上说，现代社会中无处不在的考试、审计、认证、资格审查等评估体系，都可以被视为韦伯式理性化进程的产物。</w:t>
      </w:r>
    </w:p>
    <w:p w14:paraId="41B757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78096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评估权力”理论，正是在韦伯所描述的这一宏大历史进程的延长线上。数字时代的算法评估，可以说是官僚制理性化的终极形态。它将“非人格化”推向了极致——评估主体甚至不再是人，而是代码；它将“规则”内化于算法的逻辑之中，使其变得更加高效、也更加不透明。</w:t>
      </w:r>
    </w:p>
    <w:p w14:paraId="4D0C8E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0F683F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然而，我们的理论视角与韦伯亦有不同侧重：</w:t>
      </w:r>
    </w:p>
    <w:p w14:paraId="698089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04FDC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第一，从“合法性”追问到“本体性”追问</w:t>
      </w:r>
      <w:r>
        <w:rPr>
          <w:rFonts w:hint="eastAsia" w:ascii="宋体" w:hAnsi="宋体" w:eastAsia="宋体" w:cs="宋体"/>
          <w:sz w:val="24"/>
          <w:lang w:eastAsia="zh-CN"/>
        </w:rPr>
        <w:t>。</w:t>
      </w:r>
      <w:r>
        <w:rPr>
          <w:rFonts w:hint="eastAsia" w:ascii="宋体" w:hAnsi="宋体" w:eastAsia="宋体" w:cs="宋体"/>
          <w:sz w:val="24"/>
        </w:rPr>
        <w:t>韦伯的核心问题是：支配为何被服从？他从社会行动者的主观信念中寻找答案。而我们的核心问题是：权力如何建构我们行动于其中的那个“现实”？我们追问的是一个更先在的、本体论层面的问题。在人们思考一个评估体系是否“合法”之前，这个评估体系已经通过其运作，塑造了人们赖以进行判断的“事实”和“价值”本身。例如，在我们讨论高考制度是否“公平”（合法性问题）之前，高考这一评估机制本身已经深刻地建构了我们关于“人才”、“知识”和“成功”的定义（本体性问题）。我们的框架试图揭示，评估权力在获得其“合法性”之前，已经通过其“本体性”的现实建构功能，为自身的合法性奠定了基础。</w:t>
      </w:r>
    </w:p>
    <w:p w14:paraId="1594AC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24C3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第二，揭示“理性化”背后的权力非对称性</w:t>
      </w:r>
      <w:r>
        <w:rPr>
          <w:rFonts w:hint="eastAsia" w:ascii="宋体" w:hAnsi="宋体" w:eastAsia="宋体" w:cs="宋体"/>
          <w:sz w:val="24"/>
          <w:lang w:eastAsia="zh-CN"/>
        </w:rPr>
        <w:t>。</w:t>
      </w:r>
      <w:r>
        <w:rPr>
          <w:rFonts w:hint="eastAsia" w:ascii="宋体" w:hAnsi="宋体" w:eastAsia="宋体" w:cs="宋体"/>
          <w:sz w:val="24"/>
        </w:rPr>
        <w:t>韦伯在描述理性化时，常常带有一种“价值中立”的社会学客观性，并对其“铁笼”的未来感到忧虑。我们的“权力差序”概念，则旨在为这看似中立的理性化进程，注入一种更为批判性的权力分析。我们强调，任何理性化的评估体系，都不是凭空产生的，它总是在特定的权力关系中，由“优势主体”所设计和推行的。算法的“理性”背后，是设计者的利益、偏见和世界观。因此，我们看到的并非一个普遍的、同质化的理性化铁笼，而是一个充满差序的、服务于特定权力利益的评估网络。这个网络对某些人来说是上升的阶梯，而对另一些人来说，则可能是不折不扣的枷锁。</w:t>
      </w:r>
    </w:p>
    <w:p w14:paraId="49025A9B">
      <w:pPr>
        <w:pStyle w:val="6"/>
        <w:bidi w:val="0"/>
        <w:rPr>
          <w:rFonts w:hint="eastAsia" w:ascii="宋体" w:hAnsi="宋体" w:eastAsia="宋体" w:cs="宋体"/>
          <w:sz w:val="24"/>
        </w:rPr>
      </w:pPr>
      <w:r>
        <w:rPr>
          <w:rFonts w:hint="eastAsia" w:ascii="宋体" w:hAnsi="宋体" w:eastAsia="宋体" w:cs="宋体"/>
        </w:rPr>
        <w:t>与福柯的对话：从“规训/生命权力”到“评估权力”</w:t>
      </w:r>
    </w:p>
    <w:p w14:paraId="7BED60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福柯无疑是本书最直接、也最重要的思想先驱。正如本章开篇所述，我们正是站在福柯的肩膀上，才得以看清数字时代权力的新形态。福柯的权力分析，特别是他对知识/权力（knowledge/power）关系的揭示，以及对规训技术（如考试、检查）的精辟分析，已经触及了“评估权力”的核心。福柯笔下的“规范化裁决”，正是一种典型的评估活动，它通过将个体与一个“规范”进行比较，来对其进行分类、奖惩和矫正。</w:t>
      </w:r>
    </w:p>
    <w:p w14:paraId="1FE7DB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A160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评估权力”理论，在很大程度上可以被看作是对福柯思想在数字时代语境下的一次系统化、理论化的尝试。我们试图将福柯那些如珍珠般散落的、关于各种微观权力技术的洞察，串联到一个更具统摄性的理论框架之下。</w:t>
      </w:r>
    </w:p>
    <w:p w14:paraId="7FF9D3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5499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我们与福柯的对话，主要体现为一种“继承与发展”的关系：</w:t>
      </w:r>
    </w:p>
    <w:p w14:paraId="20E12B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773C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首先，赋予弥散性权力一个核心机制</w:t>
      </w:r>
      <w:r>
        <w:rPr>
          <w:rFonts w:hint="eastAsia" w:ascii="宋体" w:hAnsi="宋体" w:eastAsia="宋体" w:cs="宋体"/>
          <w:sz w:val="24"/>
          <w:lang w:eastAsia="zh-CN"/>
        </w:rPr>
        <w:t>。</w:t>
      </w:r>
      <w:r>
        <w:rPr>
          <w:rFonts w:hint="eastAsia" w:ascii="宋体" w:hAnsi="宋体" w:eastAsia="宋体" w:cs="宋体"/>
          <w:sz w:val="24"/>
        </w:rPr>
        <w:t>福柯强调权力的弥散性、网络性，反对寻找一个单一的权力中心。这极大地开阔了我们的视野。然而，有时也使其分析显得过于分散，难以形成一个统一的分析焦点。我们的“评估权力”理论，在承认权力弥蒙散性的同时，试图指出这种弥散的权力运作，在当代社会（特别是数字社会）正日益围绕着一个核心机制——“评估”——来组织和展开。评估，成为了连接不同权力技术（从自我管理到算法治理）的“通用语”。这为我们提供了一个更为聚焦的分析入口，来捕捉和剖析当代权力的运作。</w:t>
      </w:r>
    </w:p>
    <w:p w14:paraId="137EDB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91874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其次，系统化权力运作的非对称性</w:t>
      </w:r>
      <w:r>
        <w:rPr>
          <w:rFonts w:hint="eastAsia" w:ascii="宋体" w:hAnsi="宋体" w:eastAsia="宋体" w:cs="宋体"/>
          <w:sz w:val="24"/>
          <w:lang w:eastAsia="zh-CN"/>
        </w:rPr>
        <w:t>。</w:t>
      </w:r>
      <w:r>
        <w:rPr>
          <w:rFonts w:hint="eastAsia" w:ascii="宋体" w:hAnsi="宋体" w:eastAsia="宋体" w:cs="宋体"/>
          <w:sz w:val="24"/>
        </w:rPr>
        <w:t>福柯虽然也关注权力关系中的不平等，但他更倾向于描述权力如何在每个人身上流转和运作。我们的“权力差序”概念，则试图更明确地、结构性地阐释这种不平等。通过区分“一级评估权”和“二级评估”，我们能够更清晰地识别出谁是规则的制定者，谁是规则的承受者，从而将福柯的微观权力分析与更宏观的社会结构不平等问题（如阶级、平台垄断）连接起来，这使得我们的框架能够更好地与马克思主义的政治经济学批判传统进行结合。</w:t>
      </w:r>
    </w:p>
    <w:p w14:paraId="104C0C4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B89E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最后，更新权力技术的历史形态</w:t>
      </w:r>
      <w:r>
        <w:rPr>
          <w:rFonts w:hint="eastAsia" w:ascii="宋体" w:hAnsi="宋体" w:eastAsia="宋体" w:cs="宋体"/>
          <w:sz w:val="24"/>
          <w:lang w:eastAsia="zh-CN"/>
        </w:rPr>
        <w:t>。</w:t>
      </w:r>
      <w:r>
        <w:rPr>
          <w:rFonts w:hint="eastAsia" w:ascii="宋体" w:hAnsi="宋体" w:eastAsia="宋体" w:cs="宋体"/>
          <w:sz w:val="24"/>
        </w:rPr>
        <w:t>福柯的分析主要基于18、19世纪的档案。他所描述的规训权力，其理想模型是“全景敞视监狱”。而我们认为，数字时代的权力技术已经发生了深刻的迭代。其理想模型不再是物理的监狱，而是流动的、无处不在的“算法全景敞视”（algorithmic panopticism）。它不再仅仅追求“规范化”，更追求“最优化”；不再满足于回溯性的矫正，更致力于前瞻性的预测与干预。本书后续章节对算法信用、平台劳动和社交媒体的分析，正是要具体地描绘“评估权力”这一福柯式权力的最新历史形态。</w:t>
      </w:r>
    </w:p>
    <w:p w14:paraId="47A22E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0C22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综上所述，通过与马克思、韦伯、福柯的对话，我们得以更清晰地界定“评估权力”理论的独特性与贡献。它吸收了马克思对经济基础与权力关系的洞察，并将其从“生产资料”拓展到更具普遍性的“评估资料”；它继承了韦伯对理性化与合法性的分析，并为其注入了关于权力非对称性的批判性视角；它站在福柯的肩膀上，为弥散性的权力网络找到了一个当代的核心运作机制，并更新了其权力技术的历史形态。</w:t>
      </w:r>
    </w:p>
    <w:p w14:paraId="56650C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E52FC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我们已经为本书的理论大厦奠定了第一块基石。我们重思了权力的本质，将其定义为一种收敛可能性的能力；我们构建了“可能性基底”的本体论，并阐述了社会实在如何通过评估而被建构；我们提出了“权力差序”的核心概念，揭示了评估权的不平等分布。最后，我们通过与经典理论的对话，明确了自身的理论定位。</w:t>
      </w:r>
    </w:p>
    <w:p w14:paraId="0914C1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A538C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一个关键的问题尚待解答：当评估活动在这种权力差序的结构下运作时，它自身会发生怎样的扭曲？它会对我们的社会、我们的认知、乃至我们作为人的主体性，造成怎样深远的伤害？这便是下一章将要深入探讨的核心主题：“评估异化”。</w:t>
      </w:r>
    </w:p>
    <w:p w14:paraId="749E021B">
      <w:pPr>
        <w:rPr>
          <w:rFonts w:hint="eastAsia" w:ascii="宋体" w:hAnsi="宋体" w:eastAsia="宋体" w:cs="宋体"/>
          <w:sz w:val="24"/>
        </w:rPr>
      </w:pPr>
      <w:r>
        <w:rPr>
          <w:rFonts w:hint="eastAsia" w:ascii="宋体" w:hAnsi="宋体" w:eastAsia="宋体" w:cs="宋体"/>
          <w:sz w:val="24"/>
        </w:rPr>
        <w:br w:type="page"/>
      </w:r>
    </w:p>
    <w:p w14:paraId="2F7F4401">
      <w:pPr>
        <w:pStyle w:val="4"/>
        <w:bidi w:val="0"/>
        <w:rPr>
          <w:rFonts w:hint="eastAsia" w:ascii="宋体" w:hAnsi="宋体" w:eastAsia="宋体" w:cs="宋体"/>
        </w:rPr>
      </w:pPr>
      <w:bookmarkStart w:id="12" w:name="_Toc2117519118"/>
      <w:r>
        <w:rPr>
          <w:rFonts w:hint="eastAsia" w:ascii="宋体" w:hAnsi="宋体" w:eastAsia="宋体" w:cs="宋体"/>
        </w:rPr>
        <w:t>第二章：评估异化：从共识建构到单向认证</w:t>
      </w:r>
      <w:bookmarkEnd w:id="12"/>
    </w:p>
    <w:p w14:paraId="0EC6800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&gt; “起初，我们创造工具来衡量世界；最终，工具开始衡量我们，并按照它的尺度重塑我们。”</w:t>
      </w:r>
    </w:p>
    <w:p w14:paraId="1C6349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F22A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第一章中，我们为权力建立了一个新的本体论基础，将其定义为一种收敛可能性的能力，其核心机制在于“评估权”的非对称分布。这一宏观的结构性分析，为我们理解权力的运作提供了“鸟瞰式”的地图。然而，一幅地图只有在与具体的土地勘测相结合时，才能显现其全部价值。本章的任务，正是要深入这片由评估权力所塑造的土地，进行一次细致的“地质勘探”，以揭示当评估活动被嵌入“权力差序”的结构中时，其内在的“土壤”会发生何种深刻的、往往是破坏性的变质。</w:t>
      </w:r>
    </w:p>
    <w:p w14:paraId="07CD32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44DC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我们将这一变质过程命名为“评估异化”（Evaluative Alienation）。“异化”一词，自黑格尔、费尔巴哈至马克思，始终是现代社会批判理论中最具穿透力的概念之一。它描述了一种深刻的分裂状态：人类的创造物（无论是上帝、国家还是商品），最终反转过来，成为一种外在的、与人对立的、并反过来支配其创造者的神秘力量。本书认为，在当代社会，特别是数字时代，“评估”这一本应服务于人类理解与成长的人类活动，正经历着一场同样深刻的异化过程。它从一种主体间的、旨在建构共识的生命实践，蜕变为一种非人格化的、旨在实施控制的单向认证体系。</w:t>
      </w:r>
    </w:p>
    <w:p w14:paraId="7D08E3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40240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将通过四个步骤来系统地阐述这一异化过程。首先，我们将通过哲学与社会学的回溯，探寻评估活动的“本源形态”，即作为主体间相互承认与共识建构的评估。其次，我们将定位“异化的开端”，指出评估权的垄断与标准化是如何为这一进程打开闸门的。再次，我们将聚焦于被评估者的处境，分析其在“二次评估”的框架下所面临的能动性丧失的困境。最后，我们将从理论上对评估异化的后果进行系统性的总结，提炼出其在“主体消解”、“认知垄断”与“价值扭曲”这三个维度上的核心表现。</w:t>
      </w:r>
    </w:p>
    <w:p w14:paraId="73714F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7BD1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这一谱系学的考察，我们旨在揭示：我们今天所习以为常的、以分数、排名、KPI为代表的评估体系，远非一种自然或中立的技术，而是一种特定历史与权力关系的产物。理解其异化的根源，是我们在后续章节中探讨数字技术如何加剧并深化这一异化，并最终寻求解放之路的必要前提。</w:t>
      </w:r>
    </w:p>
    <w:p w14:paraId="00D771D6">
      <w:pPr>
        <w:pStyle w:val="5"/>
        <w:bidi w:val="0"/>
        <w:rPr>
          <w:rFonts w:hint="eastAsia" w:ascii="宋体" w:hAnsi="宋体" w:eastAsia="宋体" w:cs="宋体"/>
          <w:sz w:val="24"/>
        </w:rPr>
      </w:pPr>
      <w:r>
        <w:rPr>
          <w:rFonts w:hint="eastAsia" w:ascii="宋体" w:hAnsi="宋体" w:eastAsia="宋体" w:cs="宋体"/>
        </w:rPr>
        <w:t>评估的本源：主体间的相互承认与共识形成</w:t>
      </w:r>
    </w:p>
    <w:p w14:paraId="7BFA26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了理解“异化”的病理，我们必须首先描绘出一幅“健康”的图景。评估活动在其本源的、未被异化的状态下，究竟是何种面貌？它并非一种冰冷的技术操作，而是一种根植于人类社会性本质的、充满生命力的互动实践。其核心，不在于“测量”与“裁决”，而在于“承认”（recognition）与“共识”（consensus）。</w:t>
      </w:r>
    </w:p>
    <w:p w14:paraId="73426C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944D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从一个前现代的、理想化的场景开始：一位经验丰富的制陶师傅，正在指导他的年轻徒弟。徒弟刚刚完成了一件新的陶器，忐忑地将其呈现在师傅面前。此时，一场深刻的“评估”活动开始了。师傅拿起陶器，用粗糙但敏感的手指抚摸其轮廓，感受其厚薄与质地；他将其举到眼前，审视其形态的和谐与釉色的光泽；他用指关节轻轻叩击，倾听其声音是否清脆。这个过程，远非简单的“打分”。</w:t>
      </w:r>
    </w:p>
    <w:p w14:paraId="20EEE9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82E5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首先，这是一场对话。师傅不会只是说“75分，中等偏上”。他会说：“你看，这里的弧线处理得比上次更有力道，说明你的手稳了。但底座的处理还是有些急躁，收得太快，导致重心略有不稳。下次试着在这个环节多花些时间，感受泥土在你手中的节奏。</w:t>
      </w:r>
      <w:r>
        <w:rPr>
          <w:rFonts w:hint="eastAsia" w:ascii="宋体" w:hAnsi="宋体" w:eastAsia="宋体" w:cs="宋体"/>
          <w:sz w:val="24"/>
          <w:lang w:eastAsia="zh-CN"/>
        </w:rPr>
        <w:t>”</w:t>
      </w:r>
      <w:r>
        <w:rPr>
          <w:rFonts w:hint="eastAsia" w:ascii="宋体" w:hAnsi="宋体" w:eastAsia="宋体" w:cs="宋体"/>
          <w:sz w:val="24"/>
        </w:rPr>
        <w:t>徒弟则会回应：“师傅，我当时是想追求一种轻盈感，所以底座做得比较薄。</w:t>
      </w:r>
      <w:r>
        <w:rPr>
          <w:rFonts w:hint="eastAsia" w:ascii="宋体" w:hAnsi="宋体" w:eastAsia="宋体" w:cs="宋体"/>
          <w:sz w:val="24"/>
          <w:lang w:eastAsia="zh-CN"/>
        </w:rPr>
        <w:t>”</w:t>
      </w:r>
      <w:r>
        <w:rPr>
          <w:rFonts w:hint="eastAsia" w:ascii="宋体" w:hAnsi="宋体" w:eastAsia="宋体" w:cs="宋体"/>
          <w:sz w:val="24"/>
        </w:rPr>
        <w:t>师傅可能会点头：“嗯，想法是好的，但轻盈不等于不稳。我们可以看看宋代的瓷器，它们是如何在轻薄与稳重之间找到完美平衡的。</w:t>
      </w:r>
      <w:r>
        <w:rPr>
          <w:rFonts w:hint="eastAsia" w:ascii="宋体" w:hAnsi="宋体" w:eastAsia="宋体" w:cs="宋体"/>
          <w:sz w:val="24"/>
          <w:lang w:eastAsia="zh-CN"/>
        </w:rPr>
        <w:t>”</w:t>
      </w:r>
      <w:r>
        <w:rPr>
          <w:rFonts w:hint="eastAsia" w:ascii="宋体" w:hAnsi="宋体" w:eastAsia="宋体" w:cs="宋体"/>
          <w:sz w:val="24"/>
        </w:rPr>
        <w:t>在这场对话中，评估不是一个终点，而是一个持续沟通、共同探索的起点。</w:t>
      </w:r>
    </w:p>
    <w:p w14:paraId="1270F6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3A16D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次，这次评估是情境化的。师傅的判断，深刻地嵌入在具体的时空与人际关系之中。他知道徒弟的天赋、性格、近期的进步与瓶颈；他了解这块陶土的特性、今天窑炉的火候；他的评估标准，并非来自一本抽象的《陶艺制作标准手册》，而是源于他自身数十年实践所积累的、内化于身体的“默会知识”。他的判断，是针对“这个”徒弟在“此时此地”完成的“这件”作品，而非一个可被随意替换的、标准化的产品。</w:t>
      </w:r>
    </w:p>
    <w:p w14:paraId="285FA5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0625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再次，评估的目标是发展性的。师傅的最终目的，不是为了将徒弟的作品分门别类，贴上“优、良、中、差”的标签，而是为了促进徒弟的成长。他的批评指向改进，他的赞美给予激励。评估是教育过程的一部分，是引导徒弟从一个新手走向技艺精湛的匠人的阶梯。其核心精神是培育，而非筛选。</w:t>
      </w:r>
    </w:p>
    <w:p w14:paraId="02736E8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BE52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最后，也是最根本的，这场评估实践的基石是主体间的相互承认（Intersubjective Mutual Recognition）。在德国古典哲学家黑格尔（G.W.F. Hegel）看来，人类自我意识的形成，是一个根本性的社会过程。人渴望被另一个意识所“承认”，即被看作一个有价值、有尊严的独立主体。在主奴关系的辩证法中，主人虽然在物理上支配奴隶，却无法获得真正的承认，因为奴隶的承认是被迫的、不对等的。真正的承认，只能发生在两个自由、平等的主体之间。</w:t>
      </w:r>
    </w:p>
    <w:p w14:paraId="0690AF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EC169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我们的师徒场景中，一场健康的评估，正是一次深刻的相互承认。徒弟通过将自己的作品（他主体性的延伸）呈现给师傅，寻求承认。而师傅通过认真、负责、充满关怀的点评，给予了这种承认。他不仅承认了这件作品的优点与不足，更承认了徒弟作为一个努力成长、有潜力、有创造力的“人”的价值。反过来，徒弟对师傅的尊敬与信赖，也构成了对师傅作为智慧与权威的化身的承认。这种双向的、基于信任的承认关系，是评估活动能够产生积极效果的伦理基础。</w:t>
      </w:r>
    </w:p>
    <w:p w14:paraId="61118B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3E38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将这一洞见从师徒关系扩展到更广阔的社会领域，我们可以看到，评估的本源功能在于共识的建构。社会学家尤尔根·哈贝马斯（Jürgen Habermas）的交往行动理论，为我们提供了强大的理论支持。哈贝马斯区分了两种社会行动：一种是“工具行动”或“策略行动”，其目标是追求个人效益的最大化，将他人视为实现目的的工具；另一种是“交往行动”，其目标是通过理性的、无强制的沟通，达成主体间的相互理解与共识。</w:t>
      </w:r>
    </w:p>
    <w:p w14:paraId="0C9CA9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2AE6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健康的评估，正是一种典型的“交往行动”。当一个社区共同评估一项公共建设计划，或一个学术共同体评估一篇新的研究论文时，其理想状态并非一场权力博弈，而是一场以“更佳论证的说服力”为基础的公共审议。参与者们提出各自的“有效性宣称”，并通过理性的对话来检验这些宣称。最终达成的共识，不是某一方意志的强加，而是集体智慧的结晶。这种基于共识的评估，是维系社会整合、促进知识增长、形成集体认同的基石。</w:t>
      </w:r>
    </w:p>
    <w:p w14:paraId="0AB8EC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23BC5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综上所述，评估的本源形态具有以下核心特征：</w:t>
      </w:r>
    </w:p>
    <w:p w14:paraId="1E4EAC1C">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主体间性</w:t>
      </w:r>
      <w:r>
        <w:rPr>
          <w:rFonts w:hint="eastAsia" w:ascii="宋体" w:hAnsi="宋体" w:eastAsia="宋体" w:cs="宋体"/>
          <w:sz w:val="24"/>
          <w:lang w:eastAsia="zh-CN"/>
        </w:rPr>
        <w:t>：</w:t>
      </w:r>
      <w:r>
        <w:rPr>
          <w:rFonts w:hint="eastAsia" w:ascii="宋体" w:hAnsi="宋体" w:eastAsia="宋体" w:cs="宋体"/>
          <w:sz w:val="24"/>
        </w:rPr>
        <w:t>它发生在两个或多个完整的人之间，而非人与系统之间。</w:t>
      </w:r>
    </w:p>
    <w:p w14:paraId="5CFFA42D">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对话性</w:t>
      </w:r>
      <w:r>
        <w:rPr>
          <w:rFonts w:hint="eastAsia" w:ascii="宋体" w:hAnsi="宋体" w:eastAsia="宋体" w:cs="宋体"/>
          <w:sz w:val="24"/>
          <w:lang w:eastAsia="zh-CN"/>
        </w:rPr>
        <w:t>：</w:t>
      </w:r>
      <w:r>
        <w:rPr>
          <w:rFonts w:hint="eastAsia" w:ascii="宋体" w:hAnsi="宋体" w:eastAsia="宋体" w:cs="宋体"/>
          <w:sz w:val="24"/>
        </w:rPr>
        <w:t>它是双向的、可协商的沟通，而非单向的指令。</w:t>
      </w:r>
    </w:p>
    <w:p w14:paraId="46F881C0">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情境性</w:t>
      </w:r>
      <w:r>
        <w:rPr>
          <w:rFonts w:hint="eastAsia" w:ascii="宋体" w:hAnsi="宋体" w:eastAsia="宋体" w:cs="宋体"/>
          <w:sz w:val="24"/>
          <w:lang w:eastAsia="zh-CN"/>
        </w:rPr>
        <w:t>：</w:t>
      </w:r>
      <w:r>
        <w:rPr>
          <w:rFonts w:hint="eastAsia" w:ascii="宋体" w:hAnsi="宋体" w:eastAsia="宋体" w:cs="宋体"/>
          <w:sz w:val="24"/>
        </w:rPr>
        <w:t>它深刻地嵌入在具体的历史、文化与人际关系之中。</w:t>
      </w:r>
    </w:p>
    <w:p w14:paraId="7F8B1160">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发展性</w:t>
      </w:r>
      <w:r>
        <w:rPr>
          <w:rFonts w:hint="eastAsia" w:ascii="宋体" w:hAnsi="宋体" w:eastAsia="宋体" w:cs="宋体"/>
          <w:sz w:val="24"/>
          <w:lang w:eastAsia="zh-CN"/>
        </w:rPr>
        <w:t>：</w:t>
      </w:r>
      <w:r>
        <w:rPr>
          <w:rFonts w:hint="eastAsia" w:ascii="宋体" w:hAnsi="宋体" w:eastAsia="宋体" w:cs="宋体"/>
          <w:sz w:val="24"/>
        </w:rPr>
        <w:t>它的目标是促进成长、理解与改进，而非简单的筛选与排序。</w:t>
      </w:r>
    </w:p>
    <w:p w14:paraId="1FC2A699">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承认与共识</w:t>
      </w:r>
      <w:r>
        <w:rPr>
          <w:rFonts w:hint="eastAsia" w:ascii="宋体" w:hAnsi="宋体" w:eastAsia="宋体" w:cs="宋体"/>
          <w:sz w:val="24"/>
          <w:lang w:eastAsia="zh-CN"/>
        </w:rPr>
        <w:t>：</w:t>
      </w:r>
      <w:r>
        <w:rPr>
          <w:rFonts w:hint="eastAsia" w:ascii="宋体" w:hAnsi="宋体" w:eastAsia="宋体" w:cs="宋体"/>
          <w:sz w:val="24"/>
        </w:rPr>
        <w:t>它的伦理基础是相互承认，其社会功能是建构共识。</w:t>
      </w:r>
    </w:p>
    <w:p w14:paraId="2A0BDA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5FEC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幅略带理想色彩的图景，并非要主张我们应该回归某种前现代的“黄金时代”。它的目的，在于树立一个批判性的参照系。正是通过与这个“本源”的对比，我们才能清晰地看到，现代社会中的评估活动，在何种程度上、通过何种机制，偏离了其应有的轨道，走向了其自身的对立面——异化。</w:t>
      </w:r>
    </w:p>
    <w:p w14:paraId="1F8CE06A">
      <w:pPr>
        <w:pStyle w:val="5"/>
        <w:bidi w:val="0"/>
        <w:rPr>
          <w:rFonts w:hint="eastAsia" w:ascii="宋体" w:hAnsi="宋体" w:eastAsia="宋体" w:cs="宋体"/>
        </w:rPr>
      </w:pPr>
      <w:r>
        <w:rPr>
          <w:rFonts w:hint="eastAsia" w:ascii="宋体" w:hAnsi="宋体" w:eastAsia="宋体" w:cs="宋体"/>
        </w:rPr>
        <w:t>异化的开端：评估权的垄断与标准化</w:t>
      </w:r>
    </w:p>
    <w:p w14:paraId="4A62A3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师徒作坊里充满温情的对话，到现代企业中冷酷的KPI考核；从村社长老们围绕篝火的集体审议，到跨国信用评级机构对一个主权国家命运的裁决。在这之间，究竟发生了什么？评估活动是如何从一种共识建构的交往实践，开始其漫长的异化之旅的？</w:t>
      </w:r>
    </w:p>
    <w:p w14:paraId="5F8C6A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DC85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认为，异化的开端，源于两大相互关联、互为因果的历史性进程：评估权的垄断与评估标准的统一化与非人格化，即标准化。这两大进程，如同一个巨型钳子的两臂，将评估活动从其丰富的生活世界土壤中连根拔起，并将其重新锻造为一种强大的、非人格化的社会控制技术。本节首先聚焦于第一个，也是更具根本性的进程：评估权的垄断，即评估权力从分散到集中的历史性转变。</w:t>
      </w:r>
    </w:p>
    <w:p w14:paraId="40742A6C">
      <w:pPr>
        <w:pStyle w:val="5"/>
        <w:bidi w:val="0"/>
        <w:rPr>
          <w:rFonts w:hint="eastAsia" w:ascii="宋体" w:hAnsi="宋体" w:eastAsia="宋体" w:cs="宋体"/>
        </w:rPr>
      </w:pPr>
      <w:r>
        <w:rPr>
          <w:rFonts w:hint="eastAsia" w:ascii="宋体" w:hAnsi="宋体" w:eastAsia="宋体" w:cs="宋体"/>
        </w:rPr>
        <w:t>评估权的垄断：从分散到集中</w:t>
      </w:r>
    </w:p>
    <w:p w14:paraId="0D0A7F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w:t>
      </w:r>
      <w:r>
        <w:rPr>
          <w:rFonts w:hint="eastAsia" w:ascii="宋体" w:hAnsi="宋体" w:eastAsia="宋体" w:cs="宋体"/>
          <w:sz w:val="24"/>
          <w:lang w:val="en-US" w:eastAsia="zh-CN"/>
        </w:rPr>
        <w:t>上节</w:t>
      </w:r>
      <w:r>
        <w:rPr>
          <w:rFonts w:hint="eastAsia" w:ascii="宋体" w:hAnsi="宋体" w:eastAsia="宋体" w:cs="宋体"/>
          <w:sz w:val="24"/>
        </w:rPr>
        <w:t>所描绘的“本源”图景中，评估权是一种分散的、嵌入在具体社群网络中的共有资源。在一个传统村庄或行会中，并不存在一个唯一的、至高无上的“评估中心”。一个人的声誉——这是前现代社会最重要的评估形式——是由无数次日常互动、无数双眼睛的观察、无数张嘴巴的评议共同编织而成的。铁匠的技艺好坏，不由某个“铁匠资格认证中心”说了算，而由他打出的犁是否耐用、村民们的口碑如何来共同决定。一个人的“信用”，不取决于一份数字化的信用报告，而取决于他是否信守承诺、是否在邻里困难时伸出援手，这些都需要在长期的共同生活中才能被“评估”。</w:t>
      </w:r>
    </w:p>
    <w:p w14:paraId="7EFC36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1C74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这种分散式的评估体系具有几个关键特征：</w:t>
      </w:r>
    </w:p>
    <w:p w14:paraId="4716D6B9">
      <w:pPr>
        <w:numPr>
          <w:ilvl w:val="0"/>
          <w:numId w:val="3"/>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权力弥散性</w:t>
      </w:r>
      <w:r>
        <w:rPr>
          <w:rFonts w:hint="eastAsia" w:ascii="宋体" w:hAnsi="宋体" w:eastAsia="宋体" w:cs="宋体"/>
          <w:sz w:val="24"/>
          <w:lang w:eastAsia="zh-CN"/>
        </w:rPr>
        <w:t>：</w:t>
      </w:r>
      <w:r>
        <w:rPr>
          <w:rFonts w:hint="eastAsia" w:ascii="宋体" w:hAnsi="宋体" w:eastAsia="宋体" w:cs="宋体"/>
          <w:sz w:val="24"/>
        </w:rPr>
        <w:t>评估权弥散在整个社群网络中，每个人既是评估者，也是被评估者。权力制衡是内生的，因为今天你评价别人，明天别人也会评价你。</w:t>
      </w:r>
    </w:p>
    <w:p w14:paraId="28431998">
      <w:pPr>
        <w:numPr>
          <w:ilvl w:val="0"/>
          <w:numId w:val="3"/>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关系依赖性</w:t>
      </w:r>
      <w:r>
        <w:rPr>
          <w:rFonts w:hint="eastAsia" w:ascii="宋体" w:hAnsi="宋体" w:eastAsia="宋体" w:cs="宋体"/>
          <w:sz w:val="24"/>
          <w:lang w:eastAsia="zh-CN"/>
        </w:rPr>
        <w:t>：</w:t>
      </w:r>
      <w:r>
        <w:rPr>
          <w:rFonts w:hint="eastAsia" w:ascii="宋体" w:hAnsi="宋体" w:eastAsia="宋体" w:cs="宋体"/>
          <w:sz w:val="24"/>
        </w:rPr>
        <w:t>评估深深地嵌入在具体的人际关系之中。脱离了这张关系网，评估便无从谈起。一个陌生人无法对村民的信誉做出有效判断。</w:t>
      </w:r>
    </w:p>
    <w:p w14:paraId="097952C9">
      <w:pPr>
        <w:numPr>
          <w:ilvl w:val="0"/>
          <w:numId w:val="3"/>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过程长期性</w:t>
      </w:r>
      <w:r>
        <w:rPr>
          <w:rFonts w:hint="eastAsia" w:ascii="宋体" w:hAnsi="宋体" w:eastAsia="宋体" w:cs="宋体"/>
          <w:sz w:val="24"/>
          <w:lang w:eastAsia="zh-CN"/>
        </w:rPr>
        <w:t>：</w:t>
      </w:r>
      <w:r>
        <w:rPr>
          <w:rFonts w:hint="eastAsia" w:ascii="宋体" w:hAnsi="宋体" w:eastAsia="宋体" w:cs="宋体"/>
          <w:sz w:val="24"/>
        </w:rPr>
        <w:t>评估是一个长期的、动态积累的过程，而非一次性的、瞬时的裁决。声誉的建立需要数年之功，而其败坏也可能在一夕之间。</w:t>
      </w:r>
    </w:p>
    <w:p w14:paraId="0B6D3A9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51B4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自近代以来，这一田园牧歌式的（尽管我们不应过度浪漫化它）分散评估格局，开始被一股不可逆转的强大力量所侵蚀和取代。评估权开始了一场大规模的、从社群向特定机构集中的迁徙之旅。这场权力的“圈地运动”，主要由以下几个并行的历史引擎所驱动：</w:t>
      </w:r>
    </w:p>
    <w:p w14:paraId="21244F7E">
      <w:pPr>
        <w:pStyle w:val="6"/>
        <w:bidi w:val="0"/>
        <w:rPr>
          <w:rFonts w:hint="eastAsia" w:ascii="宋体" w:hAnsi="宋体" w:eastAsia="宋体" w:cs="宋体"/>
          <w:sz w:val="24"/>
        </w:rPr>
      </w:pPr>
      <w:r>
        <w:rPr>
          <w:rFonts w:hint="eastAsia" w:ascii="宋体" w:hAnsi="宋体" w:eastAsia="宋体" w:cs="宋体"/>
        </w:rPr>
        <w:t>引擎一：利维坦的凝视——现代国家对评估权的攫取</w:t>
      </w:r>
    </w:p>
    <w:p w14:paraId="1F3430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代国家的崛起，是评估权集中化最首要、也最强大的动力。正如马克斯·韦伯所指出的，现代国家的核心特征在于其在特定疆域内对“合法暴力”的垄断。但为了维持和行使这种垄断，国家必须建立起一套同样具有垄断性的、庞大的官僚管理体系。而这套体系的有效运作，其前提就是对疆域内的人口、土地、资源进行系统性的、标准化的信息采集与评估。</w:t>
      </w:r>
    </w:p>
    <w:p w14:paraId="027024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57EE3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社会学家詹姆斯·斯科特（James C. Scott）在其著作《国家的视角》中，将这一过程称为国家追求“可读性”的努力。为了有效统治，国家必须将复杂、多样、地方性的社会现实，转化为简化的、统一的、可在中央进行阅读和处理的“地图”。而绘制这幅地图的过程，本身就是一场对地方性、分散性评估权的剥夺与取代。</w:t>
      </w:r>
    </w:p>
    <w:p w14:paraId="71E507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EEDC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在法律领域</w:t>
      </w:r>
      <w:r>
        <w:rPr>
          <w:rFonts w:hint="eastAsia" w:ascii="宋体" w:hAnsi="宋体" w:eastAsia="宋体" w:cs="宋体"/>
          <w:sz w:val="24"/>
          <w:lang w:eastAsia="zh-CN"/>
        </w:rPr>
        <w:t>，</w:t>
      </w:r>
      <w:r>
        <w:rPr>
          <w:rFonts w:hint="eastAsia" w:ascii="宋体" w:hAnsi="宋体" w:eastAsia="宋体" w:cs="宋体"/>
          <w:sz w:val="24"/>
        </w:rPr>
        <w:t>国家通过制定统一的法典和建立中央集权的司法体系，垄断了对“合法”与“非法”、“有罪”与“无罪”的最终评估权。过去由村社长老、宗教法庭或地方贵族所行使的司法裁决权，被统一收归国有。法律条文以其普适性、抽象性和强制性，取代了地方性的、情境化的习惯法。</w:t>
      </w:r>
    </w:p>
    <w:p w14:paraId="17AB7A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2825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在税收领域</w:t>
      </w:r>
      <w:r>
        <w:rPr>
          <w:rFonts w:hint="eastAsia" w:ascii="宋体" w:hAnsi="宋体" w:eastAsia="宋体" w:cs="宋体"/>
          <w:sz w:val="24"/>
          <w:lang w:eastAsia="zh-CN"/>
        </w:rPr>
        <w:t>，</w:t>
      </w:r>
      <w:r>
        <w:rPr>
          <w:rFonts w:hint="eastAsia" w:ascii="宋体" w:hAnsi="宋体" w:eastAsia="宋体" w:cs="宋体"/>
          <w:sz w:val="24"/>
        </w:rPr>
        <w:t>国家为了建立稳定的财政基础，必须对全国的土地和财产进行统一的清查、分类与估值。这催生了大规模的土地调查和户籍登记制度。过去那种基于地方声望和人际关系的、充满协商与弹性的税收方式，被一种基于客观“数据”的、非人格化的征税系统所取代。国家税务官取代了地方社群，成为财富价值的权威评估者。</w:t>
      </w:r>
    </w:p>
    <w:p w14:paraId="570446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EB036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在军事领域</w:t>
      </w:r>
      <w:r>
        <w:rPr>
          <w:rFonts w:hint="eastAsia" w:ascii="宋体" w:hAnsi="宋体" w:eastAsia="宋体" w:cs="宋体"/>
          <w:sz w:val="24"/>
          <w:lang w:eastAsia="zh-CN"/>
        </w:rPr>
        <w:t>，</w:t>
      </w:r>
      <w:r>
        <w:rPr>
          <w:rFonts w:hint="eastAsia" w:ascii="宋体" w:hAnsi="宋体" w:eastAsia="宋体" w:cs="宋体"/>
          <w:sz w:val="24"/>
        </w:rPr>
        <w:t>普遍兵役制的推行，要求国家对适龄男性公民的身体状况、健康水平进行标准化的检查与评估。一套关于“合格士兵”的生理指标被建立起来，个体的身体首次被置于国家机器的直接审视与测量之下。</w:t>
      </w:r>
    </w:p>
    <w:p w14:paraId="6B2759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53DFA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教育领域，国民教育体系的建立和标准化考试（如作为其古老先驱的中国科举）的推行，使得国家垄断了对“知识”和“人才”的评估权。什么知识是“有价值的”，什么样的人是“合格的公民”或“有能力的官员”，其定义权从家庭、教会或地方精英手中，转移到了中央教育部门。</w:t>
      </w:r>
    </w:p>
    <w:p w14:paraId="795FC8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F0124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这些进程，现代国家成功地将自身塑造为社会生活中诸多核心领域的“最高评估法院”。它通过官僚体系这一理性的、非人格化的机器，将评估权从无数分散的地方性实践中抽取出来，集中于国家权力的顶端。</w:t>
      </w:r>
    </w:p>
    <w:p w14:paraId="2906FEAE">
      <w:pPr>
        <w:pStyle w:val="6"/>
        <w:bidi w:val="0"/>
        <w:rPr>
          <w:rFonts w:hint="eastAsia" w:ascii="宋体" w:hAnsi="宋体" w:eastAsia="宋体" w:cs="宋体"/>
          <w:sz w:val="24"/>
        </w:rPr>
      </w:pPr>
      <w:r>
        <w:rPr>
          <w:rFonts w:hint="eastAsia" w:ascii="宋体" w:hAnsi="宋体" w:eastAsia="宋体" w:cs="宋体"/>
        </w:rPr>
        <w:t>引擎二：无形之手的账簿——市场经济对评估权的重构</w:t>
      </w:r>
    </w:p>
    <w:p w14:paraId="3D6088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与国家权力的集中化并行不悖的，是市场经济的扩张。正如卡尔·波兰尼（Karl Polanyi）在其经典著作《大转型》中所论述的，资本主义的兴起，标志着经济活动从其所嵌入的社会关系中“脱嵌”出来的过程。在一个“自我调节的市场”中，人（劳动力）、自然（土地）和货币都被商品化了。这一过程，同样深刻地重构了评估权的分布格局。</w:t>
      </w:r>
    </w:p>
    <w:p w14:paraId="1A2C25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3148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货币的标准化</w:t>
      </w:r>
      <w:r>
        <w:rPr>
          <w:rFonts w:hint="eastAsia" w:ascii="宋体" w:hAnsi="宋体" w:eastAsia="宋体" w:cs="宋体"/>
          <w:sz w:val="24"/>
          <w:lang w:eastAsia="zh-CN"/>
        </w:rPr>
        <w:t>：</w:t>
      </w:r>
      <w:r>
        <w:rPr>
          <w:rFonts w:hint="eastAsia" w:ascii="宋体" w:hAnsi="宋体" w:eastAsia="宋体" w:cs="宋体"/>
          <w:sz w:val="24"/>
        </w:rPr>
        <w:t>市场经济要求一种统一的、普适的价值尺度。国家通过垄断货币发行权，将“价值”的最终评估权锚定在国家信用之上。纷繁复杂的地方性货币和物物交换，被统一的法定货币所取代。一切商品和服务的价值，最终都必须被翻译成这个统一的、量化的价格语言。价格，成为了市场社会中最核心、最普适的评估信号。</w:t>
      </w:r>
    </w:p>
    <w:p w14:paraId="1D87FCE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09B1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劳动力市场的形成</w:t>
      </w:r>
      <w:r>
        <w:rPr>
          <w:rFonts w:hint="eastAsia" w:ascii="宋体" w:hAnsi="宋体" w:eastAsia="宋体" w:cs="宋体"/>
          <w:sz w:val="24"/>
          <w:lang w:eastAsia="zh-CN"/>
        </w:rPr>
        <w:t>：</w:t>
      </w:r>
      <w:r>
        <w:rPr>
          <w:rFonts w:hint="eastAsia" w:ascii="宋体" w:hAnsi="宋体" w:eastAsia="宋体" w:cs="宋体"/>
          <w:sz w:val="24"/>
        </w:rPr>
        <w:t>当劳动力成为商品，对劳动者技能和价值的评估，便从过去那种基于行会内部长期师徒关系的、整体性的评价，转变为一种基于市场供求关系的、非人格化的价格评估——即“工资”。资本家作为生产资料的所有者和劳动力的购买者，获得了在企业内部对劳动过程进行评估的巨大权力。泰勒制所代表的“科学管理”，正是这种评估权在工厂内部的极致体现：它将工人的动作分解为标准化的单元，并用秒表来评估其效率，彻底剥夺了工人对自身劳动节奏和方式的自主评估权。</w:t>
      </w:r>
    </w:p>
    <w:p w14:paraId="05428E2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2E8F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企业的兴起与法人制度</w:t>
      </w:r>
      <w:r>
        <w:rPr>
          <w:rFonts w:hint="eastAsia" w:ascii="宋体" w:hAnsi="宋体" w:eastAsia="宋体" w:cs="宋体"/>
          <w:sz w:val="24"/>
          <w:lang w:eastAsia="zh-CN"/>
        </w:rPr>
        <w:t>：</w:t>
      </w:r>
      <w:r>
        <w:rPr>
          <w:rFonts w:hint="eastAsia" w:ascii="宋体" w:hAnsi="宋体" w:eastAsia="宋体" w:cs="宋体"/>
          <w:sz w:val="24"/>
        </w:rPr>
        <w:t>现代有限责任公司的出现，创造了一种新的、强大的评估主体。企业作为一个“法人”，拥有独立的评估能力。它评估市场需求，评估技术可行性，评估投资回报率，更重要的是，它建立起内部的层级管理体系，对员工进行系统的绩效评估。评估权在企业内部被高度集中于管理者手中。</w:t>
      </w:r>
    </w:p>
    <w:p w14:paraId="19DE6F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3C148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市场经济的逻辑，推动着评估活动朝着更加量化、更加功利、也更加集中的方向发展。在一个匿名的、广阔的市场中，基于长期关系和声誉的分散式评估变得不再有效。人们需要更快速、更标准化的信号来做出交易决策。于是，各种新的、专业的“评估中介”应运而生。</w:t>
      </w:r>
    </w:p>
    <w:p w14:paraId="3B1E78BF">
      <w:pPr>
        <w:pStyle w:val="6"/>
        <w:bidi w:val="0"/>
        <w:rPr>
          <w:rFonts w:hint="eastAsia" w:ascii="宋体" w:hAnsi="宋体" w:eastAsia="宋体" w:cs="宋体"/>
          <w:sz w:val="24"/>
        </w:rPr>
      </w:pPr>
      <w:r>
        <w:rPr>
          <w:rFonts w:hint="eastAsia" w:ascii="宋体" w:hAnsi="宋体" w:eastAsia="宋体" w:cs="宋体"/>
        </w:rPr>
        <w:t>引擎三：专家的印章——专业化对评估权的分割与垄断</w:t>
      </w:r>
    </w:p>
    <w:p w14:paraId="5614DC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随着社会分工的日益复杂化和科学知识的爆炸性增长，第三个集中化引擎——专业化——开始发挥关键作用。特定的知识领域（如医学、法律、工程、会计）发展出高度复杂的理论体系和技术语言，普通人不再有能力对其进行有效评估。于是，评估权被让渡给了由“专家”组成的各种专业团体。</w:t>
      </w:r>
    </w:p>
    <w:p w14:paraId="4B7B8D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5BCF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专业协会的守门人角色</w:t>
      </w:r>
      <w:r>
        <w:rPr>
          <w:rFonts w:hint="eastAsia" w:ascii="宋体" w:hAnsi="宋体" w:eastAsia="宋体" w:cs="宋体"/>
          <w:sz w:val="24"/>
          <w:lang w:eastAsia="zh-CN"/>
        </w:rPr>
        <w:t>：</w:t>
      </w:r>
      <w:r>
        <w:rPr>
          <w:rFonts w:hint="eastAsia" w:ascii="宋体" w:hAnsi="宋体" w:eastAsia="宋体" w:cs="宋体"/>
          <w:sz w:val="24"/>
        </w:rPr>
        <w:t>各种专业协会（如医师协会、律师协会）通过设立严格的准入门槛（如教育背景、资格考试、执业许可），垄断了对“谁是合格专家”的评估权。他们成为了知识的“守门人”，将外行排除在外。</w:t>
      </w:r>
    </w:p>
    <w:p w14:paraId="3A4ED2E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57A9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专业判断的权威性</w:t>
      </w:r>
      <w:r>
        <w:rPr>
          <w:rFonts w:hint="eastAsia" w:ascii="宋体" w:hAnsi="宋体" w:eastAsia="宋体" w:cs="宋体"/>
          <w:sz w:val="24"/>
          <w:lang w:eastAsia="zh-CN"/>
        </w:rPr>
        <w:t>：</w:t>
      </w:r>
      <w:r>
        <w:rPr>
          <w:rFonts w:hint="eastAsia" w:ascii="宋体" w:hAnsi="宋体" w:eastAsia="宋体" w:cs="宋体"/>
          <w:sz w:val="24"/>
        </w:rPr>
        <w:t>在其专业领域内，专家的评估被赋予了极高的、甚至是不容置疑的权威性。医生对你健康状况的评估，会计师对企业财务报表的评估，工程师对桥梁安全性的评估，都具有决定性的力量。普通人只能选择“相信”或“不相信”，但几乎没有能力对其评估过程和标准本身提出挑战。</w:t>
      </w:r>
    </w:p>
    <w:p w14:paraId="35DCEF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20E3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认知壁垒的建立</w:t>
      </w:r>
      <w:r>
        <w:rPr>
          <w:rFonts w:hint="eastAsia" w:ascii="宋体" w:hAnsi="宋体" w:eastAsia="宋体" w:cs="宋体"/>
          <w:sz w:val="24"/>
          <w:lang w:eastAsia="zh-CN"/>
        </w:rPr>
        <w:t>：</w:t>
      </w:r>
      <w:r>
        <w:rPr>
          <w:rFonts w:hint="eastAsia" w:ascii="宋体" w:hAnsi="宋体" w:eastAsia="宋体" w:cs="宋体"/>
          <w:sz w:val="24"/>
        </w:rPr>
        <w:t>专业化通过创造一套普通人难以理解的“行话”和复杂模型，建立起坚固的认知壁垒。这进一步巩固了其评估权的垄断地位。例如，现代金融业中复杂的衍生品定价模型，使得只有极少数顶尖的“金融工程师”才能对其风险进行评估，最终导致了2008年的金融危机。</w:t>
      </w:r>
    </w:p>
    <w:p w14:paraId="622441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09C2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国家、市场和专业化，这三大历史力量共同作用，如三条巨大的河流，将原本散布于社会肌理之中的、无数条评估的小溪与潜流，汇集到了少数几个巨大的“水库”之中。评估权不再是社群的共有财产，而被集中到了国家官僚、企业管理者和专业精英这三大主体手中。</w:t>
      </w:r>
    </w:p>
    <w:p w14:paraId="0E85C9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858784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场从分散到集中的权力迁徙，是评估异化的决定性开端。它创造了一个根本性的结构性断裂：评估者与被评估者之间，不再是过去那种面对面的、嵌入在共同生活中的对称关系，而变成了一种远距离的、非人格化的、高度不对称的支配关系</w:t>
      </w:r>
      <w:r>
        <w:rPr>
          <w:rFonts w:hint="eastAsia" w:ascii="宋体" w:hAnsi="宋体" w:eastAsia="宋体" w:cs="宋体"/>
          <w:sz w:val="24"/>
          <w:lang w:eastAsia="zh-CN"/>
        </w:rPr>
        <w:t>。</w:t>
      </w:r>
      <w:r>
        <w:rPr>
          <w:rFonts w:hint="eastAsia" w:ascii="宋体" w:hAnsi="宋体" w:eastAsia="宋体" w:cs="宋体"/>
          <w:sz w:val="24"/>
        </w:rPr>
        <w:t>评估不再是为了促进相互理解和社群整合，而首先是为了服务于大型组织的管理效率与控制需求。</w:t>
      </w:r>
    </w:p>
    <w:p w14:paraId="601C97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E858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正是这一结构性断裂，为下一步的异化——评估的“标准化”——铺平了道路。因为，当一个中心的评估机构需要去管理成千上万，甚至数以百万计的、它并不“认识”的个体时，那种情境化的、定性的、对话式的评估方式，就变得过于昂贵和“低效”。一种更经济、更快速、看似也更“公平”的评估技术，即标准化，便应运而生，并将在下一节中，作为异化进程的完成步骤，被详细地加以论述。</w:t>
      </w:r>
    </w:p>
    <w:p w14:paraId="17D65E0C">
      <w:pPr>
        <w:pStyle w:val="5"/>
        <w:bidi w:val="0"/>
        <w:rPr>
          <w:rFonts w:hint="eastAsia" w:ascii="宋体" w:hAnsi="宋体" w:eastAsia="宋体" w:cs="宋体"/>
          <w:sz w:val="24"/>
        </w:rPr>
      </w:pPr>
      <w:r>
        <w:rPr>
          <w:rFonts w:hint="eastAsia" w:ascii="宋体" w:hAnsi="宋体" w:eastAsia="宋体" w:cs="宋体"/>
        </w:rPr>
        <w:t>“二次评估”的困境：劣势主体的能动性丧失</w:t>
      </w:r>
    </w:p>
    <w:p w14:paraId="37349F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在评估权被垄断、评估标准被统一化的权力差序结构中，处于下层的“劣势主体”面临着一种深刻的存在性困境。我们在第一章中曾指出，他们的行动空间被压缩在“二级评估”（Secondary Evaluation）的层面。本节将深入剖析这一困境，揭示劣势主体在这种结构中所经历的能动性的系统性丧失。这种能动性的丧失，并非指他们完全沦为被动的木偶，而是指他们自主定义目标、选择路径、并赋予自身行动以意义的能力，遭到了根本性的侵蚀。</w:t>
      </w:r>
    </w:p>
    <w:p w14:paraId="675FFA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E795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这一困境，具体通过以下几个相互关联的机制展现出来：</w:t>
      </w:r>
    </w:p>
    <w:p w14:paraId="24AB888E">
      <w:pPr>
        <w:pStyle w:val="6"/>
        <w:bidi w:val="0"/>
        <w:rPr>
          <w:rFonts w:hint="eastAsia" w:ascii="宋体" w:hAnsi="宋体" w:eastAsia="宋体" w:cs="宋体"/>
          <w:sz w:val="24"/>
        </w:rPr>
      </w:pPr>
      <w:r>
        <w:rPr>
          <w:rFonts w:hint="eastAsia" w:ascii="宋体" w:hAnsi="宋体" w:eastAsia="宋体" w:cs="宋体"/>
          <w:sz w:val="24"/>
        </w:rPr>
        <w:t>目标置换：从“内在追求”到“迎合指标”</w:t>
      </w:r>
    </w:p>
    <w:p w14:paraId="7E15A5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能动性的首要体现，在于行动者能够自主设定其行动的目标。一个真正的匠人，其目标是创造出“好”的作品；一个真正的学者，其目标是探求“真理”；一个真正的医生，其目标是治愈“病人”。这些目标具有内在的、实质性的价值。然而，在异化的评估体系中，一场普遍的“目标置换”发生了。</w:t>
      </w:r>
    </w:p>
    <w:p w14:paraId="4AA2B5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FC129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劣势主体被迫将他们的精力从追求内在的、实质性的目标，转向迎合外在的、形式化的评估指标。那个追求“好作品”的匠人，如果身处一个以“生产效率”为核心KPI的工厂，他将不得不放弃对细节的打磨，转而追求最快的生产速度。那个探求“真理”的学者，在“唯论文”的学术评价体系中，可能会放弃需要长期积累的基础研究，转而追逐容易发表论文的“学术热点”。那个心系“病人”的医生，在以“创收”为导向的医院绩效考核下，可能会开出不必要的检查和昂贵的药品。</w:t>
      </w:r>
    </w:p>
    <w:p w14:paraId="6C4613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21FEE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社会学家罗伯特·默顿（Robert K. Merton）在其对官僚制的功能障碍分析中，早已指出了这种“目标置换”的危险：组织成员会逐渐将遵守规章制度（手段）本身，当作了组织存在的最终目的，而忘记了这些规章制度本应服务的实质性目标。在全面的评估社会中，这种功能障碍被极大地放大了。“为评估而活”成为了劣势主体的生存法则</w:t>
      </w:r>
      <w:r>
        <w:rPr>
          <w:rFonts w:hint="eastAsia" w:ascii="宋体" w:hAnsi="宋体" w:eastAsia="宋体" w:cs="宋体"/>
          <w:sz w:val="24"/>
          <w:lang w:eastAsia="zh-CN"/>
        </w:rPr>
        <w:t>。</w:t>
      </w:r>
      <w:r>
        <w:rPr>
          <w:rFonts w:hint="eastAsia" w:ascii="宋体" w:hAnsi="宋体" w:eastAsia="宋体" w:cs="宋体"/>
          <w:sz w:val="24"/>
        </w:rPr>
        <w:t>他们的行动不再由内在的价值罗盘所引导，而是由外部的评估指标所牵引。这种状态，是对人类作为“目的性存在”的深刻否定。</w:t>
      </w:r>
    </w:p>
    <w:p w14:paraId="32D0FC00">
      <w:pPr>
        <w:pStyle w:val="6"/>
        <w:bidi w:val="0"/>
        <w:rPr>
          <w:rFonts w:hint="eastAsia" w:ascii="宋体" w:hAnsi="宋体" w:eastAsia="宋体" w:cs="宋体"/>
          <w:sz w:val="24"/>
        </w:rPr>
      </w:pPr>
      <w:r>
        <w:rPr>
          <w:rFonts w:hint="eastAsia" w:ascii="宋体" w:hAnsi="宋体" w:eastAsia="宋体" w:cs="宋体"/>
        </w:rPr>
        <w:t>策略主义的盛行：从“本真行动”到“印象管理”</w:t>
      </w:r>
    </w:p>
    <w:p w14:paraId="35E599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行动的目标被置换为迎合指标时，行动的过程本身也随之变质。本真的、创造性的、旨在解决实际问题的行动，让位于一种“策略主义”的行动逻辑。劣势主体的核心任务，不再是“把事情做好”，而是“让事情在评估者看来是好的”。这导致了社会学家欧文·戈夫曼（Erving Goffman）所描述的“印象管理”（impression management）的盛行。</w:t>
      </w:r>
    </w:p>
    <w:p w14:paraId="11FF962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342B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生活变成了一场持续不断的“表演”。员工不仅要完成工作，更要确保自己的“努力”能够被上级“看见”——加班到深夜、在工作群里积极发言、制作精美的PPT，这些“表演性”的劳动，其重要性有时甚至超过了工作本身。学生在课堂上发言，可能不是出于对知识的真正好奇，而是为了给老师留下“积极参与”的印象以获得更高的平时分。企业发布社会责任报告，可能并非源于真正的伦理关怀，而是为了在ESG（环境、社会与治理）评级中获得一个好分数。</w:t>
      </w:r>
    </w:p>
    <w:p w14:paraId="2864C7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D39D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策略主义的行为模式，导致了巨大的社会资源浪费和普遍的组织内耗。更严重的是，它侵蚀了社会的信任基础。当每个人都在进行印象管理时，我们便很难再相信我们所看到的是事物的“真相”。我们开始怀疑同事的加班是否真实，怀疑企业的环保承诺是否只是“洗绿”，怀疑网络上呈现的“美好生活”是否只是精心策划的表演。在一个充满策略主义的社会中，人们被迫戴上假面，本真的自我表达与人际交往变得异常困难。</w:t>
      </w:r>
    </w:p>
    <w:p w14:paraId="4A62C88C">
      <w:pPr>
        <w:pStyle w:val="6"/>
        <w:bidi w:val="0"/>
        <w:rPr>
          <w:rFonts w:hint="eastAsia" w:ascii="宋体" w:hAnsi="宋体" w:eastAsia="宋体" w:cs="宋体"/>
          <w:sz w:val="24"/>
        </w:rPr>
      </w:pPr>
      <w:r>
        <w:rPr>
          <w:rFonts w:hint="eastAsia" w:ascii="宋体" w:hAnsi="宋体" w:eastAsia="宋体" w:cs="宋体"/>
        </w:rPr>
        <w:t>自我认知的外化：从“内部评价”到“外部依赖”</w:t>
      </w:r>
    </w:p>
    <w:p w14:paraId="6FE7E82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能动性的一个更深层次的维度，在于个体拥有一个稳定、自洽的自我认知，能够自主地评价自身的价值。然而，在无处不在的评估体系中，劣势主体的自我评价体系逐渐被瓦解，取而代之的是一种对外部评估的深度依赖。</w:t>
      </w:r>
    </w:p>
    <w:p w14:paraId="63AADB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6B1BA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他们的自我价值感，不再源于内心的尺度（如良知、德性、自我实现），而是越来越多地与外部系统给出的分数、排名和“点赞”数绑定在一起。一个学生的自信心，可能随着考试成绩的波动而剧烈起伏；一个社交媒体用户的喜怒哀乐，可能被粉丝数的增减和评论区的风向所左右；一个零工经济的劳动者，其一天的情绪，可能就取决于收到了几个“五星好评”。</w:t>
      </w:r>
    </w:p>
    <w:p w14:paraId="14A916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B402CE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自我认知的外化，使得劣势主体陷入一种极度不稳定的、焦虑的存在状态。他们仿佛生活在一面由无数他者目光构成的“镜子迷宫”之中，不断地从这些镜子的反射中寻找自己的形象，却始终无法形成一个稳定独立的自我内核。查尔斯·霍顿·库利（Charles Horton Cooley）提出的“镜中我”（looking-glass self）概念——我们的自我感受源于我们想象中他人对我们的看法——在评估社会中被推向了极致。只不过，这里的“他人”，越来越多地被抽象的、自动化的评估系统所取代。我们渴望从算法这面冰冷的镜子中，获得对自身价值的肯定。</w:t>
      </w:r>
    </w:p>
    <w:p w14:paraId="69B927E3">
      <w:pPr>
        <w:pStyle w:val="6"/>
        <w:bidi w:val="0"/>
        <w:rPr>
          <w:rFonts w:hint="eastAsia" w:ascii="宋体" w:hAnsi="宋体" w:eastAsia="宋体" w:cs="宋体"/>
          <w:sz w:val="24"/>
        </w:rPr>
      </w:pPr>
      <w:r>
        <w:rPr>
          <w:rFonts w:hint="eastAsia" w:ascii="宋体" w:hAnsi="宋体" w:eastAsia="宋体" w:cs="宋体"/>
        </w:rPr>
        <w:t>风险的个体化：从“结构性问题”到“个人能力不足”</w:t>
      </w:r>
    </w:p>
    <w:p w14:paraId="2A74D0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最后，异化的评估体系通过一种巧妙的意识形态运作，完成了对劣势主体能动性的最后一击。它系统性地将社会和组织中存在的结构性风险与不平等，转译为个体层面的“能力”或“努力”问题。</w:t>
      </w:r>
    </w:p>
    <w:p w14:paraId="41629F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A9E9F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一个外卖骑手因为恶劣天气和不合理的派单算法而超时送达，并收到一个差评时，评估系统不会去反思其自身规则的缺陷，而是将问题归结为“骑手服务质量不佳”。当一个求职者因为其毕业院校不符合某个招聘算法的隐藏权重而被筛掉时，他（或她）得到的反馈往往是模糊的“您不符合我们的要求”，从而很可能将其归因于“个人能力不足”。当一个社区因为贫困和历史原因而犯罪率较高，并被预测性警务系统标记为“高风险”区域时，评估的逻辑强化了对该社区居民的污名化，而非去探究导致贫困与犯罪的深层社会根源。</w:t>
      </w:r>
    </w:p>
    <w:p w14:paraId="0DE6CB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90C4B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这种方式，评估体系起到了“去政治化”的意识形态功能。它将本应通过公共讨论和集体行动来解决的结构性问题（如劳动保障、教育公平、社会正义），转化为要求个体通过自我优化、自我提升来解决的个人问题。劣势主体不仅在物质上承受着系统的压力，更在精神上被引导去进行“自我归咎”。他们被鼓励去参加更多的技能培训，去学习如何更好地管理时间，去培养“积极心态”——总而言之，去更好地适应这个评估体系，而不是去质疑和挑战它。这种风险的个体化，最终消解了劣势主体形成集体认同、进行结构性抗争的可能性，从而完成了对他们能动性的彻底剥夺。</w:t>
      </w:r>
    </w:p>
    <w:p w14:paraId="4C4037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BF99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综上所述，“二次评估”的困境，是一个从行动目标、行动过程、自我认知到归因模式的、全方位的能动性丧失过程。劣势主体被锁定在一个由他人设定的游戏中，他们越是努力地按照游戏规则去玩，就越是深地强化了这套规则对自身的支配。这正是评估异化最残酷的逻辑：它不仅制造了枷锁，更让戴着枷锁的人们相信，奔跑得更快是获得自由的唯一方式。</w:t>
      </w:r>
    </w:p>
    <w:p w14:paraId="67B2110C">
      <w:pPr>
        <w:pStyle w:val="5"/>
        <w:bidi w:val="0"/>
        <w:rPr>
          <w:rFonts w:hint="eastAsia" w:ascii="宋体" w:hAnsi="宋体" w:eastAsia="宋体" w:cs="宋体"/>
          <w:sz w:val="24"/>
        </w:rPr>
      </w:pPr>
      <w:r>
        <w:rPr>
          <w:rFonts w:hint="eastAsia" w:ascii="宋体" w:hAnsi="宋体" w:eastAsia="宋体" w:cs="宋体"/>
        </w:rPr>
        <w:t>评估异化的三个维度：主体消解、认知垄断与价值扭曲</w:t>
      </w:r>
    </w:p>
    <w:p w14:paraId="6C80CDB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我们已经从谱系学的角度，追溯了评估活动从其本源到异化的完整轨迹，并深入分析了劣势主体在这一过程中的困境。现在，我们可以对“评估异化”这一核心概念的内涵，进行一次更为系统和理论化的总结。我们认为，评估异化的后果，可以被归纳为三个相互交织、层层递进的核心维度：主体消解（Subject Dissolution）、认知垄断（Cognitive Monopoly）与价值扭曲（Value Distortion）。这三个维度，共同构成了评估异化的理论内核，并将在后续章节中，作为我们分析数字技术下具体社会现象的锐利透镜。</w:t>
      </w:r>
    </w:p>
    <w:p w14:paraId="7E1079C9">
      <w:pPr>
        <w:pStyle w:val="6"/>
        <w:bidi w:val="0"/>
        <w:rPr>
          <w:rFonts w:hint="eastAsia" w:ascii="宋体" w:hAnsi="宋体" w:eastAsia="宋体" w:cs="宋体"/>
          <w:sz w:val="24"/>
        </w:rPr>
      </w:pPr>
      <w:r>
        <w:rPr>
          <w:rFonts w:hint="eastAsia" w:ascii="宋体" w:hAnsi="宋体" w:eastAsia="宋体" w:cs="宋体"/>
        </w:rPr>
        <w:t>维度一：主体消解（Subject Dissolution）</w:t>
      </w:r>
    </w:p>
    <w:p w14:paraId="4E9F697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“主体消解”是评估异化最基础、也最深刻的后果。它指的是，在异化的评估过程中，有血有肉的、完整的、具有内在深度的人（即“主体”），被降维、被客体化为一系列可计算的、可替换的特征与数据点</w:t>
      </w:r>
      <w:r>
        <w:rPr>
          <w:rFonts w:hint="eastAsia" w:ascii="宋体" w:hAnsi="宋体" w:eastAsia="宋体" w:cs="宋体"/>
          <w:sz w:val="24"/>
          <w:lang w:eastAsia="zh-CN"/>
        </w:rPr>
        <w:t>。</w:t>
      </w:r>
      <w:r>
        <w:rPr>
          <w:rFonts w:hint="eastAsia" w:ascii="宋体" w:hAnsi="宋体" w:eastAsia="宋体" w:cs="宋体"/>
          <w:sz w:val="24"/>
        </w:rPr>
        <w:t>评估活动不再是两个主体之间的相遇，而是一个系统对一个对象的处理。</w:t>
      </w:r>
    </w:p>
    <w:p w14:paraId="6A6BFE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5635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这一过程，与哲学家马丁·布伯（Martin Buber）在其著作《我与你》中所做的著名区分高度相关。布伯认为，人有两种基本的态度或关系模式：“我-你”关系和“我-它”关系。在“我-你”关系中，我们将对方视为一个独一无二的、完整的、与我平等的主体来相遇。这种关系是直接的、相互的、充满临在感的。而在“我-它”关系中，我们将对方视为一个可供分析、可供利用、可供归类的客体或“东西”。这种关系是间接的、单向的、功能性的。</w:t>
      </w:r>
    </w:p>
    <w:p w14:paraId="216829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4FDE0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评估的异化，正是一个“我-你”关系大规模地、系统性地向“我-它”关系坍塌的过程。</w:t>
      </w:r>
    </w:p>
    <w:p w14:paraId="0B1518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9970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在评估者一方</w:t>
      </w:r>
      <w:r>
        <w:rPr>
          <w:rFonts w:hint="eastAsia" w:ascii="宋体" w:hAnsi="宋体" w:eastAsia="宋体" w:cs="宋体"/>
          <w:sz w:val="24"/>
          <w:lang w:eastAsia="zh-CN"/>
        </w:rPr>
        <w:t>，</w:t>
      </w:r>
      <w:r>
        <w:rPr>
          <w:rFonts w:hint="eastAsia" w:ascii="宋体" w:hAnsi="宋体" w:eastAsia="宋体" w:cs="宋体"/>
          <w:sz w:val="24"/>
        </w:rPr>
        <w:t>主体性表现为责任的消解。当一个银行信贷员依据一个复杂的信用评分模型拒绝贷款申请时，他可以心安理得地将责任推给“系统”或“数据”。他不再需要作为一个完整的人，去面对另一个人的具体困境，并为其决定承担伦理责任。在更极端的情况下，评估者甚至不再是人，而是算法。算法作为一个纯粹的“它”，无法被质问，也无需承担责任。</w:t>
      </w:r>
    </w:p>
    <w:p w14:paraId="2566AF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DA24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在被评估者一方</w:t>
      </w:r>
      <w:r>
        <w:rPr>
          <w:rFonts w:hint="eastAsia" w:ascii="宋体" w:hAnsi="宋体" w:eastAsia="宋体" w:cs="宋体"/>
          <w:sz w:val="24"/>
          <w:lang w:eastAsia="zh-CN"/>
        </w:rPr>
        <w:t>，</w:t>
      </w:r>
      <w:r>
        <w:rPr>
          <w:rFonts w:hint="eastAsia" w:ascii="宋体" w:hAnsi="宋体" w:eastAsia="宋体" w:cs="宋体"/>
          <w:sz w:val="24"/>
        </w:rPr>
        <w:t>主体性表现为完整性的丧失。一个人丰富的生命经验、复杂的内在世界、独特的潜能与梦想，在评估体系面前都显得无足轻重。重要的是那些可以被量化的“硬指标”：你的绩点、你的信用分、你的工作履历、你的社交网络数据。你不再是一个“人”，而是你的“档案”。这个档案比你本人更“真实”，因为它更容易被系统所读取和处理。你被简化为你的数据化身，你的主体深度被彻底“压平”。</w:t>
      </w:r>
    </w:p>
    <w:p w14:paraId="085F92B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47ED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主体消解，造成了深刻的伦理后果。它使得同理心和人际关怀变得多余，甚至成为“效率”的障碍。它为一种冷酷的、计算性的社会治理与人际关系模式铺平了道路。在一个主体被消解的世界里，我们彼此相遇时，看到的不再是对方的“面容”（如哲学家列维纳斯所言，他人的面容是对我发出无限伦理责任的召唤），而是一串标签和分数。</w:t>
      </w:r>
    </w:p>
    <w:p w14:paraId="08B462EC">
      <w:pPr>
        <w:pStyle w:val="6"/>
        <w:bidi w:val="0"/>
        <w:rPr>
          <w:rFonts w:hint="eastAsia" w:ascii="宋体" w:hAnsi="宋体" w:eastAsia="宋体" w:cs="宋体"/>
          <w:sz w:val="24"/>
        </w:rPr>
      </w:pPr>
      <w:r>
        <w:rPr>
          <w:rFonts w:hint="eastAsia" w:ascii="宋体" w:hAnsi="宋体" w:eastAsia="宋体" w:cs="宋体"/>
        </w:rPr>
        <w:t>维度二：认知垄断（Cognitive Monopoly）</w:t>
      </w:r>
    </w:p>
    <w:p w14:paraId="330849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rPr>
      </w:pPr>
      <w:r>
        <w:rPr>
          <w:rFonts w:hint="eastAsia" w:ascii="宋体" w:hAnsi="宋体" w:eastAsia="宋体" w:cs="宋体"/>
          <w:sz w:val="24"/>
        </w:rPr>
        <w:t>如果说“主体消解”描述了评估关系中“人”的消失，那么“认知垄断”则描述了评估内容中“意义”的固化。它指的是，优势主体通过其所构建的评估体系，垄断了对“价值”、“能力”、“成功”等核心社会概念的定义权与解释权，从而系统性地排除了其他的认知可能性。</w:t>
      </w:r>
    </w:p>
    <w:p w14:paraId="43EBCE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27138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这一维度，与意大利思想家安东尼奥·葛兰西（Antonio Gramsci）的“文化霸权”理论息息相关。葛兰西指出，统治阶级的统治，不仅依赖于国家的强制机器，更依赖于一种更为精巧的“文化霸权”——即通过教育、媒体、宗教等机构，将其自身的价值观和世界观塑造为整个社会的“常识”，让被统治阶级心甘情愿地接受现存的秩序。</w:t>
      </w:r>
    </w:p>
    <w:p w14:paraId="6488B37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07E4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异化的评估体系，正是当代社会中构建“文化霸权”最强大的工具之一。</w:t>
      </w:r>
    </w:p>
    <w:p w14:paraId="6213AC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D802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它定义了“什么是重要的”</w:t>
      </w:r>
      <w:r>
        <w:rPr>
          <w:rFonts w:hint="eastAsia" w:ascii="宋体" w:hAnsi="宋体" w:eastAsia="宋体" w:cs="宋体"/>
          <w:sz w:val="24"/>
          <w:lang w:eastAsia="zh-CN"/>
        </w:rPr>
        <w:t>。</w:t>
      </w:r>
      <w:r>
        <w:rPr>
          <w:rFonts w:hint="eastAsia" w:ascii="宋体" w:hAnsi="宋体" w:eastAsia="宋体" w:cs="宋体"/>
          <w:sz w:val="24"/>
        </w:rPr>
        <w:t>正如我们在前文所分析的，一个以GDP为核心评估指标的社会，会系统性地引导其成员相信经济增长是唯一重要的事。一个以标准化考试分数为核心评估工具的教育体系，会系统性地让学生、家长和老师相信，分数就是衡量学生价值的唯一尺度。那些未被纳入评估框架的价值（如社区的和谐、学生的品德、艺术的创造力），则在认知上被边缘化，甚至被视为“无用的”。</w:t>
      </w:r>
    </w:p>
    <w:p w14:paraId="040ED3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687F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它塑造了“什么是真实的”</w:t>
      </w:r>
      <w:r>
        <w:rPr>
          <w:rFonts w:hint="eastAsia" w:ascii="宋体" w:hAnsi="宋体" w:eastAsia="宋体" w:cs="宋体"/>
          <w:sz w:val="24"/>
          <w:lang w:eastAsia="zh-CN"/>
        </w:rPr>
        <w:t>。</w:t>
      </w:r>
      <w:r>
        <w:rPr>
          <w:rFonts w:hint="eastAsia" w:ascii="宋体" w:hAnsi="宋体" w:eastAsia="宋体" w:cs="宋体"/>
          <w:sz w:val="24"/>
        </w:rPr>
        <w:t>评估体系通过其不断的运作，创造出一种“评估的现实”。例如，信用评分最初只是对个人未来违约概率的一种“预测”，但随着它被越来越广泛地应用于租房、求职、甚至婚恋等领域，这个分数本身就变成了一种具有实体性力量的“社会事实”。一个人的“可信度”，不再由其在具体社群中的长期表现来证明，而被等同于这个抽象的数字。评估不仅在描述现实，更在重新定义和创造现实。</w:t>
      </w:r>
    </w:p>
    <w:p w14:paraId="02F0D6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6F483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它限制了“什么是可想象的”</w:t>
      </w:r>
      <w:r>
        <w:rPr>
          <w:rFonts w:hint="eastAsia" w:ascii="宋体" w:hAnsi="宋体" w:eastAsia="宋体" w:cs="宋体"/>
          <w:sz w:val="24"/>
          <w:lang w:eastAsia="zh-CN"/>
        </w:rPr>
        <w:t>。</w:t>
      </w:r>
      <w:r>
        <w:rPr>
          <w:rFonts w:hint="eastAsia" w:ascii="宋体" w:hAnsi="宋体" w:eastAsia="宋体" w:cs="宋体"/>
          <w:sz w:val="24"/>
        </w:rPr>
        <w:t>当一套评估逻辑变得无所不在时，它就会限制我们想象“另类可能性”的能力。我们可能会去思考如何改进现有的KPI体系，但很少会去质疑“我们是否需要KPI”；我们可能会争论哪种大学排名更“科学”，但很少会去反思“大学是否应该被排名”。认知垄断的最终效果，是让我们将一个被特定权力关系所建构的“现实”，误认为是一种不可避免的、自然而然的“宿命”。</w:t>
      </w:r>
    </w:p>
    <w:p w14:paraId="7466BE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368BE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认知垄断的后果，是社会认知多样性的丧失和批判性思维能力的萎缩。它制造出一个单向度的、由优势主体的价值观所主导的意义世界，使得真正的社会创新与变革变得异常困难。</w:t>
      </w:r>
    </w:p>
    <w:p w14:paraId="22D7867E">
      <w:pPr>
        <w:pStyle w:val="6"/>
        <w:bidi w:val="0"/>
        <w:rPr>
          <w:rFonts w:hint="eastAsia" w:ascii="宋体" w:hAnsi="宋体" w:eastAsia="宋体" w:cs="宋体"/>
          <w:sz w:val="24"/>
        </w:rPr>
      </w:pPr>
      <w:r>
        <w:rPr>
          <w:rFonts w:hint="eastAsia" w:ascii="宋体" w:hAnsi="宋体" w:eastAsia="宋体" w:cs="宋体"/>
        </w:rPr>
        <w:t>维度三：价值扭曲（Value Distortion）</w:t>
      </w:r>
    </w:p>
    <w:p w14:paraId="48B10D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“价值扭曲”是评估异化在实践层面最直接、最可见的后果。它指的是，当评估工具（指标、分数）与其本应服务的评估目标（实质性价值）相脱节时，评估活动本身会反过来侵蚀和败坏其所要衡量的价值</w:t>
      </w:r>
      <w:r>
        <w:rPr>
          <w:rFonts w:hint="eastAsia" w:ascii="宋体" w:hAnsi="宋体" w:eastAsia="宋体" w:cs="宋体"/>
          <w:sz w:val="24"/>
          <w:lang w:eastAsia="zh-CN"/>
        </w:rPr>
        <w:t>。</w:t>
      </w:r>
      <w:r>
        <w:rPr>
          <w:rFonts w:hint="eastAsia" w:ascii="宋体" w:hAnsi="宋体" w:eastAsia="宋体" w:cs="宋体"/>
          <w:sz w:val="24"/>
        </w:rPr>
        <w:t>这一现象，在社会科学中被称为“古德哈特定律”（Goodhart's Law）或“坎贝尔定律”（Campbell's Law）：“任何一个被用作评估的量化社会指标，都更容易受到操控，并扭曲和败坏它本想监督的社会过程。”</w:t>
      </w:r>
    </w:p>
    <w:p w14:paraId="719D67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0A96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价值扭曲的逻辑链条如下：</w:t>
      </w:r>
    </w:p>
    <w:p w14:paraId="75F8E882">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为了管理复杂的社会活动，我们选取或创造了一些简化的量化指标。例如，用“论文发表数量”来衡量学者的“学术贡献”。</w:t>
      </w:r>
    </w:p>
    <w:p w14:paraId="7D2B1B0A">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我们将这些指标与强力的奖惩机制挂钩。</w:t>
      </w:r>
    </w:p>
    <w:p w14:paraId="24CFFCE6">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行动者为了获得奖励、避免惩罚，会将他们的精力聚焦于最大化这些指标本身，而非指标所代表的实质性价值。</w:t>
      </w:r>
    </w:p>
    <w:p w14:paraId="5CB75644">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最终，对指标的追求，损害了实质性价值的实现。</w:t>
      </w:r>
    </w:p>
    <w:p w14:paraId="3C8684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B654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这种价值扭曲的例子在现代社会中俯拾即是：</w:t>
      </w:r>
    </w:p>
    <w:p w14:paraId="2DD771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在教育领域</w:t>
      </w:r>
      <w:r>
        <w:rPr>
          <w:rFonts w:hint="eastAsia" w:ascii="宋体" w:hAnsi="宋体" w:eastAsia="宋体" w:cs="宋体"/>
          <w:sz w:val="24"/>
          <w:lang w:eastAsia="zh-CN"/>
        </w:rPr>
        <w:t>，</w:t>
      </w:r>
      <w:r>
        <w:rPr>
          <w:rFonts w:hint="eastAsia" w:ascii="宋体" w:hAnsi="宋体" w:eastAsia="宋体" w:cs="宋体"/>
          <w:sz w:val="24"/>
        </w:rPr>
        <w:t>标准化考试本意是评估学生的学习成果，但“应试教育”的出现，使得学生们为了追求高分而进行大量机械性、重复性的训练，反而损害了他们真正的批判性思维能力和创造力。</w:t>
      </w:r>
    </w:p>
    <w:p w14:paraId="46EE4B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在科研领域</w:t>
      </w:r>
      <w:r>
        <w:rPr>
          <w:rFonts w:hint="eastAsia" w:ascii="宋体" w:hAnsi="宋体" w:eastAsia="宋体" w:cs="宋体"/>
          <w:sz w:val="24"/>
          <w:lang w:eastAsia="zh-CN"/>
        </w:rPr>
        <w:t>，</w:t>
      </w:r>
      <w:r>
        <w:rPr>
          <w:rFonts w:hint="eastAsia" w:ascii="宋体" w:hAnsi="宋体" w:eastAsia="宋体" w:cs="宋体"/>
          <w:sz w:val="24"/>
        </w:rPr>
        <w:t>“影响因子”本意是评估期刊的学术影响力，但对影响因子的过度追逐，导致了“灌水”论文、学术不端、以及对冷门但重要领域的研究的忽视。</w:t>
      </w:r>
    </w:p>
    <w:p w14:paraId="05E6B72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在商业领域</w:t>
      </w:r>
      <w:r>
        <w:rPr>
          <w:rFonts w:hint="eastAsia" w:ascii="宋体" w:hAnsi="宋体" w:eastAsia="宋体" w:cs="宋体"/>
          <w:sz w:val="24"/>
          <w:lang w:eastAsia="zh-CN"/>
        </w:rPr>
        <w:t>，</w:t>
      </w:r>
      <w:r>
        <w:rPr>
          <w:rFonts w:hint="eastAsia" w:ascii="宋体" w:hAnsi="宋体" w:eastAsia="宋体" w:cs="宋体"/>
          <w:sz w:val="24"/>
        </w:rPr>
        <w:t>“客户满意度”评分本意是提升服务质量，但为了追求好评，商家可能会骚扰客户，甚至对给出差评的客户进行威胁，反而破坏了真正的客户关系。</w:t>
      </w:r>
    </w:p>
    <w:p w14:paraId="55BE9C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在内容创作领域</w:t>
      </w:r>
      <w:r>
        <w:rPr>
          <w:rFonts w:hint="eastAsia" w:ascii="宋体" w:hAnsi="宋体" w:eastAsia="宋体" w:cs="宋体"/>
          <w:sz w:val="24"/>
          <w:lang w:eastAsia="zh-CN"/>
        </w:rPr>
        <w:t>，</w:t>
      </w:r>
      <w:r>
        <w:rPr>
          <w:rFonts w:hint="eastAsia" w:ascii="宋体" w:hAnsi="宋体" w:eastAsia="宋体" w:cs="宋体"/>
          <w:sz w:val="24"/>
        </w:rPr>
        <w:t>“点击量”本意是衡量内容的受欢迎程度，但对流量的病态追求，催生了标题党、谣言、低俗内容和信息茧房，严重污染了公共话语空间。</w:t>
      </w:r>
    </w:p>
    <w:p w14:paraId="4BA76F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CF6FF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扭曲的根本原因，在于工具理性对价值理性的全面胜利。我们沉迷于评估技术所带来的“可控感”与“确定性”，却忘记了我们最初想要评估的那些复杂的、多维度的、往往是难以量化的价值本身。最终，我们收获了漂亮的报表、不断攀升的指标和看似高效的系统，却可能以牺牲社会的创新活力、伦理底线和人的全面发展为代价。</w:t>
      </w:r>
    </w:p>
    <w:p w14:paraId="375EAE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D032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综上所述，主体消解、认知垄断和价值扭曲，这三个维度共同描绘了一幅评估异化的完整图景。它是一个从人到物、从多元到一元、从实质到形式的系统性堕落过程。它不仅关乎效率与公平的技术问题，更关乎我们作为一个社会，想要珍视何种价值、培养何种德性、以及最终成为何种存在的人性问题。</w:t>
      </w:r>
    </w:p>
    <w:p w14:paraId="154AB1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35DA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完成了对评估异化的理论奠基之后，本书的下一部分将进入经验场域的分析。我们将看到，数字技术，这一我们时代最强大的力量，是如何以前所未有的深度和广度，将这三个维度的异化逻辑，注入到社会治理、市场经济和公共领域的肌体之中，从而将“评估的枷锁”锻造得更加坚固、也更加隐蔽。</w:t>
      </w:r>
    </w:p>
    <w:p w14:paraId="028EB65C">
      <w:pPr>
        <w:rPr>
          <w:rFonts w:hint="eastAsia" w:ascii="宋体" w:hAnsi="宋体" w:eastAsia="宋体" w:cs="宋体"/>
        </w:rPr>
      </w:pPr>
      <w:r>
        <w:rPr>
          <w:rFonts w:hint="eastAsia" w:ascii="宋体" w:hAnsi="宋体" w:eastAsia="宋体" w:cs="宋体"/>
        </w:rPr>
        <w:br w:type="page"/>
      </w:r>
    </w:p>
    <w:p w14:paraId="37959170">
      <w:pPr>
        <w:pStyle w:val="3"/>
        <w:bidi w:val="0"/>
        <w:rPr>
          <w:rFonts w:hint="eastAsia" w:ascii="宋体" w:hAnsi="宋体" w:eastAsia="宋体" w:cs="宋体"/>
          <w:sz w:val="36"/>
          <w:szCs w:val="36"/>
        </w:rPr>
      </w:pPr>
      <w:bookmarkStart w:id="13" w:name="_Toc1044818142"/>
      <w:r>
        <w:rPr>
          <w:rFonts w:hint="eastAsia" w:ascii="宋体" w:hAnsi="宋体" w:eastAsia="宋体" w:cs="宋体"/>
          <w:sz w:val="36"/>
          <w:szCs w:val="36"/>
        </w:rPr>
        <w:t>第二部分：经验场域——数字技术下的评估异化</w:t>
      </w:r>
      <w:bookmarkEnd w:id="13"/>
    </w:p>
    <w:p w14:paraId="1AFDDE04">
      <w:pPr>
        <w:pStyle w:val="4"/>
        <w:bidi w:val="0"/>
        <w:rPr>
          <w:rFonts w:hint="eastAsia" w:ascii="宋体" w:hAnsi="宋体" w:eastAsia="宋体" w:cs="宋体"/>
        </w:rPr>
      </w:pPr>
      <w:bookmarkStart w:id="14" w:name="_Toc284731075"/>
      <w:r>
        <w:rPr>
          <w:rFonts w:hint="eastAsia" w:ascii="宋体" w:hAnsi="宋体" w:eastAsia="宋体" w:cs="宋体"/>
        </w:rPr>
        <w:t>第三章：算法的全景敞视：信用评分与社会治理</w:t>
      </w:r>
      <w:bookmarkEnd w:id="14"/>
    </w:p>
    <w:p w14:paraId="58215F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“我们曾经担心老大哥在看着我们。但如果老大哥不再是一个人，而是一个算法呢？如果它不仅在看，还在计算、预测和预置我们的未来呢？”</w:t>
      </w:r>
    </w:p>
    <w:p w14:paraId="4FD62D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143A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完成了对“评估权力”与“评估异化”的理论奠基之后，我们现在将理论的探针伸向当代社会的具体肌理。本书的第二部分，旨在通过对三个关键经验场域——社会治理、市场经济与公共领域——的深入剖析，来具体地、经验性地展示，数字技术是如何作为一种强大的催化剂与放大器，将我们在前两章所描述的异化逻辑，以前所未有的深度、广度和效率，注入到社会生活的方方面面。</w:t>
      </w:r>
    </w:p>
    <w:p w14:paraId="35059B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D23A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首先进入国家与社会治理的领域。这是一个评估权力最古老、也最赤裸裸的舞台。从古代帝国的户籍与税收到现代国家的普查与档案，国家始终是社会中最大、最权威的评估主体。然而，数字技术的浪潮，正在深刻地改变国家治理的面貌，催生出一种全新的治理范式。这种范式，我们称之为“算法治理”。</w:t>
      </w:r>
    </w:p>
    <w:p w14:paraId="70BBF5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A7A0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治理”的核心，不再是福柯所描述的、基于物理空间（如监狱、学校）的规训，而是基于数据空间的、无处不在的监视与评估。其理想模型，不再是边沁的全景敞视监狱，而是一种更为精巧、更为高效的“算法的全景敞视”（Algorithmic Panopticism）。在这种新型的全景敞视中，“瞭望塔”变得无形，它化身为遍布数字世界与物理世界的传感器、摄像头和数据库；“监视的目光”不再仅仅是人的目光，更是算法不知疲倦的扫描与分析；其目标，也不再仅仅是矫正已然发生的越轨行为，而是要通过对海量数据的计算，来预测、评估并提前干预“可能发生”的风险。</w:t>
      </w:r>
    </w:p>
    <w:p w14:paraId="68C345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1D3E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将以“信用评分”及其在社会治理领域的延伸——“社会信用体系”——为核心案例，系统地剖析这一“算法的全景敞视”是如何运作的。我们将追溯其从传统档案管理到现代算法决策的演变，揭示其背后“可读性”政治的深化；我们将深入解剖社会信用体系的内在逻辑，分析其对社会结构与公民权利的深远影响；我们将探讨预测性警务等风险评估技术，如何将本书第一章提出的“可能性”概念，扭曲为一种冰冷的“前定性”；最后，我们将总结这一切如何催生出一种新的主体形态——“数据身体”，并论证个体是如何在这一过程中，被“收敛”为一个可计算的风险档案。</w:t>
      </w:r>
    </w:p>
    <w:p w14:paraId="50A584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27BA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本章的分析，我们旨在揭示一个核心论断：在算法治理的时代，评估权力不仅在延续其历史上的集中化与标准化进程，更通过数字技术，获得了一种前瞻性的、自动化和个体化的新能力，从而将“评估异化”的三个维度——主体消解、认知垄断与价值扭曲——推向了一个崭新的、也更令人忧虑的阶段。</w:t>
      </w:r>
    </w:p>
    <w:p w14:paraId="2983BD56">
      <w:pPr>
        <w:pStyle w:val="5"/>
        <w:bidi w:val="0"/>
        <w:rPr>
          <w:rFonts w:hint="eastAsia" w:ascii="宋体" w:hAnsi="宋体" w:eastAsia="宋体" w:cs="宋体"/>
          <w:sz w:val="24"/>
          <w:lang w:val="en-US" w:eastAsia="zh-CN"/>
        </w:rPr>
      </w:pPr>
      <w:r>
        <w:rPr>
          <w:rFonts w:hint="eastAsia" w:ascii="宋体" w:hAnsi="宋体" w:eastAsia="宋体" w:cs="宋体"/>
          <w:lang w:val="en-US" w:eastAsia="zh-CN"/>
        </w:rPr>
        <w:t>从档案到算法：数字化的“可读性”政治</w:t>
      </w:r>
    </w:p>
    <w:p w14:paraId="6F73D6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要理解今日算法治理的根源，我们必须回溯其“前史”，即现代国家为追求“可读性”而建立起来的庞大档案系统。正如我们在第二章所提及的，詹姆斯·斯科特（James C. Scott）雄辩地指出，现代国家治理的首要任务，就是将复杂、流动、地方性的社会现实，转化为一套简化的、静态的、可在中央进行统一管理的“地图”。而档案正是绘制这幅地图最核心的工具。</w:t>
      </w:r>
    </w:p>
    <w:p w14:paraId="0C6390E2">
      <w:pPr>
        <w:pStyle w:val="6"/>
        <w:bidi w:val="0"/>
        <w:rPr>
          <w:rFonts w:hint="eastAsia" w:ascii="宋体" w:hAnsi="宋体" w:eastAsia="宋体" w:cs="宋体"/>
          <w:sz w:val="24"/>
          <w:lang w:val="en-US" w:eastAsia="zh-CN"/>
        </w:rPr>
      </w:pPr>
      <w:r>
        <w:rPr>
          <w:rFonts w:hint="eastAsia"/>
          <w:lang w:val="en-US" w:eastAsia="zh-CN"/>
        </w:rPr>
        <w:t>档案的政治：作为评估权力基础设施的纸面世界</w:t>
      </w:r>
    </w:p>
    <w:p w14:paraId="0047FD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19世纪开始，现代官僚国家以前所未有的热情，投入到一场声势浩大的“档案革命”之中。出生证明、死亡证明、结婚证书、户籍登记、纳税记录、犯罪档案、兵役记录、学籍档案……无数的纸张、表格和卡片，构成了一个与物理世界平行的、庞大的“纸面世界”。这个纸面世界，正是前数字时代评估权力的基础设施。</w:t>
      </w:r>
    </w:p>
    <w:p w14:paraId="6E894C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C71A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档案的运作，体现了评估异化早期的核心逻辑：</w:t>
      </w:r>
    </w:p>
    <w:p w14:paraId="20EBF8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66C1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标准化与简化：为了将一个个独一无二的个体纳入档案，必须创造出一套标准化的分类与信息栏目。你的姓名、性别、出生日期、籍贯、民族……这些标准化的数据点，共同构成了一个可被官僚系统识别的“档案身份”。你丰富的个人历史、复杂的社会关系和内在世界，在这个过程中被极大地简化和过滤掉了。</w:t>
      </w:r>
    </w:p>
    <w:p w14:paraId="3A50A1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6EF5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的集中化：档案的创建、保管和解释权，被牢牢地垄断在国家官僚机构手中。个体很难接触到自己的完整档案，更难以修改其中的记录。档案中的一个污点（如犯罪记录），可能会像一个无法摆脱的幽灵，伴随个体终身。</w:t>
      </w:r>
    </w:p>
    <w:p w14:paraId="7EFFC2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8E8D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主体消解的开端：在官僚系统的眼中，档案中的你，比现实中的你更“真实”。你的申辩，往往不如档案上的一行文字有说服力。档案将流动的生命“凝固”为静态的记录，这是“主体消解”进程的早期形态。</w:t>
      </w:r>
    </w:p>
    <w:p w14:paraId="5039F5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1B63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纸质档案系统也存在其固有的局限性。档案是静态的，更新缓慢；档案是分散的，存储在不同的部门（警察局、税务局、学校），形成了一个个“信息孤岛”，难以进行交叉比对和综合分析；档案的检索和处理需要大量的人力，效率低下。这些局限性，在很大程度上限制了传统国家评估权力的广度、深度和速度。</w:t>
      </w:r>
    </w:p>
    <w:p w14:paraId="7A1C21BD">
      <w:pPr>
        <w:pStyle w:val="6"/>
        <w:bidi w:val="0"/>
        <w:rPr>
          <w:rFonts w:hint="eastAsia" w:ascii="宋体" w:hAnsi="宋体" w:eastAsia="宋体" w:cs="宋体"/>
          <w:sz w:val="24"/>
          <w:lang w:val="en-US" w:eastAsia="zh-CN"/>
        </w:rPr>
      </w:pPr>
      <w:r>
        <w:rPr>
          <w:rFonts w:hint="eastAsia"/>
          <w:lang w:val="en-US" w:eastAsia="zh-CN"/>
        </w:rPr>
        <w:t>算法的降临：从“静态记录”到“动态画像”</w:t>
      </w:r>
    </w:p>
    <w:p w14:paraId="3830E6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计算机与数据库技术的出现，特别是21世纪以来大数据和机器学习算法的爆发式发展，为国家追求“可读性”的古老梦想，插上了一双前所未有的翅膀。算法，继承并极大地超越了档案的功能，将评估权力推向了一个全新的纪元。</w:t>
      </w:r>
    </w:p>
    <w:p w14:paraId="33C9E5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64C7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档案的目标是创造一个静态的“纸面世界”，那么算法的目标，则是创造一个动态的、实时的、可预测的“数字镜像世界”。这场从档案到算法的转变，并非简单的技术升级，而是一场深刻的“可读性”政治的范式转移。其核心特征体现在以下几个方面：</w:t>
      </w:r>
    </w:p>
    <w:p w14:paraId="1DA2C7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17BA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来源的全景化：档案的数据来源主要是国家与个体的正式互动（如登记、报税）。而算法的数据来源，则扩展到了社会生活的方方面面。你的网络搜索记录、社交媒体言论、在线购物偏好、手机信令所揭示的地理轨迹、公共场所的监控录像……所有这些过去被认为是私人的、零散的“数据废气”，如今都被源源不断地吸入算法的“肺中”。数据采集从“主动申报”转向了“被动追踪”，实现了对社会生活7x24小时的全景式监控。</w:t>
      </w:r>
    </w:p>
    <w:p w14:paraId="22FE10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8DC1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逻辑的关联性与预测性：档案的评估逻辑是直接的、回溯性的。它基于你过去明确的行为（如是否犯罪）来做出判断。而算法的评估逻辑则是关联性的、预测性的。它不再满足于记录“你做了什么”，而是要通过分析海量数据中的相关性，来预测“你可能会做什么”。它寻找的是统计学上的“模式”与“信号”。例如，一个信用评分模型可能会发现，“经常在深夜点外卖”与“未来违约风险较高”之间存在微弱但统计上显著的相关性。这种基于相关性而非因果性的评估逻辑，使得算法的判断标准变得极为不透明和反直觉。</w:t>
      </w:r>
    </w:p>
    <w:p w14:paraId="25E1C9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112E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过程的自动化与实时性：档案的更新和评估是周期性的、由人工完成的。而算法评估则是自动化的、实时动态的。你的“数字画像”随着你的每一次数字足迹而不断被刷新。这使得一种持续不断的、即时反馈式的社会控制成为可能。</w:t>
      </w:r>
    </w:p>
    <w:p w14:paraId="4F6564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A080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结果的个体化与差异化：档案系统通常只能对人群进行粗略的分类。而算法则可以为每一个体生成一个高度个性化的评估结果。从精准推送的广告，到“千人千面”的风险定价（如车险），再到为每个公民打出的独一无二的社会信用分，算法治理实现了对个体的“点对点”精准管控。</w:t>
      </w:r>
    </w:p>
    <w:p w14:paraId="58C1AC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F415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从档案到算法的转变，意味着国家（以及掌握类似技术的商业巨头）的评估权力，在斯科特所说的“可读性”维度上，实现了一次量子跃迁。它不仅能“读”到过去和现在，更能声称自己能“读”到未来；它不仅能“读”懂群体的宏观特征，更能“读”透每个个体的微观行为模式。</w:t>
      </w:r>
    </w:p>
    <w:p w14:paraId="12BA80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07BD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种“可读性”的极大提升，是以社会现实的更深度扭曲和公民权利的更系统性侵蚀为代价的。算法这面“魔镜”，不仅在反映世界，更在以一种强大的、不容置疑的方式，重塑着它所反映的世界。它将评估异化的逻辑——主体消解、认知垄断、价值扭曲——以代码的形式，深度嵌入到社会治理的基础设施之中。而要具体地理解这一过程，没有比分析当代中国正在建设的“社会信用体系”更具启发性、也更具争议性的案例了。</w:t>
      </w:r>
    </w:p>
    <w:p w14:paraId="3BFF7CA6">
      <w:pPr>
        <w:pStyle w:val="5"/>
        <w:bidi w:val="0"/>
        <w:rPr>
          <w:rFonts w:hint="eastAsia" w:ascii="宋体" w:hAnsi="宋体" w:eastAsia="宋体" w:cs="宋体"/>
          <w:lang w:val="en-US" w:eastAsia="zh-CN"/>
        </w:rPr>
      </w:pPr>
      <w:r>
        <w:rPr>
          <w:rFonts w:hint="eastAsia" w:ascii="宋体" w:hAnsi="宋体" w:eastAsia="宋体" w:cs="宋体"/>
          <w:lang w:val="en-US" w:eastAsia="zh-CN"/>
        </w:rPr>
        <w:t>案例研究：社会信用体系的运作逻辑与社会后果</w:t>
      </w:r>
    </w:p>
    <w:p w14:paraId="524ECE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中国的社会信用体系（Social Credit System, SCS），自其2014年由国务院发布《社会信用体系建设规划纲要》以来，便持续吸引着全球媒体、学者和公众的密切关注。在西方主流话语中，它常常被描绘成一个反乌托邦式的、由国家主导的、对14亿公民进行全面监控和评分的“数字利维坦”。尽管这一描绘在细节上往往过于简化和夸张，但它确实敏锐地捕捉到了社会信用体系作为一种新型“算法治理”模式的核心特征。</w:t>
      </w:r>
    </w:p>
    <w:p w14:paraId="7942DA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A67C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节的目的，并非要对社会信用体系进行一个全面的、细节性的描述（这已经超出了本书的范围），而是要将其作为一个“理想类型”的案例，来剖析“算法的全景敞视”在国家治理层面的具体运作逻辑，以及它如何系统性地导致了评估异化的深化。</w:t>
      </w:r>
    </w:p>
    <w:p w14:paraId="0FF80891">
      <w:pPr>
        <w:pStyle w:val="6"/>
        <w:bidi w:val="0"/>
        <w:rPr>
          <w:rFonts w:hint="eastAsia" w:ascii="宋体" w:hAnsi="宋体" w:eastAsia="宋体" w:cs="宋体"/>
          <w:sz w:val="24"/>
          <w:lang w:val="en-US" w:eastAsia="zh-CN"/>
        </w:rPr>
      </w:pPr>
      <w:r>
        <w:rPr>
          <w:rFonts w:hint="eastAsia"/>
          <w:lang w:val="en-US" w:eastAsia="zh-CN"/>
        </w:rPr>
        <w:t>社会信用体系的“双轨”结构与数据整合</w:t>
      </w:r>
    </w:p>
    <w:p w14:paraId="040DB6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首先，我们需要理解，社会信用体系并非一个由中央政府统一运行的、给每个公民打出单一分数的“超级系统”。在其实际运作中，它呈现出一种复杂的“双轨”结构：</w:t>
      </w:r>
    </w:p>
    <w:p w14:paraId="24EF42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624D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政府轨道：这是由国家各级政府部门主导建立的体系。其核心是“国家企业信用信息公示系统”和由中国人民银行主导的金融信用信息基础数据库（即个人征信报告）。近年来，各地政府也在积极建设地方性的信用信息平台，整合来自工商、税务、司法、环保、社保等不同政府部门的数据。这一轨道的核心逻辑，是基于公民和企业在与国家互动中的“合规”与“违法”记录，特别是司法判决（如是否被列为“失信被执行人”，即俗称的“老赖”）。</w:t>
      </w:r>
    </w:p>
    <w:p w14:paraId="2EE420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05B3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商业轨道：这是由大型科技公司和金融机构开发的商业化信用评分产品。其中最著名的，莫过于阿里巴巴旗下蚂蚁集团的“芝麻信用分”。这类商业信用分的数据来源，除了传统的金融数据外，更广泛地囊括了用户的消费行为、社交关系、履约历史、甚至生活习惯等“另类数据”。</w:t>
      </w:r>
    </w:p>
    <w:p w14:paraId="20FF77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9316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尽管这两条轨道目前在很大程度上是并行运作的，但《规划纲要》明确指出了未来的发展方向，即“建立信息共享机制”，“推动公共信用信息与商业信用信息的融合”。这种融合的趋势，正是社会信用体系最具深远影响之处。它意味着，源自全景式商业监控的、关于个人生活方方面面的数据，将可能与代表国家强制力的、来自政府的“黑名单”系统相结合。一个统一的、跨领域的、覆盖社会生活全方位的“数字档案”或“数据身体”，正在这个过程中被逐步构建起来。</w:t>
      </w:r>
    </w:p>
    <w:p w14:paraId="18A5A486">
      <w:pPr>
        <w:pStyle w:val="6"/>
        <w:bidi w:val="0"/>
        <w:rPr>
          <w:rFonts w:hint="eastAsia" w:ascii="宋体" w:hAnsi="宋体" w:eastAsia="宋体" w:cs="宋体"/>
          <w:sz w:val="24"/>
          <w:lang w:val="en-US" w:eastAsia="zh-CN"/>
        </w:rPr>
      </w:pPr>
      <w:r>
        <w:rPr>
          <w:rFonts w:hint="eastAsia"/>
          <w:lang w:val="en-US" w:eastAsia="zh-CN"/>
        </w:rPr>
        <w:t>“守信激励”与“失信惩戒”：评估权力的闭环运作</w:t>
      </w:r>
    </w:p>
    <w:p w14:paraId="6E2328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社会信用体系的权力，不仅体现在其强大的数据整合能力，更体现在其将评估结果与一套强有力的奖惩机制相结合，从而实现了对社会行为的有效引导。这套机制，被称为“守信联合激励和失信联合惩戒”。</w:t>
      </w:r>
    </w:p>
    <w:p w14:paraId="276DFE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D5FB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失信惩戒：这是社会信用体系目前最引人注目、也最具强制力的部分。一旦个人或企业被纳入官方的“黑名单”（如“失信被执行人名单”），他们将面临一系列跨部门、跨领域的“联合惩戒”。这些惩戒措施，深刻地收敛了他们的行动可能性。例如，他们可能被限制购买飞机票和高铁软卧票，被限制担任公司高管，其子女可能无法就读高收费的私立学校，甚至在申请政府项目、银行贷款等方面受到严格限制。这种惩戒的逻辑，已经超越了针对特定违法行为的“一事一罚”，而演变为一种基于“信用”这一评估标签的、对其社会资格的全面降级。</w:t>
      </w:r>
    </w:p>
    <w:p w14:paraId="69B275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8C0C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守信激励：与惩戒相对应，高信用分的个人和企业，则可能享受到一系列的“联合激励”。例如，在芝麻信用分的应用场景中，高分用户可以享受到免押金租借充电宝、共享单车，快速办理签证，甚至在一些婚恋网站上获得优先推荐。这些激励措施，看似是市场化的“便利”，但其背后同样是一种深刻的治理逻辑。它通过提供各种“微小的特权”，来激励用户主动地、持续地管理自己的信用行为，从而将治理的目标内化为个体的内在追求。</w:t>
      </w:r>
    </w:p>
    <w:p w14:paraId="590D0E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8064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套奖惩闭环，社会信用体系成功地将一个抽象的“信用”评估，转化为一种具有真实物质后果的社会力量。它构建了一个巨大的“操作性条件反射”实验场，通过正向与负向的强化，来系统性地塑造公民的行为模式。</w:t>
      </w:r>
    </w:p>
    <w:p w14:paraId="67DDA034">
      <w:pPr>
        <w:pStyle w:val="6"/>
        <w:bidi w:val="0"/>
        <w:rPr>
          <w:rFonts w:hint="eastAsia" w:ascii="宋体" w:hAnsi="宋体" w:eastAsia="宋体" w:cs="宋体"/>
          <w:sz w:val="24"/>
          <w:lang w:val="en-US" w:eastAsia="zh-CN"/>
        </w:rPr>
      </w:pPr>
      <w:r>
        <w:rPr>
          <w:rFonts w:hint="eastAsia"/>
          <w:lang w:val="en-US" w:eastAsia="zh-CN"/>
        </w:rPr>
        <w:t>社会信用体系下的评估异化</w:t>
      </w:r>
    </w:p>
    <w:p w14:paraId="4E1A20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现在，让我们运用前文建立的理论框架，来分析社会信用体系是如何将评估异化的三个维度推向极致的。</w:t>
      </w:r>
    </w:p>
    <w:p w14:paraId="3C9E8B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BA739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主体消解的深化</w:t>
      </w:r>
    </w:p>
    <w:p w14:paraId="737C8D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信用体系是“主体消解”的典范。一个个体，无论其生活多么丰富、内心多么复杂，最终都被压缩为一个冷冰冰的三位数分数，或是一个非黑即白的“红/黑名单”标签。在这个体系中，算法的裁决取代了司法的程序正义。例如，一旦被列入“失信被-执行人”名单，个体所面临的联合惩戒是自动触发的、全面的，且申诉和修复过程往往是漫长而困难的。系统只关心“你是否在名单上”，而不再关心“你为何在名单上”的具体情境、原因和苦衷。这种非人格化的、去情境化的处理方式，是对个体尊严和主体性的彻底漠视。更重要的是，商业信用分将这种消解逻辑，从法律领域扩展到了日常生活领域。你的消费习惯、社交网络、甚至手机里安装了什么APP，都可能成为评估你“人格”的依据。你不再是你，你只是你的数据的统计学投影。</w:t>
      </w:r>
    </w:p>
    <w:p w14:paraId="4CC6A4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B20D4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认知垄断的强化</w:t>
      </w:r>
    </w:p>
    <w:p w14:paraId="66E45B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社会信用体系正在构建一种关于“诚信”的、由国家和大型科技公司所主导的“认知垄断”。</w:t>
      </w:r>
    </w:p>
    <w:p w14:paraId="702AF5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它垄断了对“信用”的定义权。在传统社会，信用是一种基于长期人际互动和道德品质的、地方性的、定性的判断。而在社会信用体系中，“信用”被重新定义为一种可计算的、量化的、由算法模型所输出的分数。这种定义，将复杂的伦理概念，简化为一种技术性的治理工具。</w:t>
      </w:r>
    </w:p>
    <w:p w14:paraId="57F8AD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次，它通过不透明的算法，垄断了对信用的解释权。无论是央行的征信模型，还是芝麻信用的评分算法，其内部的指标、权重和运作逻辑，对普通公民而言都是一个不折不扣的“黑箱”。你只知道你的分数，但你无法确切地知道，是你的哪一项行为导致了分数的升降。这种信息上的绝对不对称，剥夺了公民对评估过程进行理解、质疑和辩护的可能，只能被动地接受评估结果。</w:t>
      </w:r>
    </w:p>
    <w:p w14:paraId="16145D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它正在塑造一种“为分数而活”的社会心态。人们开始有意识地管理自己的“信用行为”，以期获得更高的分数。这种行为模式，使得由上而下定义的“诚信”标准，逐渐内化为社会成员的“常识”和行为准则，从而实现了葛兰西意义上的“文化霸权”。</w:t>
      </w:r>
    </w:p>
    <w:p w14:paraId="1EB0F8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5E9A5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价值扭曲的系统化</w:t>
      </w:r>
    </w:p>
    <w:p w14:paraId="750B54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社会信用体系的全面推行，可能会导致系统性的“价值扭曲”。</w:t>
      </w:r>
    </w:p>
    <w:p w14:paraId="4CA3C2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一，它可能惩罚那些具有社会价值但“不符合模型”的行为。例如，一个热心公益但收入不稳定的自由职业者，在传统的金融信用模型中，可能会因为其不稳定的现金流而被评为“高风险”。一个敢于批评权威、挑战不公的“刺头”，可能会因为其“不稳定”的社会行为而被系统标记。</w:t>
      </w:r>
    </w:p>
    <w:p w14:paraId="374E4C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二，它可能激励一种虚伪的、表演性的“守信”。人们可能会为了维持高分，而避免一切可能的“风险”行为，变得谨小慎微、循规蹈矩。企业可能会将资源投入到“信用公关”和“刷分”上，而非真正地提升产品质量和服务。这种“为分数而守信”的行为，恰恰是对“诚信”这一内在德性的最大背叛。</w:t>
      </w:r>
    </w:p>
    <w:p w14:paraId="66A312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三，它可能加剧社会不平等，形成“数字贫民窟”。由于信用评分模型往往是基于历史数据训练的，它们不可避免地会学习并再生产社会中既有的偏见与不平等。来自贫困地区、少数族裔或教育背景较低的群体，可能在初始评分上就处于不利地位。而一旦被贴上“低信用”的标签，他们将更难获得贷款、找到好工作、甚至租到房子，从而陷入一种“信用越低，机会越少；机会越少，信用越难提升”的恶性循环，最终被锁定在社会的底层。</w:t>
      </w:r>
    </w:p>
    <w:p w14:paraId="7E22F7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AF71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社会信用体系作为“算法的全景敞视”在国家治理层面的集中体现，它通过数据整合与奖惩闭环，将评估异化的逻辑系统化、制度化了。它在追求社会“可读性”与“可控性”的同时，也正在以前所未有的方式，消解着人的主体性，垄断着对核心社会价值的定义，并可能系统性地扭曲社会成员的行为与动机。而这种治理逻辑，并不仅仅存在于中国，它的一种变体，即“风险评估”，也正在西方社会，特别是在警务与司法领域，产生着同样深刻、甚至更具争议性的影响。</w:t>
      </w:r>
    </w:p>
    <w:p w14:paraId="49941940">
      <w:pPr>
        <w:pStyle w:val="5"/>
        <w:bidi w:val="0"/>
        <w:rPr>
          <w:rFonts w:hint="eastAsia" w:ascii="宋体" w:hAnsi="宋体" w:eastAsia="宋体" w:cs="宋体"/>
          <w:sz w:val="24"/>
          <w:lang w:val="en-US" w:eastAsia="zh-CN"/>
        </w:rPr>
      </w:pPr>
      <w:r>
        <w:rPr>
          <w:rFonts w:hint="eastAsia" w:ascii="宋体" w:hAnsi="宋体" w:eastAsia="宋体" w:cs="宋体"/>
          <w:lang w:val="en-US" w:eastAsia="zh-CN"/>
        </w:rPr>
        <w:t>预测性警务与风险评估：将“可能性”固化为“前定性”</w:t>
      </w:r>
    </w:p>
    <w:p w14:paraId="31EE1B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社会信用体系代表了一种对公民进行全面、持续、回溯性与前瞻性相结合的评估，那么在西方民主国家，算法治理则往往以一种更为聚焦、更具争议性的形态出现：基于风险的预测与干预。其中，最具代表性的实践，便是“预测性警务”和在司法判决中日益普及的“风险评估工具”。</w:t>
      </w:r>
    </w:p>
    <w:p w14:paraId="0CF3F8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F7B1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技术的支持者声称，它们能够通过对历史数据的科学分析，更客观、更高效地分配警力资源、预测犯罪风险、并为法官的保释和量刑决策提供“循证”依据，从而减少人类偏见，提升公共安全。然而，从我们“评估权力”的批判性视角来看，这些技术恰恰是将评估异化的逻辑，特别是其“预测性”维度，推向了极致。它们所做的，是将本书第一章中那个充满无限潜能的、开放的“可能性基底”，扭曲为一种冰冷的、决定论式的、带有深刻歧视性的“前定性”。</w:t>
      </w:r>
    </w:p>
    <w:p w14:paraId="6646E0CB">
      <w:pPr>
        <w:pStyle w:val="6"/>
        <w:bidi w:val="0"/>
        <w:rPr>
          <w:rFonts w:hint="eastAsia" w:ascii="宋体" w:hAnsi="宋体" w:eastAsia="宋体" w:cs="宋体"/>
          <w:sz w:val="24"/>
          <w:lang w:val="en-US" w:eastAsia="zh-CN"/>
        </w:rPr>
      </w:pPr>
      <w:r>
        <w:rPr>
          <w:rFonts w:hint="eastAsia"/>
          <w:lang w:val="en-US" w:eastAsia="zh-CN"/>
        </w:rPr>
        <w:t>预测性警务：在犯罪发生前“绘制”犯罪地图</w:t>
      </w:r>
    </w:p>
    <w:p w14:paraId="5829AB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预测性警务系统，如美国公司PredPol开发的软件，其核心逻辑是利用历史犯罪数据（犯罪类型、时间、地点），通过算法模型，来预测未来特定时间段内，在哪些具体的、小至500x500英尺的“热点”区域，最有可能发生特定类型的犯罪（如盗窃、抢劫）。警方则依据这份“预测地图”，来动态地、精准地部署巡逻警力。</w:t>
      </w:r>
    </w:p>
    <w:p w14:paraId="35A691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D262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表面上看，这似乎是一种纯粹技术性的、旨在优化资源配置的工具。然而，其背后隐藏着深刻的评估权力运作：</w:t>
      </w:r>
    </w:p>
    <w:p w14:paraId="2FDE0A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6B7E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标准的偏见性输入：预测性警务的“原料”，是历史上的警方报警和逮捕数据。然而，这些数据本身并非对真实犯罪情况的客观反映，而是一种社会建构的产物。它深刻地反映了既有的警务实践模式、社区与警方的关系、以及社会中存在的种族与阶级偏见。例如，贫困的有色人种社区，往往受到警方更密集的巡逻和更严厉的执法，因此会产生更多的报警和逮捕记录。而发生在富裕社区的白领犯罪，则往往更难被发现和记录。</w:t>
      </w:r>
    </w:p>
    <w:p w14:paraId="545B57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6D61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我实现的预言与歧视的循环：当预测性警务系统将一个本就受到过度执法的社区标记为“热点”时，会发生什么？更多的警力会被派往该地。更多的警力，自然会发现和处理更多的违法行为（哪怕是轻微的，如持有少量大麻或乱穿马路）。这又会产生更多的逮捕数据，被重新输入到系统中，进一步“证实”了该社区的“高风险”性。这就是一个典型的“歧视性反馈循环”。算法不仅没有消除人类偏见，反而将历史上的偏见“洗白”为一种客观、科学的预测，并使其在未来不断地自我加强。</w:t>
      </w:r>
    </w:p>
    <w:p w14:paraId="27E856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A5BD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相关性”误读为“因果性”：预测性警务的算法，寻找的是统计学上的相关性，而非社会学上的因果性。它不知道贫困、失业、教育资源匮乏是导致犯罪率上升的深层原因。它只知道，在某个区域，某些数据点与犯罪的发生概率高度相关。因此，它的“解决方案”，不是去解决深层的社会问题，而是向那个区域派遣更多的警察。这是一种典型的“头痛医头，脚痛医脚”的技术化思维，它用简单的空间控制，取代了复杂的社会治理。</w:t>
      </w:r>
    </w:p>
    <w:p w14:paraId="3D642D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7468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种方式，预测性警务将“犯罪的可能性”，固化为了特定社区、特定人群的一种近乎“天然”的属性。它在城市空间中，划出了一条无形的、由数据驱动的“隔离线”，使得某些社区的居民，仅仅因为他们所处的地理位置，就被预先判定为“潜在的犯罪者”或“潜在的受害者”，并受到更强力的监控与规训。</w:t>
      </w:r>
    </w:p>
    <w:p w14:paraId="703C4AFF">
      <w:pPr>
        <w:pStyle w:val="5"/>
        <w:bidi w:val="0"/>
        <w:rPr>
          <w:rFonts w:hint="eastAsia"/>
          <w:lang w:val="en-US" w:eastAsia="zh-CN"/>
        </w:rPr>
      </w:pPr>
      <w:r>
        <w:rPr>
          <w:rFonts w:hint="eastAsia"/>
          <w:lang w:val="en-US" w:eastAsia="zh-CN"/>
        </w:rPr>
        <w:t>司法风险评估：用分数决定你的自由</w:t>
      </w:r>
    </w:p>
    <w:p w14:paraId="063CEB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权力的这种预测性逻辑，甚至已经渗透到了司法审判这一被认为是人类理性最后堡垒的领域。在美国的许多州，法官在做出保释、量刑甚至假释决定时，会参考一种名为“风险评估工具”的算法系统所给出的分数。其中，最著名也最具争议的，是名为COMPAS（Correctional Offender Management Profiling for Alternative Sanctions）的系统。</w:t>
      </w:r>
    </w:p>
    <w:p w14:paraId="1BF9D3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337F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COMPAS系统会要求被告人回答一份包含137个问题的问卷，内容涵盖其犯罪史、家庭背景、教育水平、就业状况、社交圈、甚至个人信念等。然后，算法会根据这些回答，结合其犯罪记录，计算出被告人未来的“再犯风险”，并给出一个从1到10的分数。这个分数，将直接影响法官对其人身自由的裁决。</w:t>
      </w:r>
    </w:p>
    <w:p w14:paraId="426BC9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CC43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这场由ProPublica在2016年发起的、针对COMPAS系统的著名调查，深刻地揭示了这种算法评估的异化本质：</w:t>
      </w:r>
    </w:p>
    <w:p w14:paraId="1B822E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996E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体消解的极致：一个被告人，带着他全部的生命故事、悔意或希望，站在法庭上。但决定他命运的，在很大程度上，不再是法官对其作为一个“人”的整体性判断，而是一个他无从知晓其运作逻辑的算法，根据一份标准化的问卷，给他打出的一个冰冷的分数。他的主体性，在这一刻被彻底消解了。</w:t>
      </w:r>
    </w:p>
    <w:p w14:paraId="113BDF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6F25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垄断的“科学”外衣：COMPAS系统的开发商Northpointe公司，以“商业秘密”为由，拒绝公开其算法的源代码和内部运作机制。法官、律师和被告人，都无法审查其评估的逻辑。他们被要求“相信”这个算法是“科学的”、“客观的”。这种“黑箱”式的运作，是认知垄断最极端的形式。它要求司法系统将一部分核心的判断权，让渡给一个不透明的、私有的技术系统。</w:t>
      </w:r>
    </w:p>
    <w:p w14:paraId="529B55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86E3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扭曲与种族偏见：ProPublica的调查发现，COMPAS系统存在着严重的种族偏见。在控制了其他变量后，该算法将黑人被告错误地标记为“高风险”的概率，是白人被告的两倍。反之，它将白人被告错误地标记为“低风险”的概率，也远高于黑人被告。这再次证明，算法并不能超越人类偏见，它只会系统性地、大规模地复制和放大训练数据中存在的历史性歧视。更深层的价值扭曲在于，这种工具将司法判断的核心——对“公正”的追求——置换为了对“风险管理”的追求。法庭不再仅仅是伸张正义的场所，更变成了一个预测和管理“危险人口”的行政机构。</w:t>
      </w:r>
    </w:p>
    <w:p w14:paraId="5A39C5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F156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论是预测性警务还是司法风险评估，它们都体现了评估权力的一种深刻的时间转向：从对“过去之所为”的惩罚，转向对“未来之可能”的预置。在这种逻辑下，你不再仅仅为你的行为负责，更要为你的“数据画像”所暗示的“可能性”负责。你的社会阶层、你的种族、你的邮政编码、你的朋友圈，这些你可能无法自主选择的因素，都可能成为算法判定你“前途”的依据。</w:t>
      </w:r>
    </w:p>
    <w:p w14:paraId="01E618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275D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正是“可能性”被固化为“前定性”的时刻。在第一章中，我们曾将“可能性基底”描绘为一个开放的、充满潜能的场域。而算法风险评估，则像一台巨大的压路机，试图将这个充满弹性的场域，碾压成一张标明了各种“概率”的、无法更改的宿命地图。而在这张地图上，每一个体最终都被定位为一个独一无二的坐标点，一个承载着特定风险值的“数据身体”。</w:t>
      </w:r>
    </w:p>
    <w:p w14:paraId="2DF8DD2A">
      <w:pPr>
        <w:pStyle w:val="5"/>
        <w:bidi w:val="0"/>
        <w:rPr>
          <w:rFonts w:hint="eastAsia" w:ascii="宋体" w:hAnsi="宋体" w:eastAsia="宋体" w:cs="宋体"/>
          <w:sz w:val="24"/>
          <w:lang w:val="en-US" w:eastAsia="zh-CN"/>
        </w:rPr>
      </w:pPr>
      <w:r>
        <w:rPr>
          <w:rFonts w:hint="eastAsia" w:ascii="宋体" w:hAnsi="宋体" w:eastAsia="宋体" w:cs="宋体"/>
          <w:lang w:val="en-US" w:eastAsia="zh-CN"/>
        </w:rPr>
        <w:t>“数据身体”的诞生：个体如何被“收敛”为可计算的风险档案</w:t>
      </w:r>
    </w:p>
    <w:p w14:paraId="55C68E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贯穿本章所有案例——从传统的纸质档案，到中国的社会信用体系，再到西方的预测性警务与风险评估——的，是一条清晰的主线：一个与我们物理身体平行的“数据身体”或“数字孪生”的诞生与演化。这个“数据身体”，是我们所有可被记录、可被量化的信息与行为的集合体。它最初只是我们现实生活的一个模糊、静态的影子（如档案），但随着数字技术的发展，它正变得越来越清晰、越来越动态、越来越具有自主的“生命力”，甚至在很多时候，比我们的物理身体更具社会性力量。</w:t>
      </w:r>
    </w:p>
    <w:p w14:paraId="15B80C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EA4C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“数据身体”的诞生，是评估权力在数字时代运作的最终产物，也是个体被“收敛”为可计算的风险档案的最终体现。这一过程，可以被看作是评估异化三个维度的集大成者。</w:t>
      </w:r>
    </w:p>
    <w:p w14:paraId="652BF683">
      <w:pPr>
        <w:pStyle w:val="6"/>
        <w:bidi w:val="0"/>
        <w:rPr>
          <w:rFonts w:hint="eastAsia" w:ascii="宋体" w:hAnsi="宋体" w:eastAsia="宋体" w:cs="宋体"/>
          <w:sz w:val="24"/>
          <w:lang w:val="en-US" w:eastAsia="zh-CN"/>
        </w:rPr>
      </w:pPr>
      <w:r>
        <w:rPr>
          <w:rFonts w:hint="eastAsia"/>
          <w:lang w:val="en-US" w:eastAsia="zh-CN"/>
        </w:rPr>
        <w:t>“数据身体”的构成：主体消解的终极形态</w:t>
      </w:r>
    </w:p>
    <w:p w14:paraId="08D50A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我们的“数据身体”，是由无数个数据点所共同缝合而成的。它包括：</w:t>
      </w:r>
    </w:p>
    <w:p w14:paraId="2588B5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身份数据：姓名、身份证号、面部识别ID、指纹等。</w:t>
      </w:r>
    </w:p>
    <w:p w14:paraId="2F7E9A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属性数据：年龄、性别、种族、教育背景、婚姻状况等。</w:t>
      </w:r>
    </w:p>
    <w:p w14:paraId="63A525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行为数据：消费记录、浏览历史、社交互动、地理轨迹、驾驶习惯等。</w:t>
      </w:r>
    </w:p>
    <w:p w14:paraId="1141BF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关系数据：你的家人、朋友、同事，你在社交网络上的关注与被关注。</w:t>
      </w:r>
    </w:p>
    <w:p w14:paraId="5B5886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推断数据：基于以上数据，由算法推断出的你的兴趣偏好、性格特质、政治倾向、健康风险、信用等级，乃至“再犯可能性”。</w:t>
      </w:r>
    </w:p>
    <w:p w14:paraId="4D3237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C9CD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由数据构成的“身体”，正是“主体消解”的终极形态。它是一个被彻底客体化、碎片化和功能化的“我”。在这个身体上，不存在灵魂、意识、情感、尊严这些无法被量化的东西。它存在的唯一目的，就是为了被评估、被分类、被预测、被管理。我们与我们的“数据身体”之间，形成了一种深刻的异化关系：我们持续不断地、往往是不自觉地“喂养”着它，但我们却无法真正地拥有它、控制它，甚至无法完全地认识它。它被存储在遥远的、我们无法访问的服务器中，被我们不了解的算法所分析，并最终被用来做出对我们物理身体产生真实影响的决定。</w:t>
      </w:r>
    </w:p>
    <w:p w14:paraId="2ABEDB69">
      <w:pPr>
        <w:pStyle w:val="6"/>
        <w:bidi w:val="0"/>
        <w:rPr>
          <w:rFonts w:hint="eastAsia" w:ascii="宋体" w:hAnsi="宋体" w:eastAsia="宋体" w:cs="宋体"/>
          <w:sz w:val="24"/>
          <w:lang w:val="en-US" w:eastAsia="zh-CN"/>
        </w:rPr>
      </w:pPr>
      <w:r>
        <w:rPr>
          <w:rFonts w:hint="eastAsia"/>
          <w:lang w:val="en-US" w:eastAsia="zh-CN"/>
        </w:rPr>
        <w:t>“数据身体”的逻辑：认知垄断的算法化身</w:t>
      </w:r>
    </w:p>
    <w:p w14:paraId="46F67A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“数据身体”的运作逻辑，是“认知垄断”的算法化身。它所遵循的，并非人类社会的常识、伦理或法律，而是统计学和机器学习的冰冷法则。</w:t>
      </w:r>
    </w:p>
    <w:p w14:paraId="54581B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65B5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相关性取代因果性：正如前文所述，“数据身体”的逻辑是基于相关性的。它不在乎你为何购买某本书，只在乎购买这本书的人，还倾向于购买哪些其他商品。这种逻辑，使得对“数据身体”的评估，常常显得武断而神秘。</w:t>
      </w:r>
    </w:p>
    <w:p w14:paraId="48C4A3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110C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类与画像：算法通过对“数据身体”进行聚类分析，将我们归入各种各样的“标签”之中：“高消费潜力人群”、“潜在流失客户”、“高风险驾驶员”、“政治激进分子”。这些由机器生成的标签，构成了对我们社会身份的一种新的、强大的定义。我们被动地接受了这些“画像”，却往往无力反驳。</w:t>
      </w:r>
    </w:p>
    <w:p w14:paraId="340ED2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C44D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数的统治：“数据身体”最简洁、也最暴力的表现形式，就是“分数”。从信用分到风险分，再到各种各样的健康分、影响力分，分数成为了衡量“数据身体”价值的通用货币。这种将人的多维度价值压缩为单一数字的做法，是认知垄断最有效的手段，因为它创造了一种看似无可辩驳的、等级森严的“真相”。</w:t>
      </w:r>
    </w:p>
    <w:p w14:paraId="70042D6C">
      <w:pPr>
        <w:pStyle w:val="6"/>
        <w:bidi w:val="0"/>
        <w:rPr>
          <w:rFonts w:hint="eastAsia" w:ascii="宋体" w:hAnsi="宋体" w:eastAsia="宋体" w:cs="宋体"/>
          <w:sz w:val="24"/>
          <w:lang w:val="en-US" w:eastAsia="zh-CN"/>
        </w:rPr>
      </w:pPr>
      <w:r>
        <w:rPr>
          <w:rFonts w:hint="eastAsia"/>
          <w:lang w:val="en-US" w:eastAsia="zh-CN"/>
        </w:rPr>
        <w:t>“数据身体”的命运：价值扭曲的制度化后果</w:t>
      </w:r>
    </w:p>
    <w:p w14:paraId="6B85CD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最终，我们的“数据身体”的“健康状况”，直接决定了我们物理身体在这个社会中的命运。这正是“价值扭曲”的制度化体现。</w:t>
      </w:r>
    </w:p>
    <w:p w14:paraId="62AE39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80A7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差异化对待与歧视：基于我们的“数据身体”，我们被差异化地对待。我们会在网上看到不同的价格，收到不同的广告，获得不同的贷款利率，甚至被警察以不同的眼光审视。这种由算法驱动的歧视，比传统的人类歧视更隐蔽、更“科学”，也更难被挑战。</w:t>
      </w:r>
    </w:p>
    <w:p w14:paraId="1006BB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6378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机会的预先分配：“数据身体”正在成为社会机会分配的核心机制。一个“漂亮”的“数据身体”，会为你打开通往优质教育、高薪工作、便捷金融服务的大门。而一个“丑陋”的“数据身体”，则可能让你在机会的赛场上，被预先判定出局。社会流动性，在某种程度上，变成了“数据身体”的流动性。</w:t>
      </w:r>
    </w:p>
    <w:p w14:paraId="2E8CBE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58F9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物理身体的规训：为了拥有一个更好的“数据身体”，我们开始有意识地规训我们的物理身体和现实生活。我们可能会为了提升芝麻信用分而去多使用支付宝，为了降低车险费率而小心翼翼地驾驶，为了在健康APP上获得一个好分数而努力完成每天一万步的目标。我们的现实生活，变成了旨在优化我们“数据身体”的一场表演。这正是福柯所说的“生命权力”的数字化升级版：一种通过数据化评估，来对个体生命过程进行精细化调节与优化的权力。</w:t>
      </w:r>
    </w:p>
    <w:p w14:paraId="5DD0F5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BDBC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从档案到算法，从社会信用体系到风险评估，我们见证了一个“数据身体”的诞生过程。在这个过程中，个体被系统性地“收敛”为一个可计算的、可预测的、可管理的风险档案。这并非一次简单的技术进步，而是一场深刻的权力变革。它将评估异化的逻辑，以前所未有的效率，刻入了社会治理的底层代码之中。</w:t>
      </w:r>
    </w:p>
    <w:p w14:paraId="440D9A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603E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国家与社会治理，只是“算法的全景敞视”所笼罩的第一个领域。在下一个领域——市场经济——中，这套逻辑将以一种更为市场化、更具诱惑力、也同样充满剥削性的面貌出现。平台资本主义，将如何利用评估权力，来构建一种“强制自愿”的劳动与消费新形态？这便是下一章将要揭示的图景。</w:t>
      </w:r>
    </w:p>
    <w:p w14:paraId="11F2972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00B520E8">
      <w:pPr>
        <w:pStyle w:val="4"/>
        <w:bidi w:val="0"/>
        <w:rPr>
          <w:rFonts w:hint="eastAsia" w:ascii="宋体" w:hAnsi="宋体" w:eastAsia="宋体" w:cs="宋体"/>
          <w:lang w:val="en-US" w:eastAsia="zh-CN"/>
        </w:rPr>
      </w:pPr>
      <w:bookmarkStart w:id="15" w:name="_Toc881612009"/>
      <w:r>
        <w:rPr>
          <w:rFonts w:hint="eastAsia" w:ascii="宋体" w:hAnsi="宋体" w:eastAsia="宋体" w:cs="宋体"/>
          <w:lang w:val="en-US" w:eastAsia="zh-CN"/>
        </w:rPr>
        <w:t>第四章：平台资本主义与“强制自愿”的劳动</w:t>
      </w:r>
      <w:bookmarkEnd w:id="15"/>
    </w:p>
    <w:p w14:paraId="0C6A3B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“他们说，你现在是自己的老板了。但你很快会发现，你只是换了一个老板，一个你永远见不到、无法与之协商、也从不睡觉的老板——算法。”</w:t>
      </w:r>
    </w:p>
    <w:p w14:paraId="7A3638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4F10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第三章所描绘的“算法的全景敞视”，主要呈现为一种自上而下的、以国家强制力为后盾的治理权力，那么在本章中，我们将看到评估权力的另一副面孔：一种更为市场化的、以“自由选择”和“用户赋权”为外衣的、自下而上渗透的经济权力。这股力量的核心载体，便是我们这个时代最引人注目的经济组织形态——平台。</w:t>
      </w:r>
    </w:p>
    <w:p w14:paraId="7F8869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967F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亚马逊、谷歌、Meta、苹果这些全球科技巨头，到优步（Uber）、爱彼迎（Airbnb）、美团、滴滴这些深刻改变了我们衣食住行的“独角兽”，平台已经成为21世纪资本主义的神经中枢与核心基础设施。它们不再仅仅是传统意义上的“公司”，而是一种全新的市场组织者、规则制定者和价值分配者。这一由平台主导的经济形态，被学者们称为“平台资本主义”（Platform Capitalism）。</w:t>
      </w:r>
    </w:p>
    <w:p w14:paraId="1EC85E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0260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平台资本主义的兴起，常被包裹在一种解放性的话语之中：它打破了传统行业的垄断，降低了创业门槛，为无数个体提供了灵活就业的“机会”，并通过“共享经济”的模式促进了资源的优化配置。它似乎承诺了一个更自由、更高效、更个性化的经济未来。然而，本书将从“评估权力”的批判性视角出发，撕开这层乐观主义的话语面纱，揭示其背后一种更为精巧、也更为深刻的控制与剥削逻辑。</w:t>
      </w:r>
    </w:p>
    <w:p w14:paraId="6CC9AA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E330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核心论点是：平台资本主义的秘密，在于其通过构建和垄断一种新型的“评估中介”，将评估异化的逻辑深度嵌入到生产与消费的全过程，从而制造出一种看似“自愿”、实则充满强制性的新型劳动关系与市场结构。我们将这种结构性后果，称为“强制自愿”（Forced Voluntarism）。</w:t>
      </w:r>
    </w:p>
    <w:p w14:paraId="52A6F9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6BE5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系统地阐述这一论点，本章将分为四个部分。首先，我们将从理论上界定平台作为一种新型“评估中介”的本质，分析其如何取代传统市场与企业科层，成为经济活动的核心协调者。其次，我们将以“零工经济”（Gig Economy）为核心案例，深入剖析平台如何通过算法管理，对劳动者进行前所未有的精细化控制。再次，我们将把视线从生产端转向消费端，分析推荐系统等技术如何通过塑造欲望，制造出一种“消费者主权”的幻觉，并最终服务于平台的价值攫取。最后，我们将从宏观层面总结，平台是如何通过垄断评估权，来重构整个社会的价值坐标，并实现其超额利润的。</w:t>
      </w:r>
    </w:p>
    <w:p w14:paraId="64DCC9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5609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本章的分析，我们旨在证明，平台资本主义并非对传统资本主义的颠覆，而是在数字技术加持下的一次“升级迭代”。它将评估权力锻造为一把无形但无处不在的手术刀，以前所未有的精度，切割、重组并攫取着社会经济的价值。</w:t>
      </w:r>
    </w:p>
    <w:p w14:paraId="0BF111B1">
      <w:pPr>
        <w:pStyle w:val="5"/>
        <w:bidi w:val="0"/>
        <w:rPr>
          <w:rFonts w:hint="eastAsia" w:ascii="宋体" w:hAnsi="宋体" w:eastAsia="宋体" w:cs="宋体"/>
          <w:sz w:val="24"/>
          <w:lang w:val="en-US" w:eastAsia="zh-CN"/>
        </w:rPr>
      </w:pPr>
      <w:r>
        <w:rPr>
          <w:rFonts w:hint="eastAsia" w:ascii="宋体" w:hAnsi="宋体" w:eastAsia="宋体" w:cs="宋体"/>
          <w:lang w:val="en-US" w:eastAsia="zh-CN"/>
        </w:rPr>
        <w:t>平台作为新的“评估中介”</w:t>
      </w:r>
    </w:p>
    <w:p w14:paraId="5B13FF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要理解平台资本主义的独特性，我们必须首先回答一个根本性的问题：平台究竟是什么？它为何能在如此短的时间内，颠覆众多传统行业，并积累起富可敌国的财富与权力？</w:t>
      </w:r>
    </w:p>
    <w:p w14:paraId="24DB46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4455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表面上看，平台似乎只是一个“技术中介”，一个连接多方群体（如买家与卖家、司机与乘客、内容创作者与观众）进行交易或互动的“数字市场”。然而，这种“中介”的定义，远未能捕捉到其权力的实质。平台远不止是中立的管道或市场，它们是积极的、带有强烈偏向性的市场设计者与评估引擎。</w:t>
      </w:r>
    </w:p>
    <w:p w14:paraId="180161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BC34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为了更深刻地理解这一点，我们需要将平台置于经济组织理论的脉络之中。诺贝尔经济学奖得主罗纳德·科斯（Ronald Coase）在其开创性的论文《企业的性质》中提出了一个著名的问题：如果市场是配置资源的最佳方式，那为什么还需要企业的存在？他的答案是“交易成本”。在开放市场上寻找交易对象、进行谈判、签订和执行合约，都需要付出高昂的成本。企业作为一种科层组织，通过内部的命令与管理，可以有效地降低这些成本。因此，经济活动总是在“市场”与“企业（科层）”这两种协调机制之间进行选择。</w:t>
      </w:r>
    </w:p>
    <w:p w14:paraId="2214A6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EB4D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平台资本主义的革命性在于，它创造了第三种协调机制。平台既不像开放市场那样完全依赖价格信号，也不像传统企业那样完全依赖科层命令。它通过数字技术，构建了一种由算法驱动的、以评估为核心的新型协调机制。平台，正是在这个意义上，成为了一种新型的“评估中介”。</w:t>
      </w:r>
    </w:p>
    <w:p w14:paraId="65E5A4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D759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作为“评估中介”，平台的核心功能体现在以下三个方面：</w:t>
      </w:r>
    </w:p>
    <w:p w14:paraId="07C13E1F">
      <w:pPr>
        <w:pStyle w:val="6"/>
        <w:bidi w:val="0"/>
        <w:rPr>
          <w:rFonts w:hint="eastAsia"/>
          <w:lang w:val="en-US" w:eastAsia="zh-CN"/>
        </w:rPr>
      </w:pPr>
      <w:r>
        <w:rPr>
          <w:rFonts w:hint="eastAsia"/>
          <w:lang w:val="en-US" w:eastAsia="zh-CN"/>
        </w:rPr>
        <w:t>准入评估：谁可以参与游戏？</w:t>
      </w:r>
    </w:p>
    <w:p w14:paraId="7DE522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平台首先扮演着“守门人”（gatekeeper）的角色，它通过一系列的准入评估，来决定谁有资格进入其所构建的市场生态。</w:t>
      </w:r>
    </w:p>
    <w:p w14:paraId="16F453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1E5C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身份认证与背景审查：无论是优步司机、淘宝卖家还是爱彼迎房东，都必须向平台提交身份证明、资质证书甚至无犯罪记录等信息，接受平台的审核。平台垄断了对参与者“可信度”的初步评估权。</w:t>
      </w:r>
    </w:p>
    <w:p w14:paraId="41AFD1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965F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服务/商品标准的制定：平台为其生态内的服务和商品制定了详细的标准。例如，爱彼迎对房源的设施、卫生、安全有明确要求；苹果的应用商店（App Store）对上架的App有严格的审核指南。这些标准，实际上是平台将其自身的商业逻辑与价值偏好，强加于所有参与者的“平台宪法”。</w:t>
      </w:r>
    </w:p>
    <w:p w14:paraId="274383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F760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动态的资格管理：平台的准入评估并非一劳永逸。它通过持续的绩效追踪，动态地管理着参与者的资格。评分过低的司机可能会被永久封禁，收到过多差评的卖家可能会被降权甚至清退。平台拥有将参与者“数字流放”的最高权力。</w:t>
      </w:r>
    </w:p>
    <w:p w14:paraId="53631A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AAFD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通过这种准入评估，平台成功地将一个原本开放的市场，转化为一个需要“许可”才能进入的、由平台所治理的“围墙花园”。</w:t>
      </w:r>
    </w:p>
    <w:p w14:paraId="16203B72">
      <w:pPr>
        <w:pStyle w:val="6"/>
        <w:bidi w:val="0"/>
        <w:rPr>
          <w:rFonts w:hint="eastAsia"/>
          <w:lang w:val="en-US" w:eastAsia="zh-CN"/>
        </w:rPr>
      </w:pPr>
      <w:r>
        <w:rPr>
          <w:rFonts w:hint="eastAsia"/>
          <w:lang w:val="en-US" w:eastAsia="zh-CN"/>
        </w:rPr>
        <w:t>过程评估：游戏应该如何进行？</w:t>
      </w:r>
    </w:p>
    <w:p w14:paraId="234607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一旦进入平台，参与者的每一个行动都处在平台持续不断的“过程评估”之中。这是平台权力最核心、也最具创新性的体现。</w:t>
      </w:r>
    </w:p>
    <w:p w14:paraId="57246A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18E9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价的算法化：在传统市场中，价格由买卖双方协商或由供求关系自发形成。而在许多平台中，价格是由平台算法动态制定的。优步的“动态调价”就是典型例子。平台通过垄断定价权，取代了价格机制这一市场最核心的评估信号。</w:t>
      </w:r>
    </w:p>
    <w:p w14:paraId="3F6BC8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90E4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匹配与推荐的引导：平台通过其核心的匹配与推荐算法，来决定“谁会遇到谁”。滴滴的派单算法决定了哪个司机去接哪个乘客，YouTube的推荐算法决定了哪个视频会出现在你的首页。这种匹配与推荐，远非中立的技术操作，而是一种强大的引导力量。它根据平台自身的商业目标（如最大化交易成功率、延长用户停留时间），来主动地塑造市场互动，而非被动地反映市场需求。</w:t>
      </w:r>
    </w:p>
    <w:p w14:paraId="13261C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E0F0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为的实时监控与规训：平台通过GPS、传感器和用户行为追踪，对服务提供者的行为进行精细化的实时监控。外卖平台监控骑手的路线与速度，网约车平台监控司机的驾驶行为（如是否急刹车）。这些数据被用来进行实时的评估与反馈，对劳动者的身体和行为进行着福柯意义上的、比传统工厂更为精密的“微观权力”规训。</w:t>
      </w:r>
    </w:p>
    <w:p w14:paraId="1B9B4F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FD68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通过这种过程评估，平台将自身从一个被动的“市场中介”，转变为一个主动的“市场指挥家”。它不再仅仅是提供一个舞台，更是在为舞台上的每一个演员，编写着详细的、动态更新的“剧本”。</w:t>
      </w:r>
    </w:p>
    <w:p w14:paraId="2DFE3023">
      <w:pPr>
        <w:pStyle w:val="6"/>
        <w:bidi w:val="0"/>
        <w:rPr>
          <w:rFonts w:hint="eastAsia"/>
          <w:lang w:val="en-US" w:eastAsia="zh-CN"/>
        </w:rPr>
      </w:pPr>
      <w:r>
        <w:rPr>
          <w:rFonts w:hint="eastAsia"/>
          <w:lang w:val="en-US" w:eastAsia="zh-CN"/>
        </w:rPr>
        <w:t>结果评估：谁是赢家，谁是输家？</w:t>
      </w:r>
    </w:p>
    <w:p w14:paraId="1DDC26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最后，平台通过其精心设计的声誉与评分系统，垄断了对交易“结果”的最终评估权。</w:t>
      </w:r>
    </w:p>
    <w:p w14:paraId="4A7B76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54D8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双向评分系统：以优步和爱彼迎为代表的平台，普遍采用买卖双方（或服务提供方与消费方）相互评分的机制。这看似是一种民主、对等的评估，但实际上，其权力天平是严重倾斜的。由于消费者是更稀缺的一方，且单个差评对劳动者的影响远大于对消费者的影响，这套系统实质上赋予了消费者一种对劳动者的、不对等的“微观评估权”。</w:t>
      </w:r>
    </w:p>
    <w:p w14:paraId="52F431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5F8D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声誉的量化与资本化：平台将复杂的、多维度的“声誉”，转化为一个单一的、量化的分数或等级（如淘宝的“皇冠”卖家）。这个分数，成为了参与者在平台生态中最核心的“数字资本”。高分者能获得更多的曝光、更多的订单和更高的收入，而低分者则会陷入恶性循环。声誉不再仅仅是一种社会性的认可，而被直接转化为一种经济性的资本。</w:t>
      </w:r>
    </w:p>
    <w:p w14:paraId="396F60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D789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评价规则的最终解释权：平台拥有对所有评价进行审核、折叠、删除的权力，也拥有对评分规则的最终解释权。它可以通过调整评分的权重和算法，来系统性地引导评价的结果，使其更符合平台的商业利益。</w:t>
      </w:r>
    </w:p>
    <w:p w14:paraId="6D78D6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85FA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平台通过在准入、过程和结果这三个环节上，全面地、系统性地垄断评估权，成功地将自身塑造为一种前所未有的、强大的“评估中介”。它既吸收了市场的分散协调能力（连接海量参与者），又吸收了科层组织的集中控制能力（通过算法进行精细化管理），并将其融合为一种全新的、更具效率也更具支配性的权力形态。</w:t>
      </w:r>
    </w:p>
    <w:p w14:paraId="162A7C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8C6F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解了平台作为“评估中介”的本质，我们就能更清晰地看到，为何在这种结构下，劳动者的处境会发生深刻的改变。他们不再是传统意义上的、受劳动法保护的“雇员”，也不再是拥有真正自主权的“独立承包商”。他们沦为一种全新的、被算法所支配的劳动主体。而零工经济，正是这一处境最集中、最残酷的体现。</w:t>
      </w:r>
    </w:p>
    <w:p w14:paraId="2DC4E493">
      <w:pPr>
        <w:pStyle w:val="5"/>
        <w:bidi w:val="0"/>
        <w:rPr>
          <w:rFonts w:hint="eastAsia" w:ascii="宋体" w:hAnsi="宋体" w:eastAsia="宋体" w:cs="宋体"/>
          <w:sz w:val="24"/>
          <w:lang w:val="en-US" w:eastAsia="zh-CN"/>
        </w:rPr>
      </w:pPr>
      <w:r>
        <w:rPr>
          <w:rFonts w:hint="eastAsia" w:ascii="宋体" w:hAnsi="宋体" w:eastAsia="宋体" w:cs="宋体"/>
          <w:lang w:val="en-US" w:eastAsia="zh-CN"/>
        </w:rPr>
        <w:t>案例研究：零工经济中的算法管理与劳动控制</w:t>
      </w:r>
    </w:p>
    <w:p w14:paraId="014A42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零工经济（Gig Economy），以其“即时响应”（on-demand）的服务模式，被誉为是未来工作的典范。以优步、Lyft、美团、Deliveroo、Foodora等平台为代表，它们通过智能手机App，将海量的、原子化的劳动者（司机、骑手、快递员）与同样海量的、即时的消费者需求进行高效匹配。这种模式的核心承诺是“灵活性”：劳动者可以“随时随地，想上就上”，成为“自己的老板”。</w:t>
      </w:r>
    </w:p>
    <w:p w14:paraId="35E62A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73B1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然而，在这幅充满诱惑的图景之下，隐藏着一种被称为“算法管理”（Algorithmic Management）的新型劳动控制模式。这种模式，正是平台作为“评估中介”的权力，在劳动过程中的具体化身。它将评估异化的逻辑，以前所未有的强度，施加于劳动者身上，制造出一种“数字泰勒主义”（Digital Taylorism）的困境。</w:t>
      </w:r>
    </w:p>
    <w:p w14:paraId="2A4F3647">
      <w:pPr>
        <w:pStyle w:val="6"/>
        <w:bidi w:val="0"/>
        <w:rPr>
          <w:rFonts w:hint="eastAsia" w:ascii="宋体" w:hAnsi="宋体" w:eastAsia="宋体" w:cs="宋体"/>
          <w:sz w:val="24"/>
          <w:lang w:val="en-US" w:eastAsia="zh-CN"/>
        </w:rPr>
      </w:pPr>
      <w:r>
        <w:rPr>
          <w:rFonts w:hint="eastAsia"/>
          <w:lang w:val="en-US" w:eastAsia="zh-CN"/>
        </w:rPr>
        <w:t>算法管理的运作机制：一个持续的评估循环</w:t>
      </w:r>
    </w:p>
    <w:p w14:paraId="4787E7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算法管理并非一个单一的工具，而是一套相互关联的技术与机制，共同构成了一个对劳动者进行持续评估与控制的闭环系统。</w:t>
      </w:r>
    </w:p>
    <w:p w14:paraId="1C8900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3FE4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务分配：劳动者无法自主选择他们的工作任务。平台的派单算法，基于一系列劳动者无法完全知晓的复杂变量（如距离、评分、接单率、在线时长、天气状况、以及平台对特定区域的运力需求等），来决定将哪个订单分配给哪个劳动者。这从根本上剥夺了劳动者的工作选择权。算法的分配，就是不容置疑的命令。</w:t>
      </w:r>
    </w:p>
    <w:p w14:paraId="2B6686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E061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绩效监控：一旦接受任务，劳动者的整个工作过程都处在平台持续不断的、精细化的监控之下。GPS追踪着他们的每一秒钟的移动轨迹，App记录着他们的每一次互动。平台不仅知道他们是否准时到达，更知道他们是否走了“最优路线”，是否在途中长时间停留，甚至他们的驾驶速度和刹车习惯。这种全景式的监控，使得任何形式的“怠工”或“摸鱼”都变得异常困难。</w:t>
      </w:r>
    </w:p>
    <w:p w14:paraId="0FD419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5A2D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励与规训：平台通过一套复杂的、动态的激励系统，来引导劳动者的行为。高峰时段的“动态加价”、完成特定单数的“冲单奖励”、维持高接单率的“优先派单”……这些游戏化的激励机制，如同在劳动者面前悬挂的一根根“胡萝卜”，诱使其不断延长工作时间、在恶劣天气或危险区域接单。与此同时，评分系统和用户投诉机制，则构成了严厉的“大棒”。一个差评，就可能导致劳动者数小时的收入化为乌有，甚至面临封禁的风险。</w:t>
      </w:r>
    </w:p>
    <w:p w14:paraId="2F10FA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7E9E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不对称：在整个过程中，平台与劳动者之间存在着巨大的信息不对称。平台掌握着关于市场供需、定价逻辑、派单算法和个人绩效的全部数据，而劳动者则如同身处一个“黑箱”之中。他们不知道自己为何接不到单，不知道高峰奖励何时会出现，也不知道自己的评分是如何被具体计算的。这种信息上的弱势地位，使得他们很难进行有效的博弈与抗争。</w:t>
      </w:r>
    </w:p>
    <w:p w14:paraId="57D469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38E1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通过这套闭环系统，平台将传统的、由人类管理者扮演的角色——分配任务、监督过程、进行奖惩——完全自动化、算法化了。这导致了一种比传统科层管理更为严酷的控制。</w:t>
      </w:r>
    </w:p>
    <w:p w14:paraId="315694ED">
      <w:pPr>
        <w:pStyle w:val="6"/>
        <w:bidi w:val="0"/>
        <w:rPr>
          <w:rFonts w:hint="eastAsia"/>
          <w:lang w:val="en-US" w:eastAsia="zh-CN"/>
        </w:rPr>
      </w:pPr>
      <w:r>
        <w:rPr>
          <w:rFonts w:hint="eastAsia"/>
          <w:lang w:val="en-US" w:eastAsia="zh-CN"/>
        </w:rPr>
        <w:t>“数字泰勒主义”：身体与时间的双重剥削</w:t>
      </w:r>
    </w:p>
    <w:p w14:paraId="26072D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20世纪初，弗雷德里克·泰勒（Frederick Taylor）通过“科学管理”，将工人的体力劳动分解为最基本的、标准化的动作，并通过“时间-动作研究”，来消除所有“不必要”的浪费，从而实现生产效率的最大化。这套体系，因其对工人身体的极端物化和自主性的剥夺而备受批判。</w:t>
      </w:r>
    </w:p>
    <w:p w14:paraId="00DF50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23A9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算法管理，在很多方面，可以被看作是“泰勒主义”在数字时代的复活与升级。</w:t>
      </w:r>
    </w:p>
    <w:p w14:paraId="0E9D3A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身体的数字化规训：泰勒主义通过秒表和监工，来规训工人在工厂内的身体。而算法管理则通过智能手机和GPS，将这种规训扩展到了广阔的城市空间。骑手的身体，不再属于他自己，而被整合为平台物流网络中的一个可被实时追踪、调度和优化的“移动节点”。他的身体节奏，必须与算法所计算出的“最优路径”和“预计送达时间”保持高度同步。</w:t>
      </w:r>
    </w:p>
    <w:p w14:paraId="73BBAA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6A97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时间的碎片化与殖民化：零工经济承诺的“灵活性”，在现实中往往演变为一种对劳动者时间的更深层殖民。由于收入的不稳定和对“冲单奖励”的追逐，劳动者常常被迫超长时间工作。更重要的是，即使在“下线”时间，他们也并未获得真正的休息。他们需要时刻关注App上的信息，等待高峰时段的到来，精神始终处在一种“待命”的紧张状态。工作与生活的边界被彻底模糊，平台将劳动者的全部生命时间，都视为其可供利用的“潜在运力”。</w:t>
      </w:r>
    </w:p>
    <w:p w14:paraId="4C7D4E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AE66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劳动风险的个体化：在传统雇佣关系中，雇主需要为劳动者提供生产工具（如车辆）、缴纳社会保险、并承担工伤等职业风险。而在零工经济中，平台通过将劳动者定义为“独立承包商”，巧妙地将所有这些成本和风险，都转嫁给了劳动者个人。车辆的购置与损耗、燃油费、保险、以及在交通意外或生病时失去收入的风险，都由劳动者自行承担。平台在享受着对劳动过程的严密控制的同时，却逃避了作为雇主应负的几乎所有责任。</w:t>
      </w:r>
    </w:p>
    <w:p w14:paraId="3DB0C254">
      <w:pPr>
        <w:pStyle w:val="6"/>
        <w:bidi w:val="0"/>
        <w:rPr>
          <w:rFonts w:hint="eastAsia" w:ascii="宋体" w:hAnsi="宋体" w:eastAsia="宋体" w:cs="宋体"/>
          <w:sz w:val="24"/>
          <w:lang w:val="en-US" w:eastAsia="zh-CN"/>
        </w:rPr>
      </w:pPr>
      <w:r>
        <w:rPr>
          <w:rFonts w:hint="eastAsia"/>
          <w:lang w:val="en-US" w:eastAsia="zh-CN"/>
        </w:rPr>
        <w:t>“强制自愿”的困境：在“自由”的幻觉下被缚</w:t>
      </w:r>
    </w:p>
    <w:p w14:paraId="0EF78F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正是“强制自愿”困境的核心体现。从法律形式上看，零工劳动者是“自愿”选择为平台工作的。他们可以“自由”地决定何时上线、何时下线。然而，这种“自愿”与“自由”，是一种被平台所精心设计的评估权力结构所严格限定的、充满虚幻性的自由。</w:t>
      </w:r>
    </w:p>
    <w:p w14:paraId="59B2BC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F3A3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择的虚假性：劳动者看似可以选择接或不接一个订单，但“接单率”本身就是一个重要的评估指标，过低的接单率会导致后续被派的订单减少。他们看似可以选择工作时长，但为了获得有保障的收入和平台的奖励，他们往往被迫长时间在线。他们的“自由”，是一种只能选择“如何更好地被剥削”的自由。</w:t>
      </w:r>
    </w:p>
    <w:p w14:paraId="645834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206A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原子化与去集体化：平台通过算法，将劳动者塑造为一个个相互竞争的、原子化的个体。每个人都只与App进行互动，而劳动者之间很难形成有效的沟通与联结。这种“去集体化”的结构，极大地削弱了他们进行集体谈判、组织工会以争取自身权益的能力。当他们对平台不满时，唯一的抗议方式，往往是个人的、无声的“下线”。</w:t>
      </w:r>
    </w:p>
    <w:p w14:paraId="78AEB6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31C0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体性的悖论：平台不断地向劳动者灌输“你就是自己的老板”的创业者话语。这种话语，一方面利用了他们对自主性的渴望，另一方面又巧妙地将所有经营风险个体化了。劳动者在主观上可能认同了这种“老板”身份，并为之努力奋斗，但在客观上，他们却处在一个比传统雇员受到更严密控制、更少保障的境地。这种主观认同与客观处境的巨大分裂，是评估权力通过话语和机制，对劳动者主体性进行深刻塑造与扭曲的结果。</w:t>
      </w:r>
    </w:p>
    <w:p w14:paraId="2C8A95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94B1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零工经济中的算法管理，是平台作为“评估中介”的权力，在生产领域最赤裸裸的体现。它将评估异化的三个维度展现得淋漓尽致：劳动者的主体性被消解为算法网络中的一个数据节点；平台通过算法黑箱垄断了对“高效劳动”的认知；最终导致了对劳动者身心健康、经济保障和职业尊严的系统性价值扭曲。</w:t>
      </w:r>
    </w:p>
    <w:p w14:paraId="287499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9FB8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然而，平台的评估权力，并不仅仅作用于生产者。在天平的另一端，消费者，这个看似在平台时代被“赋权”的群体，同样被一套更为隐蔽、更为精巧的评估逻辑所捕获和塑造。</w:t>
      </w:r>
    </w:p>
    <w:p w14:paraId="6FD9B623">
      <w:pPr>
        <w:pStyle w:val="5"/>
        <w:bidi w:val="0"/>
        <w:rPr>
          <w:rFonts w:hint="eastAsia" w:ascii="宋体" w:hAnsi="宋体" w:eastAsia="宋体" w:cs="宋体"/>
          <w:lang w:val="en-US" w:eastAsia="zh-CN"/>
        </w:rPr>
      </w:pPr>
      <w:r>
        <w:rPr>
          <w:rFonts w:hint="eastAsia" w:ascii="宋体" w:hAnsi="宋体" w:eastAsia="宋体" w:cs="宋体"/>
          <w:lang w:val="en-US" w:eastAsia="zh-CN"/>
        </w:rPr>
        <w:t>“信息茧房”与消费者主权的幻觉：推荐系统如何塑造欲望</w:t>
      </w:r>
    </w:p>
    <w:p w14:paraId="654F58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平台资本主义的宏大叙事中，消费者是绝对的“国王”。平台通过大数据和人工智能，能够“比你更懂你”，为你提供前所未有的个性化体验。从亚马逊的商品推荐、Netflix的剧集推荐，到TikTok（抖音）那令人欲罢不能的信息流，推荐系统已经成为数字消费体验的核心引擎。这一切，似乎都指向了一个“消费者主权”的黄金时代：市场终于能够精准地、高效地满足每一个体独一无二的需求与欲望。</w:t>
      </w:r>
    </w:p>
    <w:p w14:paraId="61252F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A426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从我们“评估权力”的批判性视角来看，这幅图景同样充满幻觉。推荐系统，这个看似服务于消费者的“贴心管家”，实际上是平台评估权力在消费端的延伸。它并非被动地“发现”和“满足”你的欲望，而是在主动地、持续地“评估”和“塑造”你的欲望。其最终目的，并非是实现你的消费者主权，而是要将你——连同你的注意力、你的欲望、你的购买力——更深地、更持久地锁定在平台的商业生态之中。</w:t>
      </w:r>
    </w:p>
    <w:p w14:paraId="06AC9E38">
      <w:pPr>
        <w:pStyle w:val="6"/>
        <w:bidi w:val="0"/>
        <w:rPr>
          <w:rFonts w:hint="eastAsia"/>
          <w:lang w:val="en-US" w:eastAsia="zh-CN"/>
        </w:rPr>
      </w:pPr>
      <w:r>
        <w:rPr>
          <w:rFonts w:hint="eastAsia"/>
          <w:lang w:val="en-US" w:eastAsia="zh-CN"/>
        </w:rPr>
        <w:t>推荐系统的运作：一个欲望的评估与再生产循环</w:t>
      </w:r>
    </w:p>
    <w:p w14:paraId="6CCEAD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652C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推荐系统的核心，是一个基于你“数据身体”的、持续的评估循环。</w:t>
      </w:r>
    </w:p>
    <w:p w14:paraId="2257FC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3F82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捕获与画像构建：你的每一次点击、每一次搜索、每一次购买、每一次停留、甚至每一次滑动屏幕的速度，都被平台尽收眼底。这些海量的行为数据，被用来构建一个关于你的、动态更新的“兴趣画像”或“偏好模型”。你被评估、被分类，被贴上成百上千个标签（如“价格敏感型用户”、“户外运动爱好者”、“科幻电影迷”）。</w:t>
      </w:r>
    </w:p>
    <w:p w14:paraId="6B12D1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C9EF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预测与推荐：基于这个画像，推荐算法开始进行预测。它预测你会对什么样的新闻感兴趣，会喜欢哪种风格的衣服，下一部可能会刷的剧集是什么。然后，它将这些预测结果，以“为你推荐”的形式，呈现在你的信息流中。</w:t>
      </w:r>
    </w:p>
    <w:p w14:paraId="6B7E66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6369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反馈与优化：你的下一次点击或购买，又会成为新的数据，被反馈回系统中，用来验证和优化算法的预测模型。你与推荐系统之间，形成了一个强大的、自我强化的反馈闭环。你越是按照它的推荐去消费，它就越“懂”你，它的推荐就越精准，你就越依赖它的推荐。</w:t>
      </w:r>
    </w:p>
    <w:p w14:paraId="51F64D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CAA7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在这个循环中，看似是你个人的“偏好”在驱动着推荐，但实际上，你的偏好本身，就是被这个系统所持续塑造和定义的。</w:t>
      </w:r>
    </w:p>
    <w:p w14:paraId="0A3F09CC">
      <w:pPr>
        <w:pStyle w:val="6"/>
        <w:bidi w:val="0"/>
        <w:rPr>
          <w:rFonts w:hint="eastAsia" w:ascii="宋体" w:hAnsi="宋体" w:eastAsia="宋体" w:cs="宋体"/>
          <w:sz w:val="24"/>
          <w:lang w:val="en-US" w:eastAsia="zh-CN"/>
        </w:rPr>
      </w:pPr>
      <w:r>
        <w:rPr>
          <w:rFonts w:hint="eastAsia"/>
          <w:lang w:val="en-US" w:eastAsia="zh-CN"/>
        </w:rPr>
        <w:t>“信息茧房”与“回音室”：可能性的收敛</w:t>
      </w:r>
    </w:p>
    <w:p w14:paraId="3049FE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这一评估循环最广为人知的后果，便是“信息茧房”与“回音室”效应。这是本书第一章所提出的“可能性收敛”理论，在信息消费领域最直观的体现。</w:t>
      </w:r>
    </w:p>
    <w:p w14:paraId="7EBBEB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F097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视野的窄化：为了最大化你的参与度，推荐算法倾向于向你推送那些与你既有观点和偏好高度一致的内容。久而久之，你的信息食谱会变得越来越单一。你被包裹在一个由算法为你量身定制的、温暖而舒适的“茧”中，与那些可能挑战你、让你不适、但却能拓宽你视野的异质性信息隔绝开来。</w:t>
      </w:r>
    </w:p>
    <w:p w14:paraId="0FF0C1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2A1B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的固化：在“回音室”里，你所持有的观点被不断地重复和加强，而相反的观点则被过滤掉。这会让你产生一种“所有人都像我这么想”的错觉，从而使得你的既有信念变得越来越极端、越来越不容置疑。社会学家伊莱·帕里泽（Eli Pariser）警告说，这种个性化的过滤，正在侵蚀我们共享的现实基础，使得跨越不同群体的理性对话变得异常困难。</w:t>
      </w:r>
    </w:p>
    <w:p w14:paraId="1DCE5A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4378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我们理论框架的角度看，推荐系统通过构建“信息茧房”，极大地收敛了我们认知世界的可能性。它将可能性基底中那无限丰富的信息海洋，过滤为一小股我们最“想”喝的、高度提纯的蒸馏水。我们看似获得了前所未有的个性化信息服务，却以丧失认知上的开放性、多元性和批判性为代价。</w:t>
      </w:r>
    </w:p>
    <w:p w14:paraId="29B5560A">
      <w:pPr>
        <w:pStyle w:val="6"/>
        <w:bidi w:val="0"/>
        <w:rPr>
          <w:rFonts w:hint="eastAsia" w:ascii="宋体" w:hAnsi="宋体" w:eastAsia="宋体" w:cs="宋体"/>
          <w:sz w:val="24"/>
          <w:lang w:val="en-US" w:eastAsia="zh-CN"/>
        </w:rPr>
      </w:pPr>
      <w:r>
        <w:rPr>
          <w:rFonts w:hint="eastAsia"/>
          <w:lang w:val="en-US" w:eastAsia="zh-CN"/>
        </w:rPr>
        <w:t>欲望的塑造与消费的引导：从“满足需求”到“创造需求”</w:t>
      </w:r>
    </w:p>
    <w:p w14:paraId="1B81A1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然而，推荐系统的野心，远不止于将你包裹在信息茧房之中。它更深层的目标，是直接干预和塑造你的欲望，从而引导你的消费行为，实现平台商业利益的最大化。</w:t>
      </w:r>
    </w:p>
    <w:p w14:paraId="71A37B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F3EF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欲望的“计算”与“激发”：平台不仅知道你“喜欢”什么，更通过对海量用户数据的分析，知道什么样的呈现方式（如图片、文案、折扣信息）、什么样的时机（如深夜、周末），最能激发特定人群的购买欲望。它们正在学习如何精准地“按下”我们大脑中那个名为“冲动消费”的按钮。社交电商平台（如小红书、Instagram）通过KOL（关键意见领袖）和精心策划的“种草”内容，将消费行为包装成一种对“美好生活”的追求，从而不断地创造出新的、本不存在的“需求”。</w:t>
      </w:r>
    </w:p>
    <w:p w14:paraId="3FDF38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F1A6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择的幻觉：平台为你呈现的，是一个看似无限丰富、充满选择的商品世界。然而，这个世界的排序和呈现方式，是经过高度操纵的。搜索结果的排序、首页的推荐位、促销活动的曝光度，都受到平台算法的严格控制。平台会优先推荐那些利润率更高、或者是与其有合作关系的商家的产品。你以为你在进行自由选择，实际上，你只是在平台为你精心布置好的“消费迷宫”中，沿着它所期望的路径行走。</w:t>
      </w:r>
    </w:p>
    <w:p w14:paraId="0A770D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07C9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者主权的“让渡”：在这个过程中，消费者主权发生了深刻的逆转。传统理论认为，消费者通过其“货币选票”，来引导生产者生产什么。而在平台经济中，平台通过其强大的数据能力和推荐算法，反过来引导消费者“应该”消费什么。我们逐渐将发现新事物、做出消费决策这一本属于我们主体性的能力，“外包”给了算法。我们不再相信自己的判断，而更相信平台的“推荐”。这种对算法的认知依赖，正是“评估异化”中“认知垄断”在消费端的体现。</w:t>
      </w:r>
    </w:p>
    <w:p w14:paraId="4DA054D4">
      <w:pPr>
        <w:pStyle w:val="6"/>
        <w:bidi w:val="0"/>
        <w:rPr>
          <w:rFonts w:hint="eastAsia" w:ascii="宋体" w:hAnsi="宋体" w:eastAsia="宋体" w:cs="宋体"/>
          <w:sz w:val="24"/>
          <w:lang w:val="en-US" w:eastAsia="zh-CN"/>
        </w:rPr>
      </w:pPr>
      <w:r>
        <w:rPr>
          <w:rFonts w:hint="eastAsia"/>
          <w:lang w:val="en-US" w:eastAsia="zh-CN"/>
        </w:rPr>
        <w:t>“数据剥削”：作为无偿劳动者的消费者</w:t>
      </w:r>
    </w:p>
    <w:p w14:paraId="552715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最后，我们必须揭示一个被“个性化服务”话语所掩盖的核心事实：在平台资本主义中，消费者同时也是无偿的劳动者。</w:t>
      </w:r>
    </w:p>
    <w:p w14:paraId="73D5CF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8B52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数据作为生产资料：我们的每一次点击、每一次评价、每一次分享，都在为平台贡献着最宝贵的生产资料——数据。这些数据，是训练推荐算法、优化广告投放、开发新产品和服务的“燃料”。</w:t>
      </w:r>
    </w:p>
    <w:p w14:paraId="21498B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7613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“产消合一者”：传播学者阿尔文·托夫勒（Alvin Toffler）早在几十年前就预言了“产消合一者”的出现。在平台经济中，这一预言成为了现实。我们在淘宝上撰写商品评价，是在为其他消费者提供决策参考，从而为平台完成了部分“客服”和“质检”的工作；我们在知乎上回答问题，是在为平台生产高质量的内容；我们在社交媒体上分享生活，是在为平台创造吸引其他用户的“景观”。所有这些活动，都为平台创造了巨大的价值，但我们却几乎没有得到任何直接的经济回报。</w:t>
      </w:r>
    </w:p>
    <w:p w14:paraId="40049F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DC2B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对用户数据的无偿占有和利用，被学者们称为“数据剥削”。它是一种新型的、更为隐蔽的剩余价值攫取形式。平台通过提供“免费”或便捷的服务，来换取我们源源不断的数据贡献。然后，它再将这些经过加工和评估的数据，以广告、市场洞察报告、或者更优化的商业模式等形式，出售给真正的“客户”——商家和广告主。</w:t>
      </w:r>
    </w:p>
    <w:p w14:paraId="7924A7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976E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推荐系统所承诺的“消费者主权”，在很大程度上是一种幻觉。它通过构建信息茧房、塑造消费欲望和进行数据剥削，将消费者深度整合进平台的价值增殖循环之中。消费者看似是“国王”，实则更像是平台这座“数据工厂”里，快乐而又毫无察觉的“工人”。</w:t>
      </w:r>
    </w:p>
    <w:p w14:paraId="7B17FC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A750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已经分别考察了平台在生产端和消费端，是如何运用评估权力来进行控制与价值攫取的。现在，我们需要将这两条线索汇合，从一个更宏观的视角，来总结平台资本主义是如何通过垄断评估权，来系统性地重构我们这个时代的价值坐标的。</w:t>
      </w:r>
    </w:p>
    <w:p w14:paraId="65835D64">
      <w:pPr>
        <w:pStyle w:val="5"/>
        <w:bidi w:val="0"/>
        <w:rPr>
          <w:rFonts w:hint="eastAsia" w:ascii="宋体" w:hAnsi="宋体" w:eastAsia="宋体" w:cs="宋体"/>
          <w:lang w:val="en-US" w:eastAsia="zh-CN"/>
        </w:rPr>
      </w:pPr>
      <w:r>
        <w:rPr>
          <w:rFonts w:hint="eastAsia" w:ascii="宋体" w:hAnsi="宋体" w:eastAsia="宋体" w:cs="宋体"/>
          <w:lang w:val="en-US" w:eastAsia="zh-CN"/>
        </w:rPr>
        <w:t>价值坐标的重构：平台如何通过垄断评估权来攫取价值</w:t>
      </w:r>
    </w:p>
    <w:p w14:paraId="330699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分别剖析了零工经济中的劳动控制和推荐系统中的消费引导之后，我们现在可以退后一步，从一个更具整合性的宏观视角，来审视平台资本主义的整体运作逻辑。本章的最终论点是：平台资本主义的核心商业模式，在于通过技术手段，战略性地介入、垄断并重构特定社会经济领域的“价值坐标”，并从这种“价值的再定义”过程中，攫取超额的租金式利润。而实现这一点的核心工具，正是我们在本章开头所定义的、作为新型“评估中介”的平台权力。</w:t>
      </w:r>
    </w:p>
    <w:p w14:paraId="0BD255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BCFF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这一过程，可以被分解为三个相互关联的阶段：解构、重构与攫取。</w:t>
      </w:r>
    </w:p>
    <w:p w14:paraId="7ACAE1F2">
      <w:pPr>
        <w:pStyle w:val="6"/>
        <w:bidi w:val="0"/>
        <w:rPr>
          <w:rFonts w:hint="eastAsia" w:ascii="宋体" w:hAnsi="宋体" w:eastAsia="宋体" w:cs="宋体"/>
          <w:sz w:val="24"/>
          <w:lang w:val="en-US" w:eastAsia="zh-CN"/>
        </w:rPr>
      </w:pPr>
      <w:r>
        <w:rPr>
          <w:rFonts w:hint="eastAsia"/>
          <w:lang w:val="en-US" w:eastAsia="zh-CN"/>
        </w:rPr>
        <w:t>解构：瓦解传统行业的价值评估体系</w:t>
      </w:r>
    </w:p>
    <w:p w14:paraId="758874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平台进入一个传统行业的首要动作，往往是“解构”该行业既有的、稳定的价值评估体系。</w:t>
      </w:r>
    </w:p>
    <w:p w14:paraId="681C2E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5E29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在出租车行业，优步和滴滴瓦解了由政府监管机构所垄断的、基于牌照和计价器的评估体系。牌照的稀缺性所代表的价值被摧毁，计价器的统一定价被动态的算法定价所取代。</w:t>
      </w:r>
    </w:p>
    <w:p w14:paraId="2F0FD8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A7ED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在酒店行业，爱彼迎瓦解了基于星级评定和品牌声誉的传统评估体系。一个拥有良好口碑的五星级酒店的价值，受到了来自无数个拥有高用户评分的“超级房东”的挑战。</w:t>
      </w:r>
    </w:p>
    <w:p w14:paraId="4C0E54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886E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在媒体行业，谷歌和Facebook瓦解了由专业编辑和出版机构所主导的、基于“新闻价值”和“编辑判断”的内容评估体系。取而代之的，是基于点击量、分享数和用户停留时间的、由算法所定义的“注意力价值”。</w:t>
      </w:r>
    </w:p>
    <w:p w14:paraId="3E6E68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3828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在零售行业，亚马逊和淘宝瓦解了基于地理位置（黄金地段的商铺）和品牌渠道的传统价值评估。一个商品的价值，越来越多地由其在平台上的搜索排名、用户评价和销量来决定。</w:t>
      </w:r>
    </w:p>
    <w:p w14:paraId="337AAA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1FFF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种解构，平台成功地将传统行业中那些固化的、难以流动的价值“解放”出来，使其变得可以被重新评估、重新定价。这一过程，往往伴随着对传统监管的“颠覆式创新”话语，以及对传统从业者的“降维打击”。</w:t>
      </w:r>
    </w:p>
    <w:p w14:paraId="65800763">
      <w:pPr>
        <w:pStyle w:val="6"/>
        <w:bidi w:val="0"/>
        <w:rPr>
          <w:rFonts w:hint="eastAsia" w:ascii="宋体" w:hAnsi="宋体" w:eastAsia="宋体" w:cs="宋体"/>
          <w:sz w:val="24"/>
          <w:lang w:val="en-US" w:eastAsia="zh-CN"/>
        </w:rPr>
      </w:pPr>
      <w:r>
        <w:rPr>
          <w:rFonts w:hint="eastAsia"/>
          <w:lang w:val="en-US" w:eastAsia="zh-CN"/>
        </w:rPr>
        <w:t>重构：建立以平台为中心的评估新秩序</w:t>
      </w:r>
    </w:p>
    <w:p w14:paraId="7507D5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在瓦解了旧的价值坐标之后，平台便开始着手建立一套全新的、以自身为中心的评估新秩序。这正是平台作为“评估中介”的权力全面施展的阶段。</w:t>
      </w:r>
    </w:p>
    <w:p w14:paraId="388253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DF71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平台成为唯一的“真理源”：在平台所构建的生态系统内，只有平台的数据和评估，才是被承认的、具有交换价值的“官方”价值。一个优步司机在出租车行业积累了20年的良好驾驶记录，这在优步的系统内是毫无意义的；一个淘宝卖家在线下拥有良好的商业信誉，但在淘宝的生态内，只有他的店铺评分和“皇冠”等级，才能为他带来流量和生意。平台创造了一种新的“评估货币”，并垄断了其发行权。</w:t>
      </w:r>
    </w:p>
    <w:p w14:paraId="46CA29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BE9B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成为核心的价值尺度：在新的评估秩序中，数据，特别是用户行为数据，成为了衡量一切价值的核心尺度。一个餐厅的价值，不再仅仅取决于其菜品的口味，更取决于其在大众点评上的评分和“网红”属性。一个学者的价值，不再仅仅取决于其思想的深度，更取决于其论文的引用数和在社交媒体上的影响力。这种“万物皆可数据化”的趋势，正是我们在第三章中所描述的“数据身体”的诞生，在市场领域的延伸。</w:t>
      </w:r>
    </w:p>
    <w:p w14:paraId="31375B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D743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定义了新的“成功”逻辑：平台通过其不透明的算法，定义了在新秩序中获得成功的游戏规则。无论是内容创作者学习如何迎合YouTube的推荐算法（即所谓的“SEO”），还是电商卖家研究如何优化关键词以提升搜索排名，所有生态参与者，都必须将大量的精力投入到对平台这只“看不见的手”的揣摩与迎合之中。平台的算法，成为了市场中新的“上帝”。</w:t>
      </w:r>
    </w:p>
    <w:p w14:paraId="4360C6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3568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通过这种重构，平台成功地将自身置于其所构建的经济生态的绝对中心。它不再仅仅是市场中的一个参与者，而成为了市场的“中央银行”和“最高法院”，掌控着最核心的价值定义权与分配权。</w:t>
      </w:r>
    </w:p>
    <w:p w14:paraId="5E7F8D28">
      <w:pPr>
        <w:pStyle w:val="6"/>
        <w:bidi w:val="0"/>
        <w:rPr>
          <w:rFonts w:hint="eastAsia" w:ascii="宋体" w:hAnsi="宋体" w:eastAsia="宋体" w:cs="宋体"/>
          <w:sz w:val="24"/>
          <w:lang w:val="en-US" w:eastAsia="zh-CN"/>
        </w:rPr>
      </w:pPr>
      <w:r>
        <w:rPr>
          <w:rFonts w:hint="eastAsia"/>
          <w:lang w:val="en-US" w:eastAsia="zh-CN"/>
        </w:rPr>
        <w:t>攫取：从价值的“守门人”到“收租者”</w:t>
      </w:r>
    </w:p>
    <w:p w14:paraId="39E6F7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旦完成了对价值坐标的重构，平台便进入了其商业模式的最后，也是最关键的一环：价值攫取。由于其在评估权上的垄断地位，平台能够以一种类似于“收租”的方式，从其生态系统内流动的每一笔价值中，抽取属于自己的那一份。</w:t>
      </w:r>
    </w:p>
    <w:p w14:paraId="175E8F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交易佣金：这是最直接的攫取方式。优步、爱彼迎、美团等平台，会从每一笔交易中，抽取高达20%-30%甚至更高的佣金。由于劳动者和商家高度依赖平台来获取客户，他们除了接受这种高额抽成外，别无选择。</w:t>
      </w:r>
    </w:p>
    <w:p w14:paraId="7927BA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756B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广告与推广费：在电商和内容平台中，仅仅“存在”于平台上是远远不够的。为了在海量的竞争者中脱颖而出，商家和创作者必须向平台支付高昂的广告费和推广费，来购买流量和曝光度。平台通过控制“可见性”这一核心的稀缺资源，成功地将流量转化为一种可供出售的、高利润的商品。这实质上是平台在向其生态内的参与者，征收一种“数字地租”。</w:t>
      </w:r>
    </w:p>
    <w:p w14:paraId="0036D9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84B2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数据租金：正如前文所述，平台通过对用户数据的无偿占有，并将其用于广告投放、市场分析和金融服务（如小额贷款）等，实现了数据的多次增值。这种基于数据垄断的获利模式，是一种典型的“数据租金”。</w:t>
      </w:r>
    </w:p>
    <w:p w14:paraId="730DDF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C1CF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态锁定与转换成本：平台通过将会员体系、信用积分、用户数据等锁定在自身生态内，极大地提高了参与者（无论是生产者还是消费者）迁移到其他平台的“转换成本”。一个高级的淘宝卖家，无法将其积累的“皇冠”信誉带到京东；一个拥有百万粉丝的YouTube博主，很难在另一个平台从零开始。这种生态锁定，进一步巩固了平台的垄断地位，使其能够长期、稳定地进行价值攫取。</w:t>
      </w:r>
    </w:p>
    <w:p w14:paraId="774E67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DC96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平台资本主义的权力与利润，其最终来源并非来自更先进的生产技术或更高的生产效率，而是来自其对特定经济领域评估权的战略性垄断。它通过解构旧的价值体系，重构以自身为中心的新秩序，最终以一种“数字地主”的方式，向所有依赖其生存的生态参与者“收租”。</w:t>
      </w:r>
    </w:p>
    <w:p w14:paraId="41B3FB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E97D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正是“强制自愿”在宏观结构层面的体现。无论是被迫接受高额佣金的零工劳动者，还是为了流量而支付广告费的商家，抑或是贡献了数据却几乎一无所获的消费者，他们从形式上看，都是“自愿”地参与到平台的游戏之中。然而，这种“自愿”，是在一个由平台所垄断了价值定义权、规则制定权和机会分配权的结构中做出的。当唯一的游戏场由一个垄断者所控制时，选择“不玩”的代价，往往是无法承受的。</w:t>
      </w:r>
    </w:p>
    <w:p w14:paraId="33B674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AA67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已经完成了对平台资本主义这一经验场域的剖析。我们看到，评估权力在市场领域，以一种更为市场化、更为隐蔽的方式，同样构建起了一套强大的控制与剥削体系。然而，评估权力的影响，还远不止于国家治理与市场经济。在下一个，也是最后一个经验场域的分析中，我们将探讨，当这套逻辑渗透到我们赖以形成共识、进行公共审议的话语空间时，又会带来怎样深刻的、甚至可能是灾难性的后果。</w:t>
      </w:r>
    </w:p>
    <w:p w14:paraId="288370BF">
      <w:pPr>
        <w:rPr>
          <w:rFonts w:hint="eastAsia" w:ascii="宋体" w:hAnsi="宋体" w:eastAsia="宋体" w:cs="宋体"/>
          <w:lang w:val="en-US" w:eastAsia="zh-CN"/>
        </w:rPr>
      </w:pPr>
      <w:r>
        <w:rPr>
          <w:rFonts w:hint="eastAsia" w:ascii="宋体" w:hAnsi="宋体" w:eastAsia="宋体" w:cs="宋体"/>
          <w:lang w:val="en-US" w:eastAsia="zh-CN"/>
        </w:rPr>
        <w:br w:type="page"/>
      </w:r>
    </w:p>
    <w:p w14:paraId="7BCA03E3">
      <w:pPr>
        <w:pStyle w:val="4"/>
        <w:bidi w:val="0"/>
        <w:rPr>
          <w:rFonts w:hint="eastAsia" w:ascii="宋体" w:hAnsi="宋体" w:eastAsia="宋体" w:cs="宋体"/>
          <w:lang w:val="en-US" w:eastAsia="zh-CN"/>
        </w:rPr>
      </w:pPr>
      <w:bookmarkStart w:id="16" w:name="_Toc1763354610"/>
      <w:r>
        <w:rPr>
          <w:rFonts w:hint="eastAsia" w:ascii="宋体" w:hAnsi="宋体" w:eastAsia="宋体" w:cs="宋体"/>
          <w:lang w:val="en-US" w:eastAsia="zh-CN"/>
        </w:rPr>
        <w:t>第五章：公共领域的瓦解：语境污染与语义极化</w:t>
      </w:r>
      <w:bookmarkEnd w:id="16"/>
    </w:p>
    <w:p w14:paraId="7A9AF6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“我们曾以为互联网会是一个全球性的市民广场，一个理性对话的乌托邦。但我们最终得到的，却更像是一个喧嚣的、被分割的、由无数个阵营相互嘶吼的斗兽场。”</w:t>
      </w:r>
    </w:p>
    <w:p w14:paraId="4F73CE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BF7F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前两章的分析中，我们聚焦于评估权力如何通过算法治理和平台资本主义，重塑了国家与公民、资本与劳动之间的关系。这些分析主要集中在权力的“硬”维度——即对个体行为的规训、社会资源的分配和经济价值的攫取。然而，评估权力的影响远不止于此。它同样作用于权力的“软”维度，即对我们的思想、信念、话语以及我们共同构建的意义世界的塑造。本章，我们将深入这一文化与政治的核心地带，探讨数字时代的评估权力，是如何系统性地侵蚀乃至瓦解我们这个时代最重要的民主基础设施——公共领域。</w:t>
      </w:r>
    </w:p>
    <w:p w14:paraId="2358BD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365A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“公共领域”这一概念，由德国哲学家尤尔根·哈贝马斯（Jürgen Habermas）在其里程碑式的著作《公共领域的结构转型》中发扬光大。它指的是一个介于国家与私人领域之间的、由公民自由结社、平等参与、并通过理性交往来形成公共舆论的社会空间。一个健康、充满活力的公共领域，被认为是现代民主政治得以有效运作的基石。它如同社会的“大脑”与“神经系统”，负责处理信息、形成判断、并最终将“民意”转化为对国家权力的合法监督与引导。</w:t>
      </w:r>
    </w:p>
    <w:p w14:paraId="2E4A0F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AF2A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20世纪末21世纪初，互联网的兴起曾一度被誉为是“公共领域”的伟大复兴。人们乐观地相信，这个全新的、去中心化的、低门槛的沟通平台，将打破传统大众媒体对信息的垄断，让每一个普通公民都能成为信息的发布者和公共讨论的参与者，从而催生出一个前所未有的、全球规模的“数字雅典”。</w:t>
      </w:r>
    </w:p>
    <w:p w14:paraId="1CD80D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C740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二十多年后的今天，当我们回望这片曾经被寄予厚望的数字大陆时，看到的却是一幅截然不同的、甚至令人忧虑的景象。网络空间非但没有成为理性对话的殿堂，反而日益被虚假信息、极端言论、网络暴力和深刻的阵营化对立所充斥。社会共识的形成变得异常艰难，政治极化愈演愈烈，我们似乎正集体陷入一个无法有效沟通、甚至连基本事实都难以达成一致的“后真相”时代。</w:t>
      </w:r>
    </w:p>
    <w:p w14:paraId="343199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A05B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之间究竟发生了什么？本章的核心论点是：数字时代公共领域的瓦解，其根本原因在于，以社交媒体为代表的平台，将其商业化的、以“参与度”为核心的评估逻辑，强加于公共话语之上，从而系统性地污染了话语的“语境”，极化了话语的“语义”，最终摧毁了理性共识得以形成的交往基础。</w:t>
      </w:r>
    </w:p>
    <w:p w14:paraId="0B1763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765C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论证这一观点，本章将分为四个部分。首先，我们将回到哈贝马斯的交往理性理论，将其作为我们批判的起点和参照系，分析其在数字化时代所面临的深刻困境。其次，我们将提出“语境污染”的概念，分析平台的信息流机制如何通过制造信息过载和“去语境化”呈现，来系统性地削弱公民的深度阅读与批判性判断能力。再次，我们将提出“语义极化”的概念，分析平台的“点赞”、“转发”等社交评估机制，如何通过激励情绪化的、身份认同驱动的表达，来瓦解公共话语的共同意义基础。最后，我们将总结，当语境被污染、语义被极化时，社会将如何进入一个“观察分歧”无法被有效整合的“后真相”时代，从而对民主政治的未来构成根本性的挑战。</w:t>
      </w:r>
    </w:p>
    <w:p w14:paraId="52760160">
      <w:pPr>
        <w:pStyle w:val="5"/>
        <w:bidi w:val="0"/>
        <w:rPr>
          <w:rFonts w:hint="eastAsia" w:ascii="宋体" w:hAnsi="宋体" w:eastAsia="宋体" w:cs="宋体"/>
          <w:sz w:val="24"/>
          <w:lang w:val="en-US" w:eastAsia="zh-CN"/>
        </w:rPr>
      </w:pPr>
      <w:r>
        <w:rPr>
          <w:rFonts w:hint="eastAsia" w:ascii="宋体" w:hAnsi="宋体" w:eastAsia="宋体" w:cs="宋体"/>
          <w:lang w:val="en-US" w:eastAsia="zh-CN"/>
        </w:rPr>
        <w:t>哈贝马斯交往理性的数字化困境</w:t>
      </w:r>
    </w:p>
    <w:p w14:paraId="24D45D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理解数字时代公共领域的病理，我们必须首先回到哈贝马斯的诊断。对于哈贝马斯而言，一个理想的公共领域，其核心在于一种独特的沟通模式——“交往行动”。正如我们在第二章所提及的，交往行动的目标，并非像“策略行动”那样追求个人利益的最大化，而是通过理性的、无强制的对话，来达成主体间的“相互理解”。</w:t>
      </w:r>
    </w:p>
    <w:p w14:paraId="64D8CF7F">
      <w:pPr>
        <w:pStyle w:val="6"/>
        <w:bidi w:val="0"/>
        <w:rPr>
          <w:rFonts w:hint="eastAsia" w:ascii="宋体" w:hAnsi="宋体" w:eastAsia="宋体" w:cs="宋体"/>
          <w:sz w:val="24"/>
          <w:lang w:val="en-US" w:eastAsia="zh-CN"/>
        </w:rPr>
      </w:pPr>
      <w:r>
        <w:rPr>
          <w:rFonts w:hint="eastAsia"/>
          <w:lang w:val="en-US" w:eastAsia="zh-CN"/>
        </w:rPr>
        <w:t>交往理性的理想图景</w:t>
      </w:r>
    </w:p>
    <w:p w14:paraId="797748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哈贝马斯认为，一场成功的交往行动，必须满足一系列苛刻的“理想言谈情境”的前提条件：</w:t>
      </w:r>
    </w:p>
    <w:p w14:paraId="6974EB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参与的开放性：任何有能力言谈和行动的主体，都有权利参与到公共讨论之中。</w:t>
      </w:r>
    </w:p>
    <w:p w14:paraId="1B9294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地位的平等性：参与者之间不存在权力上的不平等，对话不受任何形式的内部或外部强制所支配。唯一的“强制力”，来自于“更佳论证的说服力”。</w:t>
      </w:r>
    </w:p>
    <w:p w14:paraId="7987FD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表达的真诚性：参与者必须真诚地表达自己的真实意图和信念，而非进行策略性的欺骗或操纵。</w:t>
      </w:r>
    </w:p>
    <w:p w14:paraId="096F4A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论证的理性：参与者提出的每一个“有效性宣称”——无论是关于事实的真理性、规范的正当性，还是表达的真诚性——都必须向他人的批判性检验开放，并准备好为其提供理性的辩护。</w:t>
      </w:r>
    </w:p>
    <w:p w14:paraId="5B2EC8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7ACA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哈贝马斯看来，正是通过这样一种近乎“净化”了的理性对话，纷繁复杂的个人意见，才有可能被淬炼为具有普遍性约束力的“公共舆论”。这种舆论，是民主合法性的最终来源。它代表了社会通过自我反思所达成的理性共识，并以此为基础，对国家和市场的权力进行监督与制衡。</w:t>
      </w:r>
    </w:p>
    <w:p w14:paraId="6FCB52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434A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哈贝马斯的理论，无疑为我们提供了一个强大而高尚的规范性理想。然而，他也清醒地认识到，在现实世界中，公共领域始终受到来自两方面的系统性扭曲：一是国家权力的干预（审查与宣传），二是市场权力的入侵（商业化与公关化）。在20世纪，大众媒体（报纸、广播、电视）虽然在一定程度上构成了公共领域，但其日益商业化的运作模式，使得公共讨论越来越多地被广告逻辑和娱乐逻辑所主导，公民从积极的讨论参与者，退化为被动的文化消费者。</w:t>
      </w:r>
    </w:p>
    <w:p w14:paraId="21E5AC53">
      <w:pPr>
        <w:pStyle w:val="6"/>
        <w:bidi w:val="0"/>
        <w:rPr>
          <w:rFonts w:hint="eastAsia" w:ascii="宋体" w:hAnsi="宋体" w:eastAsia="宋体" w:cs="宋体"/>
          <w:sz w:val="24"/>
          <w:lang w:val="en-US" w:eastAsia="zh-CN"/>
        </w:rPr>
      </w:pPr>
      <w:r>
        <w:rPr>
          <w:rFonts w:hint="eastAsia"/>
          <w:lang w:val="en-US" w:eastAsia="zh-CN"/>
        </w:rPr>
        <w:t>数字化带来的希望及其幻灭</w:t>
      </w:r>
    </w:p>
    <w:p w14:paraId="727E71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互联网的早期发展，似乎为克服这些扭曲提供了历史性的机遇。</w:t>
      </w:r>
    </w:p>
    <w:p w14:paraId="723062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9257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抗国家权力：去中心化的网络结构，使得自上而下的信息审查变得更加困难。公民记者、独立博客和社交媒体的兴起，打破了国家对信息发布的垄断，为揭露权力滥用、组织社会运动（如“阿拉伯之春”的早期阶段）提供了强大的工具。</w:t>
      </w:r>
    </w:p>
    <w:p w14:paraId="5E2338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EDFA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抗市场权力：互联网极大地降低了信息生产与传播的成本，使得非商业的、由公民自发组织的公共讨论成为可能。论坛（BBS）、维基百科、开源社区等，似乎都预示着一个不被商业逻辑所主导的、新的交往空间正在形成。</w:t>
      </w:r>
    </w:p>
    <w:p w14:paraId="4B9D79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CAC0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这正是早期网络乌托邦主义者所欢呼的“数字公共领域”。它看起来比任何历史上的公共领域，都更接近哈贝马斯所设定的“理想言谈情境”：参与的门槛极低，理论上人人平等，信息可以自由流动。</w:t>
      </w:r>
    </w:p>
    <w:p w14:paraId="42847C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AE4C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种乐观主义的窗口期是短暂的。随着21世纪第一个十年过去，互联网的权力格局发生了根本性的变化。以Facebook、Twitter、YouTube、Google等为代表的商业平台，凭借其网络效应和数据优势，迅速击败了那些小规模的、去中心化的竞争对手，成为了数字空间中新的“基础设施”和“守门人”。</w:t>
      </w:r>
    </w:p>
    <w:p w14:paraId="34246F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90C9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平台的转向”，使得哈贝马斯所担心的“市场权力的入侵”，以一种前所未有的、更为精巧和深刻的方式，卷土重来。平台资本主义，将一套全新的、以数据驱动和“参与度”最大化为目标的评估逻辑，注入到数字公共领域的底层架构之中。这套逻辑，与哈贝马斯的交往理性，在几乎每一个层面都是背道而驰的。</w:t>
      </w:r>
    </w:p>
    <w:p w14:paraId="6A3B66AB">
      <w:pPr>
        <w:pStyle w:val="6"/>
        <w:bidi w:val="0"/>
        <w:rPr>
          <w:rFonts w:hint="eastAsia" w:ascii="宋体" w:hAnsi="宋体" w:eastAsia="宋体" w:cs="宋体"/>
          <w:sz w:val="24"/>
          <w:lang w:val="en-US" w:eastAsia="zh-CN"/>
        </w:rPr>
      </w:pPr>
      <w:r>
        <w:rPr>
          <w:rFonts w:hint="eastAsia"/>
          <w:lang w:val="en-US" w:eastAsia="zh-CN"/>
        </w:rPr>
        <w:t>平台逻辑 vs. 交往理性：一场根本性的冲突</w:t>
      </w:r>
    </w:p>
    <w:p w14:paraId="216459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让我们来对比一下平台所构建的话语空间，与哈贝马斯的理想言谈情境之间的根本性冲突：</w:t>
      </w:r>
    </w:p>
    <w:p w14:paraId="418916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1778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理性论证 vs. 情感参与：交往理性的核心是“更佳论证的说服力”。而平台评估体系的核心，是“最大化用户的参与度”。“参与度”是一个技术性的、行为主义的概念，它衡量的是用户的点击、点赞、评论、转发等可被量化的行为。算法发现，最能激发用户“参与”的，往往不是那些严谨、理性、细致的论证，而是那些能够触动我们最原始情感（如愤怒、恐惧、惊奇、归属感）的、极端的、耸人听闻的、充满身份认同色彩的内容。因此，平台的算法评估机制，在结构上就倾向于奖励“情感动员”，而惩罚“理性审议”。</w:t>
      </w:r>
    </w:p>
    <w:p w14:paraId="645C09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3D15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平等对话 vs. 注意力经济：理想言谈情境要求参与者地位平等。而在平台所构建的“注意力经济”中，参与者之间存在着巨大的、由算法所决定的不平等。少数拥有大量粉丝的“意见领袖”（KOLs）或“网红”，占据了话语场中最核心的位置，他们的声音被不成比例地放大。而大多数普通用户的声音，则被淹没在信息的洪流之中。一个言论的“价值”，不再取决于其内在的论证质量，而取决于其发布者的“影响力”以及其在算法推荐系统中的“可见性”。</w:t>
      </w:r>
    </w:p>
    <w:p w14:paraId="439DE8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C735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追求共识 vs. 制造分裂：交往行动的目标是达成相互理解与共识。而平台的商业模式，在很多时候，却依赖于“制造分裂”来获利。通过精准的用户画像，平台可以将用户细分为无数个“兴趣阵营”或“身份认同社群”。向这些社群推送能够强化其既有信念、并激发其对“他者”敌意的内容，是提升用户粘性和参与度的最有效手段。一个团结、和谐、达成共识的社会，对于一个依赖于持续的、激情的“参与”来售卖广告的平台而言，可能是一个商业上的“灾难”。</w:t>
      </w:r>
    </w:p>
    <w:p w14:paraId="14E045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9BCC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真诚性 vs. 表演性：理想言谈情境要求表达的真诚性。而在社交媒体上，我们的每一次言说，都处在一个被量化评估（点赞数、转发数）的“舞台”之上。这不可避免地激励了一种“表演性”的话语姿态。我们发言，可能不再仅仅是为了表达真实的观点，更是为了塑造一个理想的“人设”，以期在社交评估的市场上，获得更高的“分数”。</w:t>
      </w:r>
    </w:p>
    <w:p w14:paraId="477EF0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F8BD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平台逻辑与交往理性之间的根本性冲突，正是数字时代公共领域危机的根源所在。平台，这个我们这个时代最主要的公共话语空间，其底层架构在设计上就与理性共识的形成背道而驰。它并非一个中立的“市民广场”，而是一个被商业评估逻辑所深度塑造的、旨在捕获和售卖用户注意力的“行为主义赌场”。</w:t>
      </w:r>
    </w:p>
    <w:p w14:paraId="5381C3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2B1D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为了更具体地理解这场危机，我们需要深入剖析平台评估逻辑所导致的两种系统性的、具有腐蚀性的后果：“语境污染”和“语义极化”。</w:t>
      </w:r>
    </w:p>
    <w:p w14:paraId="0444C1BC">
      <w:pPr>
        <w:pStyle w:val="5"/>
        <w:bidi w:val="0"/>
        <w:rPr>
          <w:rFonts w:hint="eastAsia" w:ascii="宋体" w:hAnsi="宋体" w:eastAsia="宋体" w:cs="宋体"/>
          <w:lang w:val="en-US" w:eastAsia="zh-CN"/>
        </w:rPr>
      </w:pPr>
      <w:r>
        <w:rPr>
          <w:rFonts w:hint="eastAsia" w:ascii="宋体" w:hAnsi="宋体" w:eastAsia="宋体" w:cs="宋体"/>
          <w:lang w:val="en-US" w:eastAsia="zh-CN"/>
        </w:rPr>
        <w:t>“语境污染”：信息过载如何削弱判断能力</w:t>
      </w:r>
    </w:p>
    <w:p w14:paraId="360477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任何有意义的沟通中，“语境”都至关重要。语境是围绕着一条信息的所有背景知识、情境线索和意义框架。它告诉我们这条信息的来源、意图、历史背景以及我们应该如何去理解和评估它。一个脱离了语境的句子，就像一幅被从画框中撕下的碎片，其意义会变得模糊、甚至被完全扭曲。例如，“开火！”这个指令，在军队训练的语境下、在电影拍摄的语境下、以及在真实战场的语境下，其意义是截然不同的。</w:t>
      </w:r>
    </w:p>
    <w:p w14:paraId="26BECC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7479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本节提出的核心概念是“语境污染”（Context Pollution）。我们认为，以社交媒体为代表的平台，其核心的信息组织与呈现方式——即“信息流”——通过制造信息过载和系统性的“去语境化”，严重污染了我们赖以进行判断和理解的话语环境，从而系统性地削弱了公民的深度阅读与批判性思维能力。</w:t>
      </w:r>
    </w:p>
    <w:p w14:paraId="659CAB08">
      <w:pPr>
        <w:pStyle w:val="6"/>
        <w:bidi w:val="0"/>
        <w:rPr>
          <w:rFonts w:hint="eastAsia" w:ascii="宋体" w:hAnsi="宋体" w:eastAsia="宋体" w:cs="宋体"/>
          <w:sz w:val="24"/>
          <w:lang w:val="en-US" w:eastAsia="zh-CN"/>
        </w:rPr>
      </w:pPr>
      <w:r>
        <w:rPr>
          <w:rFonts w:hint="eastAsia"/>
          <w:lang w:val="en-US" w:eastAsia="zh-CN"/>
        </w:rPr>
        <w:t>信息流的诞生：一种全新的信息消费范式</w:t>
      </w:r>
    </w:p>
    <w:p w14:paraId="407FCB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平台时代之前，我们消费信息的方式，在很大程度上是“结构化”和“有边界”的。我们阅读一本书、一份报纸或一本杂志。这些信息载体，本身就提供了一个强大的语境框架。报纸的版面设计（头版、社论、国际版）、书籍的章节结构、杂志的专题策划，都在引导我们理解不同信息之间的关系、重要性以及它们的来源（这份报纸的政治立场、这位作者的学术背景）。我们对信息的消费，是一种相对主动的、有始有终的、沉浸式的体验。</w:t>
      </w:r>
    </w:p>
    <w:p w14:paraId="7E605E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C268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社交媒体平台，特别是Facebook在2006年开创性的“信息流”，彻底颠覆了这种范式。信息流将来自我们所有社交关系（朋友、家人、关注的名人）、所有订阅来源（新闻机构、兴趣小组）以及平台推送的广告和推荐内容，全部打碎，然后按照一种我们无从知晓的、由算法所决定的“相关性”顺序，重新编织成一个无限滚动的、永不终结的、高度个人化的信息序列。</w:t>
      </w:r>
    </w:p>
    <w:p w14:paraId="4429B4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6C8A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这种信息流的呈现方式，看似是一种高效的信息聚合，实则是一场深刻的“语境解构”运动。</w:t>
      </w:r>
    </w:p>
    <w:p w14:paraId="6B85DC9E">
      <w:pPr>
        <w:pStyle w:val="6"/>
        <w:bidi w:val="0"/>
        <w:rPr>
          <w:rFonts w:hint="eastAsia" w:ascii="宋体" w:hAnsi="宋体" w:eastAsia="宋体" w:cs="宋体"/>
          <w:sz w:val="24"/>
          <w:lang w:val="en-US" w:eastAsia="zh-CN"/>
        </w:rPr>
      </w:pPr>
      <w:r>
        <w:rPr>
          <w:rFonts w:hint="eastAsia"/>
          <w:lang w:val="en-US" w:eastAsia="zh-CN"/>
        </w:rPr>
        <w:t>“去语境化”的三重机制</w:t>
      </w:r>
    </w:p>
    <w:p w14:paraId="00422A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信息流通过以下三种机制，系统性地剥离了信息的语境：</w:t>
      </w:r>
    </w:p>
    <w:p w14:paraId="479750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0E56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来源的扁平化：在信息流中，一条来自《纽约时报》的深度调查报道、一则你远房亲戚转发的健康谣言、一张朋友晒的午餐照片、一个耸人听闻的政治阴谋论视频，以及一则运动鞋的广告，在呈现格式上几乎是完全相同的。它们都被压缩为一个个大小相近的“信息卡片”，并肩排列在一起。这种呈现方式，极大地削弱了我们判断信息来源权威性的能力。传统的、帮助我们评估信息可靠性的“守门人”信号（如报纸的刊头、出版社的品牌）被抹平了。所有信息源，在一个看似“民主”的平面上，展开了对我们注意力的无差别竞争。</w:t>
      </w:r>
    </w:p>
    <w:p w14:paraId="3537DE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BF33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内容的碎片化：为了适应移动端快速滚动的消费习惯，信息流中的内容日益趋向于碎片化、视觉化和简短化。深度文章被简化为一两句引人注目的标题，复杂的论证被压缩为一张易于传播的“梗图”（meme），严谨的数据被替换为一段充满情绪的短视频。这种碎片化的呈现，使得对任何议题进行深入、细致、需要持续专注的探讨，都变得异常困难。我们习惯于在几秒钟内对一个复杂问题形成一个“印象”，然后迅速划向下一个刺激点，而不再有耐心和能力去阅读那些构成完整论证的、充满细节和细微差别的长篇文本。</w:t>
      </w:r>
    </w:p>
    <w:p w14:paraId="3B077A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EE1D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时间的崩溃：信息流的排序，主要依据算法评估的“相关性”或“热门度”，而非严格的时间顺序。这导致了一种“时间的崩溃”。一条几年前的旧闻，可能因为某个突发事件而被重新激活，并与最新的新闻混杂在一起，让不明真相的用户误以为是刚刚发生的事情。同时，信息流的“当下中心主义”使得所有议题的生命周期都变得极短。一个今天引爆舆论的热点，明天就可能被新的热点所取代，被彻底遗忘。这种持续的、被算法所驱动的“议程切换”，使得对任何问题进行持续的、有记忆的公共积累和反思，都成为几乎不可能的任务。</w:t>
      </w:r>
    </w:p>
    <w:p w14:paraId="5ACE8F33">
      <w:pPr>
        <w:pStyle w:val="6"/>
        <w:bidi w:val="0"/>
        <w:rPr>
          <w:rFonts w:hint="eastAsia" w:ascii="宋体" w:hAnsi="宋体" w:eastAsia="宋体" w:cs="宋体"/>
          <w:sz w:val="24"/>
          <w:lang w:val="en-US" w:eastAsia="zh-CN"/>
        </w:rPr>
      </w:pPr>
      <w:r>
        <w:rPr>
          <w:rFonts w:hint="eastAsia"/>
          <w:lang w:val="en-US" w:eastAsia="zh-CN"/>
        </w:rPr>
        <w:t>信息过载与认知资源的耗竭</w:t>
      </w:r>
    </w:p>
    <w:p w14:paraId="6C1895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语境化”的直接后果，是信息过载。我们的大脑，在数百万年的进化中，早已习惯于处理一个信息相对稀缺、语境相对丰富的环境。而信息流，则将我们抛入了一个信息极度过剩、而语境极度稀缺的全新环境。</w:t>
      </w:r>
    </w:p>
    <w:p w14:paraId="302A1E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0BDA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认知心理学告诉我们，人类的注意力是一种有限的、宝贵的认知资源。面对信息流的狂轰滥炸，我们的大脑被迫采取一种“认知捷径”或“启发式思维”来应对。</w:t>
      </w:r>
    </w:p>
    <w:p w14:paraId="0E6A5B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E32F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系统1思维的主导：诺贝尔奖得主丹尼尔·卡尼曼（Daniel Kahneman）将人类的思维分为两个系统：“系统1”是快速的、直觉的、情绪化的；“系统2”是缓慢的、审慎的、理性的。信息流的环境，天然地有利于“系统1”的主导。我们没有时间也没有认知资源去对每一条信息都启动“系统2”进行批判性分析，而只能依赖于直觉、情绪和既有偏见，来快速地做出“点赞”、“转发”或“划走”的决定。</w:t>
      </w:r>
    </w:p>
    <w:p w14:paraId="3FFC70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5B97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判断能力的“外包”：在信息过载的压力下，我们越来越倾向于将判断的责任，“外包”给我们所信任的社交节点（如意见领袖）或算法本身。我们不再问“这条信息本身是否可信？”，而更多地问“我关注的那个大V是否转发了它？”或者“这条信息的点赞数高不高？”。我们的批判性思维能力，在这个过程中被逐渐“闲置”乃至“废弃”。</w:t>
      </w:r>
    </w:p>
    <w:p w14:paraId="7AE6AA12">
      <w:pPr>
        <w:pStyle w:val="6"/>
        <w:bidi w:val="0"/>
        <w:rPr>
          <w:rFonts w:hint="eastAsia" w:ascii="宋体" w:hAnsi="宋体" w:eastAsia="宋体" w:cs="宋体"/>
          <w:sz w:val="24"/>
          <w:lang w:val="en-US" w:eastAsia="zh-CN"/>
        </w:rPr>
      </w:pPr>
      <w:r>
        <w:rPr>
          <w:rFonts w:hint="eastAsia"/>
          <w:lang w:val="en-US" w:eastAsia="zh-CN"/>
        </w:rPr>
        <w:t>“语境污染”的后果：判断力的侵蚀与“认知失调”</w:t>
      </w:r>
    </w:p>
    <w:p w14:paraId="5AF734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当我们的信息环境被系统性地“去语境化”，当我们的大脑长期处在信息过载和“系统1”主导的状态下，其最终的后果，就是一场深刻的“语境污染”。</w:t>
      </w:r>
    </w:p>
    <w:p w14:paraId="7D31BC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E5CB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污染”在这里是一个恰当的比喻。就像生活在被重金属污染的水源附近，居民们可能不会立刻死去，但他们的身体健康会受到长期的、慢性的、系统性的损害。同样，长期沉浸在“语境污染”的信息环境中，公民的批判性判断能力会受到系统性的侵蚀。我们逐渐丧失了区分事实与观点、辨别信息来源、理解复杂因果关系、以及对一个问题进行整体性把握的能力。</w:t>
      </w:r>
    </w:p>
    <w:p w14:paraId="1701FB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A735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更进一步，这种污染还会导致一种普遍的“认知失调”与习得性无助。面对一个如此喧嚣、混乱、充满矛盾信息的世界，许多人会感到无所适从，最终选择放弃理解，退回到自己的“信息茧房”中寻求确定性，或者干脆对所有公共事务都抱以一种玩世不恭的犬儒主义态度。</w:t>
      </w:r>
    </w:p>
    <w:p w14:paraId="02FB65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4027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语境被摧毁，当深度思考的能力被削弱，公共领域赖以存在的基础——一个能够进行理性判断的公民群体——便开始动摇。而平台评估逻辑的另一只巨手——“语义极化”——则会在这个动摇的基础上，进一步摧毁我们赖以沟通的共同语言。</w:t>
      </w:r>
    </w:p>
    <w:p w14:paraId="7AC31D51">
      <w:pPr>
        <w:pStyle w:val="5"/>
        <w:bidi w:val="0"/>
        <w:rPr>
          <w:rFonts w:hint="eastAsia" w:ascii="宋体" w:hAnsi="宋体" w:eastAsia="宋体" w:cs="宋体"/>
          <w:lang w:val="en-US" w:eastAsia="zh-CN"/>
        </w:rPr>
      </w:pPr>
      <w:r>
        <w:rPr>
          <w:rFonts w:hint="eastAsia" w:ascii="宋体" w:hAnsi="宋体" w:eastAsia="宋体" w:cs="宋体"/>
          <w:lang w:val="en-US" w:eastAsia="zh-CN"/>
        </w:rPr>
        <w:t>“语义极化”：社交媒体如何通过情绪动员瓦解共识基础</w:t>
      </w:r>
    </w:p>
    <w:p w14:paraId="339D8C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如果说“语境污染”摧毁的是我们进行理性判断的“环境”，那么“语义极化”（Semantic Polarization）所攻击的，则是我们进行理性沟通的“工具”——语言本身。语言，特别是那些承载着核心政治与社会价值的“关键词”（如“自由”、“平等”、“公正”、“爱国”），是公共领域得以形成共识的基石。我们或许对这些词的具体内涵有不同理解，但我们至少共享着一个大致的、允许我们展开对话的意义范围。</w:t>
      </w:r>
    </w:p>
    <w:p w14:paraId="54E445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1B58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节的核心论点是：社交媒体平台以“参与度”为核心的评估机制，特别是“点赞”、“转发”等社交反馈功能，系统性地激励了一种基于身份认同和情绪动员的话语模式。这种模式，将公共话语中的核心关键词，从其复杂的、多义的共享意义空间中剥离出来，并将其改造为代表不同阵营身份、相互对立、不可调和的“战斗旗帜”。这一过程，我们称之为“语义极化”。</w:t>
      </w:r>
    </w:p>
    <w:p w14:paraId="1330077B">
      <w:pPr>
        <w:pStyle w:val="6"/>
        <w:bidi w:val="0"/>
        <w:rPr>
          <w:rFonts w:hint="eastAsia"/>
          <w:lang w:val="en-US" w:eastAsia="zh-CN"/>
        </w:rPr>
      </w:pPr>
      <w:r>
        <w:rPr>
          <w:rFonts w:hint="eastAsia"/>
          <w:lang w:val="en-US" w:eastAsia="zh-CN"/>
        </w:rPr>
        <w:t>社交媒体作为“身份认同的战场”</w:t>
      </w:r>
    </w:p>
    <w:p w14:paraId="398B8F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在哈贝马斯的理想公共领域中，参与者被期望暂时搁置其私人身份，作为一个普遍的“公民”来进行对话。然而，社交媒体的底层逻辑，却是身份认同的展演与强化。</w:t>
      </w:r>
    </w:p>
    <w:p w14:paraId="14B5D6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B3CA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个人主页的构建：从你选择的头像、昵称，到你的个人简介、关注列表，社交媒体的一切设计，都在鼓励你构建和展演一个独特的“在线身份”。</w:t>
      </w:r>
    </w:p>
    <w:p w14:paraId="186EBF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D082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注”与“拉黑”：社交媒体的关注机制，使得我们可以轻易地构建一个由与我们观点相似、身份认同相近的人组成的“同温层”。同时，“拉黑”或“取关”功能，也使得我们可以轻易地将异见者从我们的世界中驱逐出去。</w:t>
      </w:r>
    </w:p>
    <w:p w14:paraId="314440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1132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标签与社群：“#”标签的发明，使得基于特定议题或身份认同的“阵营化”集结变得异常容易。无论是“#BlackLivesMatter”还是“#MAGA”，标签都成为了动员和识别“我们”与“他们”的强大工具。</w:t>
      </w:r>
    </w:p>
    <w:p w14:paraId="6A75B5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3381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在这种设计下，社交媒体天然地成为了一个“身份认同的战场”。我们发言，不仅是为了表达一个观点，更是在宣示“我是谁”、“我属于哪个阵营”。</w:t>
      </w:r>
    </w:p>
    <w:p w14:paraId="623B2462">
      <w:pPr>
        <w:pStyle w:val="6"/>
        <w:bidi w:val="0"/>
        <w:rPr>
          <w:rFonts w:hint="eastAsia" w:ascii="宋体" w:hAnsi="宋体" w:eastAsia="宋体" w:cs="宋体"/>
          <w:sz w:val="24"/>
          <w:lang w:val="en-US" w:eastAsia="zh-CN"/>
        </w:rPr>
      </w:pPr>
      <w:r>
        <w:rPr>
          <w:rFonts w:hint="eastAsia"/>
          <w:lang w:val="en-US" w:eastAsia="zh-CN"/>
        </w:rPr>
        <w:t>“参与度”评估下的情绪放大机制</w:t>
      </w:r>
    </w:p>
    <w:p w14:paraId="56C1FB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在这个战场上，最能有效动员“战友”、打击“敌人”的武器，不是审慎的理性和复杂的论证，而是强烈的情绪。而平台的算法评估机制，则成为了这台情绪放大机的核心引擎。</w:t>
      </w:r>
    </w:p>
    <w:p w14:paraId="067A95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E5F4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点赞”作为情绪的晴雨表：“点赞”按钮，这个看似无害的设计，是社交媒体最核心的评估机制。它将复杂的、多维度的认同，简化为一个二元的、即时的“赞/不赞”的判断。而算法发现，最能获得大量“点赞”的，往往是那些能够引发强烈共鸣或强烈愤慨的、情绪饱满的内容。一个理性的、中立的、四平八稳的分析，很难获得高赞。</w:t>
      </w:r>
    </w:p>
    <w:p w14:paraId="1DF7B7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BC9F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转发”作为阵营的号角：“转发”功能，则更进一步。转发不仅是表达认同，更是一种“选边站队”的公开宣告，一种将信息武器化、用以攻击对手的行为。而算法会优先推荐那些被大量转发的内容，因为它意味着高“参与度”。这形成了一个恶性循环：越是极端的、越是能划分“敌我”的言论，越容易被病毒式传播；而它越是被传播，我们的信息流就越被这种极化的内容所占据。</w:t>
      </w:r>
    </w:p>
    <w:p w14:paraId="32AFC0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EA2F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愤怒的算法红利：多项研究表明，在所有情绪中，愤怒是最具传播力的。一条引发愤怒的内容，比一条引发喜悦的内容，更容易获得转发和评论。因为愤怒是一种高度动员性的情绪，它促使我们行动起来，去“纠正”我们认为错误的事情，去“惩罚”我们所憎恨的敌人。平台的算法，在无意（或者是有意）之中，发现了这个人类心理的“秘密”，并将其商业化。它通过优先推荐那些能引发“义愤”的内容，来最大化用户的在线时长和互动频率，从而获得最大的广告收益。</w:t>
      </w:r>
    </w:p>
    <w:p w14:paraId="43640C74">
      <w:pPr>
        <w:pStyle w:val="6"/>
        <w:bidi w:val="0"/>
        <w:rPr>
          <w:rFonts w:hint="eastAsia" w:ascii="宋体" w:hAnsi="宋体" w:eastAsia="宋体" w:cs="宋体"/>
          <w:sz w:val="24"/>
          <w:lang w:val="en-US" w:eastAsia="zh-CN"/>
        </w:rPr>
      </w:pPr>
      <w:r>
        <w:rPr>
          <w:rFonts w:hint="eastAsia"/>
          <w:lang w:val="en-US" w:eastAsia="zh-CN"/>
        </w:rPr>
        <w:t>关键词的“阵营化”与意义的真空化</w:t>
      </w:r>
    </w:p>
    <w:p w14:paraId="30F317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话语空间被身份认同的战争和愤怒的情绪所主导时，我们赖以沟通的共同语言，便开始崩塌。那些原本承载着复杂历史与哲学内涵的核心关键词，被掏空了其共享的、多义的内核，并被重新注入了单一的、极化的、服务于阵营战争的战斗意义。</w:t>
      </w:r>
    </w:p>
    <w:p w14:paraId="23AACD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98FA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以“自由”为例：在传统的政治哲学讨论中，“自由”是一个内涵极其丰富的概念，它包含了消极自由（免于干涉的自由）与积极自由（实现自我潜能的自由）、个人自由与集体自由等多个维度，不同派别可以围绕其展开复杂的辩证讨论。然而，在社交媒体的极化语境下，“自由”这个词，对于一方来说，可能被简化为“持枪的自由”或“不戴口罩的自由”，并成为攻击“政府暴政”的旗帜；而对于另一方来说，它可能被等同于“放纵”或“自私”，并成为攻击“个人主义”的靶子。双方使用的虽然是同一个词，但其背后的意义系统已经完全不同，对话的基础不复存在。</w:t>
      </w:r>
    </w:p>
    <w:p w14:paraId="73D563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F417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以“爱国”为例：“爱国”同样是一个复杂的概念。但在极化的舆论场中，它可能被一方定义为对现有体制和领袖的无条件支持，任何形式的批评都会被视为“不爱国”甚至“叛国”；而另一方则可能将“爱国”定义为对国家问题的批判性反思，并将前一种观点视为“愚昧”或“盲从”。“爱国”不再是一个可以团结不同派别的共享价值，而变成了一个用来识别“真假爱国者”、进行政治清洗的“照妖镜”。</w:t>
      </w:r>
    </w:p>
    <w:p w14:paraId="24EF49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DDC3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过程，我们称之为关键词的“阵营化”。每个阵营都将共享的关键词据为己有，并对其进行符合自身利益和身份认同的、单一化的“再编码”。当所有核心词汇都被不同阵营“私有化”之后，公共话语的“共同体”便不复存在。我们看似在使用同一种语言，实则生活在无数个相互隔绝、无法互译的“语义孤岛”之上。</w:t>
      </w:r>
    </w:p>
    <w:p w14:paraId="19135A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63DB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语义极化”的最终后果，是意义的真空化。当一个词可以被任意地解释、被用作攻击任何人的武器时，它最终会丧失其所有的确定意义，变成一个空洞的能指。公共讨论，不再是围绕共享意义的协商，而变成了一场“词语的战争”——其目的不是为了说服，而是为了通过给对手贴上负面标签（如“白左”、“小粉红”、“法西斯”），来在道德上和身份上摧毁对方。</w:t>
      </w:r>
    </w:p>
    <w:p w14:paraId="6550F0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180C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当语境被污染，我们丧失了判断的能力；当语义被极化，我们丧失了沟通的语言。在这样的双重危机之下，一个健康的公共领域已无可能存在。我们最终抵达的，将是一个连“真相”本身都成为问题的时代。</w:t>
      </w:r>
    </w:p>
    <w:p w14:paraId="5030AA37">
      <w:pPr>
        <w:pStyle w:val="5"/>
        <w:bidi w:val="0"/>
        <w:rPr>
          <w:rFonts w:hint="eastAsia" w:ascii="宋体" w:hAnsi="宋体" w:eastAsia="宋体" w:cs="宋体"/>
          <w:sz w:val="24"/>
          <w:lang w:val="en-US" w:eastAsia="zh-CN"/>
        </w:rPr>
      </w:pPr>
      <w:r>
        <w:rPr>
          <w:rFonts w:hint="eastAsia" w:ascii="宋体" w:hAnsi="宋体" w:eastAsia="宋体" w:cs="宋体"/>
          <w:lang w:val="en-US" w:eastAsia="zh-CN"/>
        </w:rPr>
        <w:t>“后真相”时代的来临：当“观察分歧”无法被有效整合</w:t>
      </w:r>
    </w:p>
    <w:p w14:paraId="1E2AC8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后真相”被《牛津词典》选为2016年的年度词汇。它被定义为“诉诸情感及个人信念，较陈述客观事实更能影响舆论的情况”。“后真相”时代的来临，是本章所描述的“语境污染”与“语义极化”的必然归宿，也是我们全书理论框架中“观察分歧”概念的最终体现。</w:t>
      </w:r>
    </w:p>
    <w:p w14:paraId="1784D2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4CA2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在第一章的本体论探讨中，我们曾提出，社会实在是“可能性基底”在集体“观察”下的收敛。一个健康的社会，拥有能够有效整合不同“观察分歧”（divergent observations）的机制（如科学、法律、新闻、公共审议），从而形成一个相对稳定、被大多数成员所共享的“客观实在”。然而，当这些整合机制本身被腐蚀和瓦解时，社会便会陷入一种深刻的“现实危机”。</w:t>
      </w:r>
    </w:p>
    <w:p w14:paraId="7644FF91">
      <w:pPr>
        <w:pStyle w:val="6"/>
        <w:bidi w:val="0"/>
        <w:rPr>
          <w:rFonts w:hint="eastAsia" w:ascii="宋体" w:hAnsi="宋体" w:eastAsia="宋体" w:cs="宋体"/>
          <w:sz w:val="24"/>
          <w:lang w:val="en-US" w:eastAsia="zh-CN"/>
        </w:rPr>
      </w:pPr>
      <w:r>
        <w:rPr>
          <w:rFonts w:hint="eastAsia"/>
          <w:lang w:val="en-US" w:eastAsia="zh-CN"/>
        </w:rPr>
        <w:t>“事实”的阵营化与“另类事实”的崛起</w:t>
      </w:r>
    </w:p>
    <w:p w14:paraId="4570ED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在“后真相”时代，最令人忧虑的，并非是谎言的增多，而是“事实”本身地位的崩塌。</w:t>
      </w:r>
    </w:p>
    <w:p w14:paraId="6E5DB5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DA69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观点的分歧”到“事实的分歧”：传统的政治辩论，大多是基于对同一组公认事实的、不同价值观的解读。例如，我们可以都承认失业率是5%，然后一方主张应该通过减税来刺激经济，另一方主张应该通过增加政府支出来创造就业。然而，在“后真相”时代，辩论的起点就发生了分裂。一方会坚称失业率是5%，而另一方则会援引来自某个“另类新闻网站”的数据，坚称真实的失业率是15%，而官方数据是“深层政府”的阴谋。</w:t>
      </w:r>
    </w:p>
    <w:p w14:paraId="03FE17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F5B7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“我的事实” vs. “你的事实”：事实，不再被看作是需要通过客观验证来确立的、对所有人都有效的公共基准，而被视为一种可以根据个人信念和阵营归属来“选择”的消费品。气候变化是真实的还是骗局？疫苗是安全的还是有害的？选举是公正的还是被窃取的？对这些问题的回答，越来越多地取决于你属于哪个“阵营”，而非你对证据的理性评估。</w:t>
      </w:r>
    </w:p>
    <w:p w14:paraId="0C5FC5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9ACF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流媒体与科学机构的权威扫地：那些传统上负责裁决“事实”的机构，如主流新闻媒体、大学、科研机构、政府统计部门，其权威性在“后真相”时代受到了前所未有的冲击。它们被系统性地描绘为带有偏见的、服务于特定利益集团的“建制派”，其发布的事实，也因此被贴上了“不可信”的标签。</w:t>
      </w:r>
    </w:p>
    <w:p w14:paraId="46ADED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BBFF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事实”本身都变得阵营化时，哈贝马斯所说的“更佳论证的说服力”便失去了其根本的锚点。因为任何论证，都必须从一些双方都接受的前提出发。如果连最基本的前提都无法达成共识，那么任何形式的理性对话都无从谈起。</w:t>
      </w:r>
    </w:p>
    <w:p w14:paraId="75175B93">
      <w:pPr>
        <w:pStyle w:val="6"/>
        <w:bidi w:val="0"/>
        <w:rPr>
          <w:rFonts w:hint="eastAsia" w:ascii="宋体" w:hAnsi="宋体" w:eastAsia="宋体" w:cs="宋体"/>
          <w:sz w:val="24"/>
          <w:lang w:val="en-US" w:eastAsia="zh-CN"/>
        </w:rPr>
      </w:pPr>
      <w:r>
        <w:rPr>
          <w:rFonts w:hint="eastAsia"/>
          <w:lang w:val="en-US" w:eastAsia="zh-CN"/>
        </w:rPr>
        <w:t>“观察分歧”的恶性循环</w:t>
      </w:r>
    </w:p>
    <w:p w14:paraId="0A7B8C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平台的评估逻辑，为这种“事实”的阵营化，提供了一个完美的、自我强化的技术闭环。</w:t>
      </w:r>
    </w:p>
    <w:p w14:paraId="7EA9F3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4FCA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茧房的加固：算法会将你选择相信的“另类事实”，不断地推送给你，并为你推荐与你“志同道合”的信源和社群。你的“观察”，在一个封闭的循环中被不断地确证。</w:t>
      </w:r>
    </w:p>
    <w:p w14:paraId="1AD352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93AA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分歧的放大：同时，算法也会将对立阵营所相信的“事实”，以一种充满敌意和嘲讽的方式，呈现给你，从而加深你对“他者”的鄙视与不信任。</w:t>
      </w:r>
    </w:p>
    <w:p w14:paraId="79EC15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3ED8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整合机制的失效：平台本身，作为一个以“参与度”为导向的商业系统，没有任何内在的动力去扮演一个“事实整合者”的角色。恰恰相反，维持和激化“观察分歧”，对它而言才是有利可图的。一个充满争议和冲突的舆论场，比一个达成共识的舆论场，能产生更多的“参与度”。</w:t>
      </w:r>
    </w:p>
    <w:p w14:paraId="5A3D80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D272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恶性循环中，社会被撕裂为一个个相互隔绝、彼此敌视的“现实阵营”。每个阵营都生活在由自己的“事实”、自己的“专家”、自己的“媒体”所构成的、自给自足的认知宇宙之中。他们之间的“观察分歧”，不再是能够通过沟通来弥合的差异，而演变为一种近乎宗教战争式的、不可调和的文明冲突。</w:t>
      </w:r>
    </w:p>
    <w:p w14:paraId="182FC59E">
      <w:pPr>
        <w:pStyle w:val="6"/>
        <w:bidi w:val="0"/>
        <w:rPr>
          <w:rFonts w:hint="eastAsia" w:ascii="宋体" w:hAnsi="宋体" w:eastAsia="宋体" w:cs="宋体"/>
          <w:sz w:val="24"/>
          <w:lang w:val="en-US" w:eastAsia="zh-CN"/>
        </w:rPr>
      </w:pPr>
      <w:r>
        <w:rPr>
          <w:rFonts w:hint="eastAsia"/>
          <w:lang w:val="en-US" w:eastAsia="zh-CN"/>
        </w:rPr>
        <w:t>民主政治的生存危机</w:t>
      </w:r>
    </w:p>
    <w:p w14:paraId="16B221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这种“现实危机”，最终将直接转化为民主政治的生存危机。</w:t>
      </w:r>
    </w:p>
    <w:p w14:paraId="26F19B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67F2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问责制的失灵：民主政治的一个核心机制，是公民基于对政府行为的事实判断，来进行选举问责。但如果一半的选民生活在一个“另类事实”的世界里，他们如何能够对政治家进行有效的监督？当任何负面新闻都可以被轻易地斥为“假新闻”时，问责便无从谈起。</w:t>
      </w:r>
    </w:p>
    <w:p w14:paraId="4976FD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013F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集体行动的瘫痪：面对气候变化、全球疫情、经济危机等复杂的、需要全社会共同应对的挑战，一个连基本事实都无法达成共识的社会，将无法形成有效的集体行动。阵营间的相互猜忌和拆台，将使得任何需要信任与合作的长期政策都难以推行。</w:t>
      </w:r>
    </w:p>
    <w:p w14:paraId="659C3E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32B3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威权主义的诱惑：当公共领域被无休止的争吵和混乱所占据，当理性对话变得不可能时，人们会开始渴望秩序、稳定和强有力的领导人。一个能够“一锤定音”、用权力来终结所有争议的威权领袖，会变得极具诱惑力。对“真相”的厌倦，最终可能通向对“自由”的放弃。</w:t>
      </w:r>
    </w:p>
    <w:p w14:paraId="1908CE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4CAA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后真相”时代的来临，是数字平台评估逻辑侵蚀公共领域的最终恶果。它标志着一个社会的交往理性与现实整合能力的彻底破产。我们所面临的，不再仅仅是“假新闻”的技术性问题，而是一个关乎我们能否作为一个共享同一个现实、能够共同解决问题的政治共同体而继续存在的、深刻的文明性危机。</w:t>
      </w:r>
    </w:p>
    <w:p w14:paraId="341859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5F88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已经完成了对评估权力在国家治理、市场经济和公共领域这三大经验场域的系统性考察。我们看到，无论是“数据身体”的诞生、“强制自愿”的劳动，还是公共领域的瓦解，其背后都贯穿着一条共同的主线：一种源于商业平台的、以数据驱动和量化评估为核心的权力逻辑，正在全面地、系统性地重塑我们这个时代的社会结构、经济关系和政治文化。</w:t>
      </w:r>
    </w:p>
    <w:p w14:paraId="352026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2169C6">
      <w:pPr>
        <w:snapToGrid/>
        <w:spacing w:beforeAutospacing="0" w:afterAutospacing="0" w:line="288" w:lineRule="auto"/>
        <w:ind w:left="0" w:leftChars="0" w:right="0" w:rightChars="0" w:firstLine="482" w:firstLineChars="0"/>
        <w:jc w:val="both"/>
        <w:rPr>
          <w:rFonts w:hint="eastAsia" w:ascii="宋体" w:hAnsi="宋体" w:eastAsia="宋体" w:cs="宋体"/>
          <w:lang w:val="en-US" w:eastAsia="zh-CN"/>
        </w:rPr>
      </w:pPr>
      <w:r>
        <w:rPr>
          <w:rFonts w:hint="eastAsia" w:ascii="宋体" w:hAnsi="宋体" w:eastAsia="宋体" w:cs="宋体"/>
          <w:sz w:val="24"/>
          <w:lang w:val="en-US" w:eastAsia="zh-CN"/>
        </w:rPr>
        <w:t>在本书的最后一部分，我们将从批判转向反思与展望。面对这副日益收紧的、由算法和数据所锻造的“评估的枷锁”，我们是否还有挣脱的可能？个体、社群和社会，可以采取怎样的抵抗策略？我们又该如何去构想和建立一个更公正、更民主、更具人文关怀的评估未来？这便是第三部分将要探索的艰难而又充满希望的议题。</w:t>
      </w:r>
    </w:p>
    <w:p w14:paraId="275F643E">
      <w:pPr>
        <w:rPr>
          <w:rFonts w:hint="eastAsia" w:ascii="宋体" w:hAnsi="宋体" w:eastAsia="宋体" w:cs="宋体"/>
          <w:lang w:val="en-US" w:eastAsia="zh-CN"/>
        </w:rPr>
      </w:pPr>
      <w:r>
        <w:rPr>
          <w:rFonts w:hint="eastAsia" w:ascii="宋体" w:hAnsi="宋体" w:eastAsia="宋体" w:cs="宋体"/>
          <w:lang w:val="en-US" w:eastAsia="zh-CN"/>
        </w:rPr>
        <w:br w:type="page"/>
      </w:r>
    </w:p>
    <w:p w14:paraId="32488B90">
      <w:pPr>
        <w:pStyle w:val="3"/>
        <w:bidi w:val="0"/>
        <w:rPr>
          <w:rFonts w:hint="eastAsia" w:ascii="宋体" w:hAnsi="宋体" w:eastAsia="宋体" w:cs="宋体"/>
          <w:lang w:val="en-US" w:eastAsia="zh-CN"/>
        </w:rPr>
      </w:pPr>
      <w:bookmarkStart w:id="17" w:name="_Toc1426601670"/>
      <w:r>
        <w:rPr>
          <w:rFonts w:hint="eastAsia" w:ascii="宋体" w:hAnsi="宋体" w:eastAsia="宋体" w:cs="宋体"/>
          <w:lang w:val="en-US" w:eastAsia="zh-CN"/>
        </w:rPr>
        <w:t>第三部分：抵抗与未来——夺回评估权的可能性</w:t>
      </w:r>
      <w:bookmarkEnd w:id="17"/>
    </w:p>
    <w:p w14:paraId="44025EC7">
      <w:pPr>
        <w:pStyle w:val="4"/>
        <w:bidi w:val="0"/>
        <w:rPr>
          <w:rFonts w:hint="eastAsia" w:ascii="宋体" w:hAnsi="宋体" w:eastAsia="宋体" w:cs="宋体"/>
          <w:lang w:val="en-US" w:eastAsia="zh-CN"/>
        </w:rPr>
      </w:pPr>
      <w:bookmarkStart w:id="18" w:name="_Toc239348935"/>
      <w:r>
        <w:rPr>
          <w:rFonts w:hint="eastAsia" w:ascii="宋体" w:hAnsi="宋体" w:eastAsia="宋体" w:cs="宋体"/>
          <w:lang w:val="en-US" w:eastAsia="zh-CN"/>
        </w:rPr>
        <w:t>第六章：微观抵抗的策略：“边缘体系”的建立</w:t>
      </w:r>
      <w:bookmarkEnd w:id="18"/>
    </w:p>
    <w:p w14:paraId="00B849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“在高墙与鸡蛋之间，我永远站在鸡蛋一边。”——村上春树</w:t>
      </w:r>
    </w:p>
    <w:p w14:paraId="119F0A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DEC6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前两个部分，我们系统地描绘了一幅宏大而严峻的图景：一种以“评估”为核心的新型权力形态，在数字技术的催化下，正以前所未有的深度和广度，渗透到国家治理、市场经济和公共领域的方方面面。从“数据身体”的诞生，到“强制自愿”的劳动，再到公共领域的瓦解，我们似乎正被一副由算法和数据锻造的、日益收紧的“评估的枷锁”所束缚。面对如此强大的、结构性的力量，个体是否注定无能为力，只能在被设定的游戏中，扮演一个被动接受评估的角色？</w:t>
      </w:r>
    </w:p>
    <w:p w14:paraId="177217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9B33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将对这一悲观的决定论提出挑战。我们将把分析的镜头，从权力结构的宏大叙事，聚焦到那些在结构的缝隙中、在系统的边缘地带所发生的、看似微不足道但却充满韧性的抵抗与创造实践。本章的核心论点是：尽管评估权力看似无所不在，但其内部始终存在着裂痕、矛盾与“不可读”的盲区。个体与社群，可以通过一系列微观的、日常的、有时甚至是“狡计”式的策略，来对抗、博弈乃至颠覆主流的评估逻辑，并在主流体系之外，建立起属于自己的、小规模的“边缘体系”，从而在一个被全面评估的时代，为自己夺回宝贵的“可用余量”。</w:t>
      </w:r>
    </w:p>
    <w:p w14:paraId="4D8B1C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530F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章的探索，并非旨在提供一个能够“推翻”整个评估权力体系的宏大革命方案，而是要通过对微观抵抗策略的谱系学考察，来揭示能动性的多样性与可能性，从而为第七章中对制度层面重构的探讨，奠定实践与信心的基础。</w:t>
      </w:r>
    </w:p>
    <w:p w14:paraId="017A6D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D875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本章的结构将分为四个部分。首先，我们将回到政治人类学家詹姆斯·斯科特（James C. Scott）的经典理论“弱者的武器”，并探讨其在数字时代如何演变出新的变体。其次，我们将具体分析两种最主要的微观抵抗策略：“数据游击”与“算法博弈”，考察用户和劳动者是如何在日常实践中，与平台的评估逻辑斗智斗勇的。再次，我们将视野从“抵抗”转向“创造”，分析亚文化社群如何通过建立“另类共识”，在主流价值坐标之外，开辟出独立的意义空间。最后，我们将通过对开源社区、去中心化网络等案例的研究，来具体地展示一个不被商业和权力逻辑所主导的、更民主、更具主体性的评估实践，是如何在现实中可能并已经存在的。</w:t>
      </w:r>
    </w:p>
    <w:p w14:paraId="71E6EC17">
      <w:pPr>
        <w:pStyle w:val="5"/>
        <w:bidi w:val="0"/>
        <w:rPr>
          <w:rFonts w:hint="eastAsia" w:ascii="宋体" w:hAnsi="宋体" w:eastAsia="宋体" w:cs="宋体"/>
          <w:sz w:val="24"/>
          <w:lang w:val="en-US" w:eastAsia="zh-CN"/>
        </w:rPr>
      </w:pPr>
      <w:r>
        <w:rPr>
          <w:rFonts w:hint="eastAsia" w:ascii="宋体" w:hAnsi="宋体" w:eastAsia="宋体" w:cs="宋体"/>
          <w:lang w:val="en-US" w:eastAsia="zh-CN"/>
        </w:rPr>
        <w:t>詹姆斯·斯科特的“弱者的武器”在数字时代的变体</w:t>
      </w:r>
    </w:p>
    <w:p w14:paraId="76E919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理解微观抵抗的逻辑，詹姆斯·斯科特的《弱者的武器：农民反抗的日常形式》为我们提供了一个无与伦比的理论起点。斯科特通过对马来西亚一个村庄的田野研究，深刻地挑战了我们对“反抗”的传统认知。他指出，农民等从属群体的反抗，很少表现为公开的、有组织的、革命性的集体行动。因为这样的行动，往往风险太高，且胜算渺茫。相反，他们的反抗，更多地表现为一种日常的、零散的、匿名的、看似“非政治”的“拖延战术”。</w:t>
      </w:r>
    </w:p>
    <w:p w14:paraId="29C765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1C17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弱者的武器”包括：偷懒、装糊涂、开小差、假装顺从、背后诽谤、暗中破坏、偷盗……斯科特强调，这些行为单独来看，可能微不足道，甚至会被认为是“道德败坏”。但当它们被成千上万的个体所普遍实践时，就汇聚成了一种强大的、能够有效侵蚀和瓦解上层统治的集体力量。它们构成了农民与地主之间，那场“心照不宣的、持续不断的阶级斗争”的真实内容。</w:t>
      </w:r>
    </w:p>
    <w:p w14:paraId="2D02AE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32E3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“弱者的武器”理论，为我们理解数字时代的微观抵抗，提供了三个核心的洞见：</w:t>
      </w:r>
    </w:p>
    <w:p w14:paraId="5813F3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CA33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抵抗的“潜政治”层面：斯科特指出，在公开的、可见的“政治剧本”之下，始终存在着一个隐藏的、在台面之下流传的“潜政治剧本”。在这里，从属群体用自己的语言、笑话、歌谣，来表达对统治者的不满，并构建属于自己的价值认同。微观抵抗，正是发生在这样一个“潜政治”的层面。它不寻求直接的政治对抗，而致力于在日常生活中，为自己开辟出一小块自主呼吸的空间。</w:t>
      </w:r>
    </w:p>
    <w:p w14:paraId="6A7277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匿名性与安全性的优先：“弱者的武器”的首要原则，是避免与权力进行直接的、灾难性的正面冲突。因此，这些抵抗策略往往是匿名的、模糊的、难以被抓住把柄的。它们追求的是“在不冒太大风险的前提下，实现利益的最大化”。</w:t>
      </w:r>
    </w:p>
    <w:p w14:paraId="3BABA5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从“退出”到“怠工”：经济学家阿尔伯特·赫希曼（Albert Hirschman）提出了著名的“退出、呼吁、忠诚”模型。斯科特的理论则揭示了第四种可能性：当“退出”的成本太高（农民无法轻易离开土地），而“呼吁”（公开抗议）的风险太大时，人们会选择一种“用脚投票”式的“怠工”或“磨洋工”，来表达他们的不满。</w:t>
      </w:r>
    </w:p>
    <w:p w14:paraId="2E116C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E8A0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把这套理论框架，应用到我们所分析的“算法的全景敞视”和“平台资本主义”的语境下时，会发现一种惊人的结构性相似。数字时代的普通用户和零工劳动者，在很大程度上，正处在与斯科特所描述的马来西亚农民相似的结构性弱势地位：</w:t>
      </w:r>
    </w:p>
    <w:p w14:paraId="2C7986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他们面对的是一个强大的、不透明的、由算法和平台规则所构成的“数字地主”。</w:t>
      </w:r>
    </w:p>
    <w:p w14:paraId="4CDAED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9F8D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公开的、有组织的“呼吁”（如罢工、集体诉讼）往往困难重重，因为平台通过原子化的管理，瓦解了他们的集体行动能力。</w:t>
      </w:r>
    </w:p>
    <w:p w14:paraId="2DFC80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BD63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“退出”平台的成本也日益高昂。在一个社交关系、工作机会、甚至社会声誉都与特定平台深度绑定的时代，“删除App”并非一个轻松的选择。</w:t>
      </w:r>
    </w:p>
    <w:p w14:paraId="00841C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B8EB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数字时代的微观抵抗，也同样呈现出一种“弱者的武器”的形态。它不再是农民的“偷谷子”或“让牛偷偷吃地主的庄稼”，而是演变出了一系列全新的、适应数字环境的变体。这些变体，不再作用于物理的土地和庄稼，而是作用于数字时代最核心的生产资料和战场——数据与算法。</w:t>
      </w:r>
    </w:p>
    <w:p w14:paraId="7B9372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8939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这些数字时代的“弱者的武器”，可以被大致归纳为两大类策略，我们将在下一节中详细展开：</w:t>
      </w:r>
    </w:p>
    <w:p w14:paraId="69C4F9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数据游击：这是一种旨在污染、隐藏、或策略性地利用个人数据，以对抗平台的全景式监控与画像的策略。它作用于评估系统的“输入端”。</w:t>
      </w:r>
    </w:p>
    <w:p w14:paraId="52F495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算法博弈：这是一种旨在理解、利用甚至“欺骗”算法规则，以在平台所设定的游戏框架内，为自己谋取更大利益的策略。它作用于评估系统的“处理过程”与“输出端”。</w:t>
      </w:r>
    </w:p>
    <w:p w14:paraId="7A8447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A3B6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通过对这些数字时代新变体的分析，我们将看到，即便是最严密的算法控制系统，也并非铁板一块。在代码的逻辑与人类的狡黠之间，始终存在着一片充满张力、永不终结的博弈地带。</w:t>
      </w:r>
    </w:p>
    <w:p w14:paraId="1B900EDA">
      <w:pPr>
        <w:pStyle w:val="5"/>
        <w:bidi w:val="0"/>
        <w:rPr>
          <w:rFonts w:hint="eastAsia" w:ascii="宋体" w:hAnsi="宋体" w:eastAsia="宋体" w:cs="宋体"/>
          <w:sz w:val="24"/>
          <w:lang w:val="en-US" w:eastAsia="zh-CN"/>
        </w:rPr>
      </w:pPr>
      <w:r>
        <w:rPr>
          <w:rFonts w:hint="eastAsia" w:ascii="宋体" w:hAnsi="宋体" w:eastAsia="宋体" w:cs="宋体"/>
          <w:lang w:val="en-US" w:eastAsia="zh-CN"/>
        </w:rPr>
        <w:t>“数据游击”与“算法博弈”：用户如何对抗平台的评估逻辑</w:t>
      </w:r>
    </w:p>
    <w:p w14:paraId="74677E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评估权力的天罗地网之下，普通用户和劳动者并非只是被动的数据“矿藏”和算法的“提线木偶”。他们是积极的、有创造力的行动者，在日常的数字实践中，发展出了一系列精巧的策略，来保护自己的隐私、争取自己的利益、并反抗平台的控制。本节将系统地梳理这些策略，并将其归纳为“数据游击”与“算法博弈”两大类。</w:t>
      </w:r>
    </w:p>
    <w:p w14:paraId="0975808D">
      <w:pPr>
        <w:pStyle w:val="6"/>
        <w:bidi w:val="0"/>
        <w:rPr>
          <w:rFonts w:hint="eastAsia" w:ascii="宋体" w:hAnsi="宋体" w:eastAsia="宋体" w:cs="宋体"/>
          <w:sz w:val="24"/>
          <w:lang w:val="en-US" w:eastAsia="zh-CN"/>
        </w:rPr>
      </w:pPr>
      <w:r>
        <w:rPr>
          <w:rFonts w:hint="eastAsia"/>
          <w:lang w:val="en-US" w:eastAsia="zh-CN"/>
        </w:rPr>
        <w:t>数据游击：在监控的丛林中隐藏与反击</w:t>
      </w:r>
    </w:p>
    <w:p w14:paraId="0973DC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游击”借用了“游击战”的隐喻。它指的是个体用户在面对平台强大的数据采集能力时，所采取的一种分散的、灵活的、旨在“打了就跑”的自我保护与反击策略。其核心目标，是污染评估系统的输入源——数据，从而使得平台难以构建一个准确的、可用于控制的“数据身体”。</w:t>
      </w:r>
    </w:p>
    <w:p w14:paraId="63A05D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2992C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数据的隐藏与最小化</w:t>
      </w:r>
    </w:p>
    <w:p w14:paraId="03A4D1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基础的防御性策略。它包括：使用浏览器的“无痕模式”、定期清理Cookie、使用VPN（虚拟私人网络）来隐藏自己的真实IP地址、拒绝App不必要的权限请求、以及在注册各种网络服务时，只提供最少的、必要的信息。这些行为，旨在减少自己数字足迹的产生，为自己的“数据身体”穿上一层“隐身衣”。</w:t>
      </w:r>
    </w:p>
    <w:p w14:paraId="235E14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87F57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数据的混淆与伪造</w:t>
      </w:r>
    </w:p>
    <w:p w14:paraId="7D43D2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这是一种更主动的进攻性策略。既然无法完全阻止数据的产生，那么就向系统中注入大量的“噪音”和虚假数据，来混淆算法的判断。</w:t>
      </w:r>
    </w:p>
    <w:p w14:paraId="05368A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9EB1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虚假信息：在注册账号时，填写虚假的姓名、生日、性别或兴趣爱好。这是一种古老但依然有效的策略。</w:t>
      </w:r>
    </w:p>
    <w:p w14:paraId="0D72B3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6178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投毒”：一些具有技术意识的用户和艺术家，开发了专门的浏览器插件，它们会在用户浏览网页时，自动地、随机地点击页面上的所有广告。这不仅能保护用户免受广告追踪，更能向广告商的服务器发送大量混乱、无意义的点击数据，从而污染其用户画像模型，让广告投放的精准度大大下降。这是一种数字版的“焦土政策”。</w:t>
      </w:r>
    </w:p>
    <w:p w14:paraId="7E5CC6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1540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拟像”的展演：在社交媒体上，一些用户会有意识地“表演”一个与自己真实身份完全不同的“人设”。他们点赞自己毫无兴趣的内容，关注与自己观点相左的博主，发表充满矛盾的言论。这种行为，旨在将自己的“数据身体”塑造成一个算法无法理解的、充满噪音的“拟像”，从而实现一种“认知上的隐身”。</w:t>
      </w:r>
    </w:p>
    <w:p w14:paraId="5C694A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C1BE1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数据的加密与匿名化</w:t>
      </w:r>
    </w:p>
    <w:p w14:paraId="3C0D5A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需要更高的技术门槛，但也是最有效的防御手段。它包括使用端到端加密的通讯工具（如Signal、Telegram），使用匿名化的浏览器（如Tor），以及参与到各种注重隐私保护的去中心化网络中。这些工具，旨在从技术底层，将数据的控制权，从平台手中夺回，交还给用户自己。</w:t>
      </w:r>
    </w:p>
    <w:p w14:paraId="200DD0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4A2E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游击”的实践，体现了用户对自身“数据主权”的初步觉醒。它是一种消极的抵抗，其主要目的在于“不被看见”、“不被读懂”。然而，在很多时候，用户和劳动者不仅需要隐藏，更需要在一个无法逃离的平台系统中，积极地为自己争取利益。这就催生了另一种更为复杂的抵抗形式——“算法博弈”。</w:t>
      </w:r>
    </w:p>
    <w:p w14:paraId="038C2B52">
      <w:pPr>
        <w:pStyle w:val="6"/>
        <w:bidi w:val="0"/>
        <w:rPr>
          <w:rFonts w:hint="eastAsia" w:ascii="宋体" w:hAnsi="宋体" w:eastAsia="宋体" w:cs="宋体"/>
          <w:sz w:val="24"/>
          <w:lang w:val="en-US" w:eastAsia="zh-CN"/>
        </w:rPr>
      </w:pPr>
      <w:r>
        <w:rPr>
          <w:rFonts w:hint="eastAsia"/>
          <w:lang w:val="en-US" w:eastAsia="zh-CN"/>
        </w:rPr>
        <w:t>算法博弈：在“黑箱”的边缘试探与舞蹈</w:t>
      </w:r>
    </w:p>
    <w:p w14:paraId="0421E6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博弈”指的是，平台生态的参与者（特别是零工劳动者和电商卖家），通过长期的实践、集体的智慧和逆向工程，来试图理解、预测、利用甚至“操纵”平台算法的行为逻辑，以期在由算法所主导的资源分配游戏中，获得更大的优势。这是一种在“戴着镣铐跳舞”的艺术。</w:t>
      </w:r>
    </w:p>
    <w:p w14:paraId="04B21F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EB3FA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算法的“民间人类学”</w:t>
      </w:r>
    </w:p>
    <w:p w14:paraId="6AFA55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由于平台算法是一个不透明的“黑箱”，劳动者们无法通过官方渠道了解其运作规则。于是，他们自发地成为了“算法的民间人类学家”。他们在各种线上的（如Reddit论坛、Facebook群组、微信群）和线下的（如司机们聚集的休息站）空间，分享彼此的经验，交流“跑单”的技巧，试图从无数个体的、零散的经验中，拼凑出算法的“脾性”。</w:t>
      </w:r>
    </w:p>
    <w:p w14:paraId="46F18E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A733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“今天什么时间段奖励最高？”</w:t>
      </w:r>
    </w:p>
    <w:p w14:paraId="31172D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“在哪个区域等待，更容易被派到‘长途单’？”</w:t>
      </w:r>
    </w:p>
    <w:p w14:paraId="20A7F3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“拒绝一个订单，对后续的派单有多大影响？”</w:t>
      </w:r>
    </w:p>
    <w:p w14:paraId="535E07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“用户的哪些关键词评价，会影响我的服务分？”</w:t>
      </w:r>
    </w:p>
    <w:p w14:paraId="64919A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90E2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这些讨论，构成了斯科特所说的“潜政治剧本”的数字版本。在这里，劳动者们正在努力将那个神秘的、支配着他们的算法，转化为一个可以被理解、被谈论、甚至被预测的“对象”。</w:t>
      </w:r>
    </w:p>
    <w:p w14:paraId="478DCA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87436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利用规则的“阳奉阴违”</w:t>
      </w:r>
    </w:p>
    <w:p w14:paraId="0B326E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在对算法有了一定的“体感”之后，劳动者们便开始发展出各种利用规则的策略。</w:t>
      </w:r>
    </w:p>
    <w:p w14:paraId="6C34CA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A6AB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策略性下线：许多网约车司机会在需求高峰期到来之前，集体地、短暂地“下线”。这会造成局部运力的“人为短缺”，从而触发平台的“动态调价”机制。当价格上涨到一定程度后，他们再集体上线接单。这是一种利用算法的供需调节机制，来进行的、准自发的集体谈判。</w:t>
      </w:r>
    </w:p>
    <w:p w14:paraId="22F0C8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8EF2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刷单”与“养号”：在电商平台和内容平台，通过虚假交易（刷单）来提升店铺的销量和信誉，或者通过多个小号来为自己的主账号点赞、评论、转发（养号），已经成为一种公开的秘密。这是一种直接针对平台声誉评估系统的“欺骗”行为，旨在人为地制造出一种“繁荣”的假象，以获得算法更多的推荐和流量。</w:t>
      </w:r>
    </w:p>
    <w:p w14:paraId="2FC8F1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1F69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避监控的“物理外挂”：一些外卖骑手，为了应对平台严苛的送餐时间限制，会采取各种“物理外挂”，如同时操作多部手机接不同平台的订单，或者在送餐高峰期，先在App上点击“已送达”，然后再实际完成配送。这些行为，旨在从平台的数字监控中，夺回一小部分对物理时间和空间的控制权。</w:t>
      </w:r>
    </w:p>
    <w:p w14:paraId="37C154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5AB74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人际网络的“算法校准器”</w:t>
      </w:r>
    </w:p>
    <w:p w14:paraId="5C1DED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管理试图将劳动者原子化，但劳动者们通过建立自己的沟通网络，来对抗这种孤立。他们不仅分享信息，更在情感上相互支持，并形成一种集体的“算法校准”。当一个劳动者因为一个不公正的差评而感到沮丧时，社群里的其他人会安慰他，并分享自己类似的经历。这种人际互动，在一定程度上，抵消了算法评估所带来的非人化和焦虑感。它提醒着每一个劳动者：你的价值，并不完全由那个冷冰冰的分数所定义。</w:t>
      </w:r>
    </w:p>
    <w:p w14:paraId="09B34C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2D3F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游击”与“算法博弈”，共同构成了数字时代“弱者的武器”的军火库。它们展现了人类能动性在面对强大技术系统时的坚韧与狡黠。这些策略，在很大程度上，是防御性的、个人主义的、并且往往是“治标不治本”的。它们或许能为个体带来暂时的、局部的利益，但很难从根本上改变平台的权力结构。平台也在不断地升级其算法，来封堵这些“漏洞”，双方的“道魔之争”永无休止。</w:t>
      </w:r>
    </w:p>
    <w:p w14:paraId="2E3A99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0AAE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然而，我们绝不能因此而低估这些微观抵抗的意义。</w:t>
      </w:r>
    </w:p>
    <w:p w14:paraId="4FEF79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E579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首先，它们具有重要的“赋权”意义。通过这些实践，用户和劳动者将自身从被动的评估对象，转变为主动的、有策略的博弈参与者。这本身就是对评估权力非人化逻辑的一种反抗。</w:t>
      </w:r>
    </w:p>
    <w:p w14:paraId="3941DF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1DE6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其次，它们揭示了算法控制的“裂痕”。它们雄辩地证明，任何全景式的监控系统，都不可能实现完美的、无死角的控制。人类的复杂性、创造性和社会性，始终是算法无法完全捕捉和预测的“剩余”。</w:t>
      </w:r>
    </w:p>
    <w:p w14:paraId="0D6B09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047F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它们是形成更高级抵抗形式的“孵化器”。正是在这些日常的、零散的博弈和交流中，劳动者们逐渐形成了对平台剥削逻辑的集体认知，并可能最终催生出更有组织的、以“呼吁”为形式的集体行动，如罢工、抗议和组建新型的“平台工会”。</w:t>
      </w:r>
    </w:p>
    <w:p w14:paraId="4D72D4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4EB6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微观抵抗的图景，并不仅仅局限于对既有评估体系的“反抗”与“博弈”。在一些更具创造性的社群中，我们看到了一种更激进的可能性：彻底抛弃主流的评估坐标，并着手建立属于自己的、全新的价值世界。</w:t>
      </w:r>
    </w:p>
    <w:p w14:paraId="7B8CC9D4">
      <w:pPr>
        <w:pStyle w:val="5"/>
        <w:bidi w:val="0"/>
        <w:rPr>
          <w:rFonts w:hint="eastAsia" w:ascii="宋体" w:hAnsi="宋体" w:eastAsia="宋体" w:cs="宋体"/>
          <w:sz w:val="24"/>
          <w:lang w:val="en-US" w:eastAsia="zh-CN"/>
        </w:rPr>
      </w:pPr>
      <w:r>
        <w:rPr>
          <w:rFonts w:hint="eastAsia" w:ascii="宋体" w:hAnsi="宋体" w:eastAsia="宋体" w:cs="宋体"/>
          <w:lang w:val="en-US" w:eastAsia="zh-CN"/>
        </w:rPr>
        <w:t>亚文化与“另类共识”：在主流之外创造新的价值坐标</w:t>
      </w:r>
    </w:p>
    <w:p w14:paraId="034C95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数据游击”与“算法博弈”是在主流评估体系的“内部”进行周旋，那么本节将要探讨的，则是一种更为彻底的“出走”：在主流体系的“外部”，创造一个独立的、自给自足的价值与意义空间。这种实践的主体，往往是各种形式的“亚文化”社群。</w:t>
      </w:r>
    </w:p>
    <w:p w14:paraId="2D0A3C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D5C5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亚文化”一词，源于伯明翰学派的文化研究。它指的是在一个更大的主流文化之内，存在的一些拥有自身独特的价值观、行为规范、语言风格和身份认同的“小众”群体。从朋克、哥特，到今天的各种网络“饭圈”、游戏社群、迷群，亚文化社群的核心特征，在于其对主流文化价值观的某种程度的偏离、质疑甚至反抗。</w:t>
      </w:r>
    </w:p>
    <w:p w14:paraId="3C2975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4453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从我们“评估权力”的视角来看，亚文化社群最重要的功能，在于其构建“另类共识”（Alternative Consensus）的能力。它们拒绝接受由主流社会（无论是国家、市场还是大众媒体）所设定的、单一的成功标准和价值坐标，并着手建立一套属于自己的、内部流通的评估体系。</w:t>
      </w:r>
    </w:p>
    <w:p w14:paraId="06123CBB">
      <w:pPr>
        <w:pStyle w:val="6"/>
        <w:bidi w:val="0"/>
        <w:rPr>
          <w:rFonts w:hint="eastAsia" w:ascii="宋体" w:hAnsi="宋体" w:eastAsia="宋体" w:cs="宋体"/>
          <w:sz w:val="24"/>
          <w:lang w:val="en-US" w:eastAsia="zh-CN"/>
        </w:rPr>
      </w:pPr>
      <w:r>
        <w:rPr>
          <w:rFonts w:hint="eastAsia"/>
          <w:lang w:val="en-US" w:eastAsia="zh-CN"/>
        </w:rPr>
        <w:t>内部评估体系的建立：重新定义“什么是好的”</w:t>
      </w:r>
    </w:p>
    <w:p w14:paraId="422C9B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在一个亚文化社群内部，一个成员的“地位”或“声望”，并不取决于他/她在主流社会中的财富、职业或学历，而是取决于其对这个社群核心价值的贡献程度。</w:t>
      </w:r>
    </w:p>
    <w:p w14:paraId="12D912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959F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在黑客文化或开源社区中，一个人受尊敬的程度，取决于其技术能力的高低、代码贡献的多少，以及是否信奉“信息共享”的黑客伦理。</w:t>
      </w:r>
    </w:p>
    <w:p w14:paraId="034A6B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060B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在某些硬核的游戏社群中，一个玩家的地位，取决于其游戏技巧的精湛程度、对游戏世界观的理解深度，以及是否乐于帮助新手。</w:t>
      </w:r>
    </w:p>
    <w:p w14:paraId="5B6ED3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BF86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在同人创作的迷群中，一个创作者的声望，取决于其作品的创造力、对原作角色的理解与“爱”，以及与其他粉丝的友好互动。</w:t>
      </w:r>
    </w:p>
    <w:p w14:paraId="10AC94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4B0B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在Bilibili这样的弹幕视频网站中，一个UP主（视频创作者）的“江湖地位”，不仅看其视频的播放量，更看其内容的“梗”浓度、与粉丝的互动质量，以及是否能创造出社群内部广泛流传的“文化符号”。</w:t>
      </w:r>
    </w:p>
    <w:p w14:paraId="5858FE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74DF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在这些社群中，我们看到了评估活动向其“本源”形态的某种回归。这里的评估，在很大程度上是：</w:t>
      </w:r>
    </w:p>
    <w:p w14:paraId="4139D9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由内而生的：评估的标准，是由社群成员在长期的互动中，自下而上地、共同协商形成的，而非由某个外部的权威机构所强加。</w:t>
      </w:r>
    </w:p>
    <w:p w14:paraId="5A3F7A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情境化的：评估深深地嵌入在社群独特的文化语境和“行话”之中。一个不了解“梗”的“圈外人”，很难理解其内部的评价逻辑。</w:t>
      </w:r>
    </w:p>
    <w:p w14:paraId="76B503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基于“内在价值”的：评估的核心，是对“热爱”、“才华”、“贡献”等内在价值的承认，而非对外部商业价值的追逐。</w:t>
      </w:r>
    </w:p>
    <w:p w14:paraId="0BEC1358">
      <w:pPr>
        <w:pStyle w:val="6"/>
        <w:bidi w:val="0"/>
        <w:rPr>
          <w:rFonts w:hint="eastAsia" w:ascii="宋体" w:hAnsi="宋体" w:eastAsia="宋体" w:cs="宋体"/>
          <w:sz w:val="24"/>
          <w:lang w:val="en-US" w:eastAsia="zh-CN"/>
        </w:rPr>
      </w:pPr>
      <w:r>
        <w:rPr>
          <w:rFonts w:hint="eastAsia"/>
          <w:lang w:val="en-US" w:eastAsia="zh-CN"/>
        </w:rPr>
        <w:t>“象征资本”的流通：构建独立的经济与社会系统</w:t>
      </w:r>
    </w:p>
    <w:p w14:paraId="7C27DF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法国社会学家皮埃尔·布尔迪厄（Pierre Bourdieu）指出，除了经济资本，社会中还存在着“文化资本”和“社会资本”，他将这些非经济形式的资本统称为“象征资本”。亚文化社群，正是“象征资本”最重要的生产与流通场所。</w:t>
      </w:r>
    </w:p>
    <w:p w14:paraId="14F5A5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D684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亚文化社群内部，获得同行的认同、赢得声望、成为“大佬”或“太太”（对优秀同人创作者的尊称），这种“象征资本”的积累，其重要性往往超过了经济收益。这种内部的承认，为成员们提供了在主流社会中可能无法获得的价值感、归属感和尊严。</w:t>
      </w:r>
    </w:p>
    <w:p w14:paraId="08769C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B10E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更重要的是，这种“象征资本”可以在一定程度上，转化为一个相对独立的社会与经济系统。</w:t>
      </w:r>
    </w:p>
    <w:p w14:paraId="5EA747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6823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互惠经济：在许多亚文化社群中，存在着一种基于“爱”和“互惠”的非正式经济。例如，同人创作者们会“为爱发电”，免费创作，而粉丝们则会通过“打赏”、购买周边、或仅仅是充满感情的评论，来回馈创作者。这是一种不以利润最大化为首要目标的“礼物经济”。</w:t>
      </w:r>
    </w:p>
    <w:p w14:paraId="107323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A3E6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身份认同的社会支持：亚文化社群为其成员提供了一个“避风港”。在这里，那些在主流社会中可能被视为“怪异”、“不务正业”的兴趣和身份，能够得到承认和支持。这对于许多边缘化的青少年或少数群体而言，具有至关重要的心理健康意义。</w:t>
      </w:r>
    </w:p>
    <w:p w14:paraId="13B942CE">
      <w:pPr>
        <w:pStyle w:val="6"/>
        <w:bidi w:val="0"/>
        <w:rPr>
          <w:rFonts w:hint="eastAsia" w:ascii="宋体" w:hAnsi="宋体" w:eastAsia="宋体" w:cs="宋体"/>
          <w:sz w:val="24"/>
          <w:lang w:val="en-US" w:eastAsia="zh-CN"/>
        </w:rPr>
      </w:pPr>
      <w:r>
        <w:rPr>
          <w:rFonts w:hint="eastAsia"/>
          <w:lang w:val="en-US" w:eastAsia="zh-CN"/>
        </w:rPr>
        <w:t>亚文化的悖论：抵抗与被收编</w:t>
      </w:r>
    </w:p>
    <w:p w14:paraId="49B429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然而，我们不能将亚文化社群过度浪漫化。它们始终处在一种深刻的张力与悖论之中。其作为“边缘体系”的抵抗性，时刻面临着被主流商业评估体系所“收编”的危险。</w:t>
      </w:r>
    </w:p>
    <w:p w14:paraId="7D1BEE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DB34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商业化的入侵：资本具有一种惊人的能力，能够将任何具有“酷”感的、反叛的亚文化符号，转化为可以被大规模复制和销售的商品。朋克的破洞牛仔裤、嘻哈的街头涂鸦，最终都成为了时尚品牌的设计元素。当一个亚文化变得“流行”时，其内部的、基于“内在价值”的评估体系，就很容易被外部的、基于“流量”和“商业变现能力”的评估体系所侵蚀。</w:t>
      </w:r>
    </w:p>
    <w:p w14:paraId="2D666B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3DB8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平台的“收编”：平台资本主义，是亚文化最强大、也最狡猾的“收编者”。平台为各种小众的亚文化社群，提供了前所未有的、便捷的聚集地和展示空间（如豆瓣小组、B站分区、Reddit的subreddit）。然而，在提供便利的同时，平台也将其以“参与度”为核心的评估逻辑，强加于这些社群之上。社群的“成功”，开始被量化为成员数、发帖量、互动率等指标。社群内部的“大佬”，也可能被平台签约，改造为可以带货的“KOL”。平台通过这种方式，将亚文化社群的“象征资本”，巧妙地转化为可以为平台带来流量和利润的“数据资本”。</w:t>
      </w:r>
    </w:p>
    <w:p w14:paraId="5A9C23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647D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内部的固化与排外：亚文化社群在构建强大内部凝聚力的同时，也可能变得越来越封闭、越来越排外，甚至形成一种新的、小圈子内的“暴政”。对“纯洁性”的过度追求，可能会导致对新成员的苛刻审查和对内部异见者的无情“出警”。</w:t>
      </w:r>
    </w:p>
    <w:p w14:paraId="604611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E7D1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尽管存在这些悖论与危险，亚文化社群的实践，依然为我们揭示了一种宝贵的可能性：价值坐标，并非是铁板一块、不可改变的。通过集体的、有意识的文化创造与共识构建，人们完全有可能在主流评估体系的阴影之外，点亮属于自己的“篝火”。这些篝火或许微弱，或许无法照亮整个黑夜，但它们的存在本身，就是对单一价值体系的最有力证伪。</w:t>
      </w:r>
    </w:p>
    <w:p w14:paraId="2F8799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0AF0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而当这种“另类共识”的构建，与新技术的可能性相结合时，我们甚至可以看到一种更为激进的、旨在从制度层面重构评估体系的实践雏形。</w:t>
      </w:r>
    </w:p>
    <w:p w14:paraId="3F77468D">
      <w:pPr>
        <w:pStyle w:val="5"/>
        <w:bidi w:val="0"/>
        <w:rPr>
          <w:rFonts w:hint="eastAsia" w:ascii="宋体" w:hAnsi="宋体" w:eastAsia="宋体" w:cs="宋体"/>
          <w:sz w:val="24"/>
          <w:lang w:val="en-US" w:eastAsia="zh-CN"/>
        </w:rPr>
      </w:pPr>
      <w:r>
        <w:rPr>
          <w:rFonts w:hint="eastAsia" w:ascii="宋体" w:hAnsi="宋体" w:eastAsia="宋体" w:cs="宋体"/>
          <w:lang w:val="en-US" w:eastAsia="zh-CN"/>
        </w:rPr>
        <w:t>案例研究：开源社区、去中心化网络中的评估实践</w:t>
      </w:r>
    </w:p>
    <w:p w14:paraId="602E9C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章的最后一节，我们将通过两个具体的案例——开源软件社区和基于区块链的去中心化网络——来展示，一种不依赖于传统科层制或商业平台，而是基于社群共识和技术协议的“另类评估体系”，是如何在现实中运作的。这些案例，不再仅仅是斯科特意义上的“潜政治”抵抗，它们已经开始浮出水面，构建出具有相当规模和影响力的、可见的“边缘体系”。</w:t>
      </w:r>
    </w:p>
    <w:p w14:paraId="7A86D85E">
      <w:pPr>
        <w:pStyle w:val="6"/>
        <w:bidi w:val="0"/>
        <w:rPr>
          <w:rFonts w:hint="eastAsia" w:ascii="宋体" w:hAnsi="宋体" w:eastAsia="宋体" w:cs="宋体"/>
          <w:sz w:val="24"/>
          <w:lang w:val="en-US" w:eastAsia="zh-CN"/>
        </w:rPr>
      </w:pPr>
      <w:r>
        <w:rPr>
          <w:rFonts w:hint="eastAsia"/>
          <w:lang w:val="en-US" w:eastAsia="zh-CN"/>
        </w:rPr>
        <w:t>开源社区：基于贡献与声誉的“贤能政治”</w:t>
      </w:r>
    </w:p>
    <w:p w14:paraId="069D7A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开源软件（Open Source Software）运动，是数字时代最伟大的协作奇迹之一。从Linux操作系统、Apache服务器，到我们今天日常使用的安卓系统和各种编程语言，开源软件已经成为整个数字世界的基础设施。然而，其生产与评估模式，却与主流的商业软件开发模式截然不同。</w:t>
      </w:r>
    </w:p>
    <w:p w14:paraId="4219B9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9F5C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在一个典型的、成熟的开源社区（如Linux内核开发社区），我们看到了一种高度复杂的、非商业化的评估实践：</w:t>
      </w:r>
    </w:p>
    <w:p w14:paraId="7880FD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73FA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的标准——代码质量与技术卓越：这里的核心评估标准，只有一个：你贡献的代码的质量。你的代码是否优雅、高效、稳定、文档清晰、并符合社区长远发展的方向。所有其他的外部身份——你的学历、职位、国籍、年龄——都无关紧要。代码本身，就是唯一的“硬通货”。</w:t>
      </w:r>
    </w:p>
    <w:p w14:paraId="39E6B1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DB60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的过程——同行评审：任何一段新代码的提交，都必须经过一个严格的、公开的、多层级的“同行评审”过程。代码会被发布在公开的邮件列表或代码托管平台（如GitHub）上，接受来自全球各地成百上千的、有经验的开发者的审视、批评和建议。这个过程可能是漫长而严苛的，充满了激烈的技术辩论。但它确保了最终被合入主干代码的，都是经过了集体智慧反复淬炼的、高质量的贡献。</w:t>
      </w:r>
    </w:p>
    <w:p w14:paraId="64B766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AD72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的权力结构——基于声誉的“贤能政治”：开源社区的权力结构，并非扁平的“民主”，而是一种动态的、基于长期贡献和技术声誉的“贤能政治”。一个新手提交的代码，可能需要经过多位资深“维护者”的审核。而一个像林纳斯·托瓦兹（Linus Torvalds，Linux的创始人）这样的“仁慈的独裁者”，则拥有对整个项目的最终裁决权。然而，这种权力并非来自任命或资本，而完全来自于他在社区中长期积累的、无可匹敌的技术声誉和信任。任何人的权力，都必须通过持续做出高质量的技术判断来维持。</w:t>
      </w:r>
    </w:p>
    <w:p w14:paraId="02E5AE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的目标——公共产品的共同构建：整个评估体系的最终目标，不是为了实现某个公司的利润最大化，也不是为了对开发者进行绩效排名，而是为了一个共同的目标：构建一个稳定、可靠、卓越的、可供全人类免费使用的公共产品。这种基于“公共善”的价值取向，是开源评估体系与商业评估体系最根本的区别。</w:t>
      </w:r>
    </w:p>
    <w:p w14:paraId="0BD154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0F04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开源社区的实践，为我们提供了一个评估活动回归其“本源”的现代范例。这里的评估，是对话性的（通过邮件列表的公开辩论）、情境化的（针对具体的代码和技术问题）、发展性的（旨在改进代码，也帮助新手成长）、并最终服务于共识的建构（决定哪些代码应该被接纳）。它雄辩地证明，即便是在一个全球化的、由陌生人组成的大规模协作项目中，一种非异化的、基于内在价值的评估体系，也完全是可能实现的。</w:t>
      </w:r>
    </w:p>
    <w:p w14:paraId="78F009C7">
      <w:pPr>
        <w:pStyle w:val="6"/>
        <w:bidi w:val="0"/>
        <w:rPr>
          <w:rFonts w:hint="eastAsia" w:ascii="宋体" w:hAnsi="宋体" w:eastAsia="宋体" w:cs="宋体"/>
          <w:sz w:val="24"/>
          <w:lang w:val="en-US" w:eastAsia="zh-CN"/>
        </w:rPr>
      </w:pPr>
      <w:r>
        <w:rPr>
          <w:rFonts w:hint="eastAsia"/>
          <w:lang w:val="en-US" w:eastAsia="zh-CN"/>
        </w:rPr>
        <w:t>去中心化网络：用“协议”取代“平台”</w:t>
      </w:r>
    </w:p>
    <w:p w14:paraId="2C51A0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开源社区主要是在“生产过程”中实现了另类评估，那么近年来兴起的、以区块链技术为基础的去中心化网络（如以太坊、各种DAO——去中心化自治组织），则试图将这种另类评估的逻辑，扩展到更广阔的经济与社会组织领域。其核心理念，是用公开、透明、自动执行的“协议”，来取代封闭、不透明、由中心化公司所控制的“平台”。</w:t>
      </w:r>
    </w:p>
    <w:p w14:paraId="29B5B2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0E08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规则的“代码化”与“开源化”：在一个去中心化网络中，评估的规则（如一个去中心化社交媒体的内容推荐算法，或一个DAO的资金分配规则）是以智能合约的形式，被直接写入区块链的代码之中的。这些代码是开源的，任何人都可以审查其逻辑，从而打破了传统平台的“算法黑箱”。</w:t>
      </w:r>
    </w:p>
    <w:p w14:paraId="3359E5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8017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治理权的“代币化”与“社区化”：许多去中心化网络通过发行“治理代币”，来将其评估与决策的权力，分散给社区的成员。持有代币的用户，可以对协议的修改、参数的设定等核心治理问题，进行投票。这在理论上，将平台的“独裁”权力，转化为一种由社区共同行使的“数字宪政”。</w:t>
      </w:r>
    </w:p>
    <w:p w14:paraId="0C2F94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81CD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声誉的“链上化”与“可携带性”：在Web3（下一代去中心化互联网）的构想中，用户的“数据身体”和声誉，将不再被锁定在某一个平台之上。它们将被记录在公开的区块链上，成为用户可以自主拥有的、可携带的“链上身份”。你在一个去中心化应用中积累的声誉，可以被另一个应用所承认和引用，从而打破平台的“生态锁定”。</w:t>
      </w:r>
    </w:p>
    <w:p w14:paraId="4EF216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F1DD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必须清醒地认识到，当前的去中心化网络实践，还处在一个非常早期的、充满了投机泡沫、技术挑战和治理困境的阶段。许多项目中的“去中心化”还只是一个噱头，“代币化治理”也常常沦为少数“巨鲸”（大户）的金融游戏。</w:t>
      </w:r>
    </w:p>
    <w:p w14:paraId="04A6AD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8671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然而，抛开这些乱象，去中心化网络所揭示的结构性可能性，是极具启发性的。它第一次从技术和制度设计的层面，为我们描绘了一幅“夺回评估权”的清晰蓝图：</w:t>
      </w:r>
    </w:p>
    <w:p w14:paraId="30DC3E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评估标准，可以不是由平台秘密制定的，而是由社区通过开源代码和链上治理来共同决定的。</w:t>
      </w:r>
    </w:p>
    <w:p w14:paraId="7DCBE9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评估过程，可以不是在黑箱中运行的，而是以透明的、可验证的方式自动执行的。</w:t>
      </w:r>
    </w:p>
    <w:p w14:paraId="4EF7F0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评估结果（声誉），可以不是被平台所垄断的，而是成为用户可以自主拥有的、跨平台流动的个人资产。</w:t>
      </w:r>
    </w:p>
    <w:p w14:paraId="669F73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8007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这正是从“平台的评估”走向“协议的评估”的深刻转变。它试图将评估权力，从那个高高在上的、不透明的“瞭望塔”中请下来，并将其重新分散到由所有参与者共同维护的、透明的、网络化的基础设施之中。</w:t>
      </w:r>
    </w:p>
    <w:p w14:paraId="79CCD53E">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结论：从微光到炬火</w:t>
      </w:r>
    </w:p>
    <w:p w14:paraId="785465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踏上了一段寻找“鸡蛋”的旅程。从斯科特的“弱者的武器”，到数字时代的“数据游击”与“算法博弈”；从亚文化的“另类共识”，到开源社区和去中心化网络的制度创新。我们看到，在评估权力的坚硬高墙之下，能动性的绿芽，正以各种各样的方式，顽强地破土而出。</w:t>
      </w:r>
    </w:p>
    <w:p w14:paraId="5AFCD3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9116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微观的、边缘的实践，单独来看，或许都显得力量微薄。它们充满了矛盾、风险，甚至可能最终失败或被收编。但是，将它们联系起来看，我们便能勾勒出一幅充满希望的抵抗与创造的连续光谱。从最消极的隐藏，到最积极的重构，人类的自由意志与创造精神，从未停止过对单一化、非人化评估逻辑的挑战。</w:t>
      </w:r>
    </w:p>
    <w:p w14:paraId="2A205E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C218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实践，如同在暗夜中点亮的星星之火。它们的存在，本身就是一种宣言：评估的未来，并非只有一条由平台和算法所铺就的、通往“数字铁笼”的单行道。另类的、更民主、更具人文关怀的评估方式，不仅是可欲的，更是可能的。</w:t>
      </w:r>
    </w:p>
    <w:p w14:paraId="44A954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A396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仅仅依靠这些自下而上的、微观的抵抗与创造，是否足够？这些边缘的“微光”，如何才能汇聚成足以照亮整个社会、推动结构性变革的“炬火”？这就要求我们将视野，从微观的能动性，再次拉回到宏观的制度设计层面。我们不仅需要“弱者的武器”，更需要重塑“战场的规则”。在一个更公正的评估未来中，法律、政策和公共机构，应该扮演怎样的角色？这便是本书最后一章将要探讨的核心议题。</w:t>
      </w:r>
    </w:p>
    <w:p w14:paraId="1D2E00D6">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30A0AC5B">
      <w:pPr>
        <w:pStyle w:val="4"/>
        <w:bidi w:val="0"/>
        <w:rPr>
          <w:rFonts w:hint="eastAsia" w:ascii="宋体" w:hAnsi="宋体" w:eastAsia="宋体" w:cs="宋体"/>
          <w:lang w:val="en-US" w:eastAsia="zh-CN"/>
        </w:rPr>
      </w:pPr>
      <w:bookmarkStart w:id="19" w:name="_Toc500679714"/>
      <w:r>
        <w:rPr>
          <w:rFonts w:hint="eastAsia" w:ascii="宋体" w:hAnsi="宋体" w:eastAsia="宋体" w:cs="宋体"/>
          <w:lang w:val="en-US" w:eastAsia="zh-CN"/>
        </w:rPr>
        <w:t>第七章：制度层面的重构：迈向“评估正义”</w:t>
      </w:r>
      <w:bookmarkEnd w:id="19"/>
    </w:p>
    <w:p w14:paraId="415E63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“重要的不是预测未来，而是创造未来。”——丹尼斯·加博尔</w:t>
      </w:r>
    </w:p>
    <w:p w14:paraId="2A9327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39B4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六章中，我们见证了在评估权力的缝隙与边缘，个体与社群所展现出的坚韧不拔的抵抗与创造精神。从“数据游击”的狡黠，到开源社区的协作，这些“弱者的武器”与“边缘体系”的实践，为我们打破“数字铁笼”的宿命论，提供了宝贵的信心与灵感。然而，我们也必须清醒地认识到，仅仅依靠这些自下而上的、微观的努力，是远远不够的。</w:t>
      </w:r>
    </w:p>
    <w:p w14:paraId="10776D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92F8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微观抵抗，在本质上，是一种在既定权力结构下的“适应性生存策略”。它或许能为个体争得一时的喘息之机，却难以撼动评估权力赖以运作的宏观制度基础。亚文化社群的“另类共识”，虽然能够构建起小范围的价值“避风港”，却时刻面临着被主流商业逻辑收编的风险。去中心化网络的实验，虽然指明了未来的方向，但其自身也面临着巨大的技术、治理与伦理挑战，短期内难以成为普适性的解决方案。</w:t>
      </w:r>
    </w:p>
    <w:p w14:paraId="68DA9E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9828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一场真正意义深远的变革，必须将自下而上的能动性，与自上而下的、有意识的制度重构相结合。我们不仅需要更聪明的“鸡蛋”，更需要从根本上改变那堵坚硬的“高墙”的设计。这正是本章的核心任务：探索在法律、政策、技术标准和公共机构等制度层面，我们可以采取怎样的行动，来约束异化的评估权力，并积极地构建一种我们称之为“评估正义”（Evaluative Justice）的新型社会安排。</w:t>
      </w:r>
    </w:p>
    <w:p w14:paraId="60CB67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0749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“评估正义”是我们为本书的建设性议程所提出的核心规范性理念。它指的是这样一种社会状态：</w:t>
      </w:r>
    </w:p>
    <w:p w14:paraId="022FE6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权力的制衡：评估权力，特别是那些对个体基本权利和公共利益有重大影响的评估权力，必须受到有效的民主监督与法律制衡。</w:t>
      </w:r>
    </w:p>
    <w:p w14:paraId="510FF2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过程的公平：评估的过程，必须是透明的、可问责的、并为受其影响者提供有意义的参与和申诉渠道。</w:t>
      </w:r>
    </w:p>
    <w:p w14:paraId="6271FD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结果的包容：评估的结果，应旨在促进人的全面发展和社会团结，而非加剧不平等、制造歧视和扭曲核心社会价值。</w:t>
      </w:r>
    </w:p>
    <w:p w14:paraId="74EAF4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D36E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将分为四个部分，来逐步展开通往“评估正义”的路径图。首先，我们将批判性地审视当前关于算法治理最主流的两种解决方案——“算法透明度”与“可解释性”，并指出其深刻的局限性。其次，我们将超越流行的“数据所有权”话语，提出一个更具根本性的政治主张——“评估参与权”。再次，我们将具体地探讨，如何通过建立多层次的公共协商机制，来将“评估参与权”落到实处，并设计出更民主的评估体系。最后，我们将综合全书的分析，对未来数字治理提出一个整体性的构想，即实现从“单向控制”到“多主体共建”的范式转移。</w:t>
      </w:r>
    </w:p>
    <w:p w14:paraId="3D22252C">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“算法透明度”与“可解释性”的局限</w:t>
      </w:r>
    </w:p>
    <w:p w14:paraId="167F70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面对算法评估系统日益增长的权力及其所带来的种种弊病，政策制定者、学者和公众舆论中，呼声最高的解决方案，几乎都围绕着两个紧密相关的关键词展开：“透明度”和“可解释性”。</w:t>
      </w:r>
    </w:p>
    <w:p w14:paraId="0DD824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001A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核心逻辑是直观且充满吸引力的：既然算法是一个不透明的“黑箱”，那么我们只需要打开这个黑箱，让它的运作逻辑变得可见、可理解，问题不就解决了吗？如果一个信用评分模型拒绝了你的贷款，它应该“透明地”告诉你原因；如果一个招聘算法筛掉了你的简历，它应该能“解释”其决策的依据。欧盟的《通用数据保护条例》（GDPR）中，已经包含了关于“解释权”的初步条款，这被许多人视为迈向算法问责的关键一步。</w:t>
      </w:r>
    </w:p>
    <w:p w14:paraId="08EDB7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6629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毫无疑问，追求更高程度的透明度与可解释性，是算法治理改革中必要且重要的一环。它至少可以在一定程度上，打破平台和机构的“认知垄断”，为用户提供最基本的知情权。然而，如果我们将其视为解决评估异化问题的“万灵丹”，那将是一种危险的、具有误导性的“技术修补主义”。“透明度”与“可解释性”在其自身，存在着深刻的、难以克服的局限性。</w:t>
      </w:r>
    </w:p>
    <w:p w14:paraId="1E1D0E70">
      <w:pPr>
        <w:pStyle w:val="6"/>
        <w:bidi w:val="0"/>
        <w:rPr>
          <w:rFonts w:hint="eastAsia" w:ascii="宋体" w:hAnsi="宋体" w:eastAsia="宋体" w:cs="宋体"/>
          <w:sz w:val="24"/>
          <w:lang w:val="en-US" w:eastAsia="zh-CN"/>
        </w:rPr>
      </w:pPr>
      <w:r>
        <w:rPr>
          <w:rFonts w:hint="eastAsia"/>
          <w:lang w:val="en-US" w:eastAsia="zh-CN"/>
        </w:rPr>
        <w:t>透明度的三重困境</w:t>
      </w:r>
    </w:p>
    <w:p w14:paraId="794F79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要求平台或政府机构“公开其算法”，听起来是一个简单明了的要求。但在实践中，它面临着至少三重难以逾越的困境：</w:t>
      </w:r>
    </w:p>
    <w:p w14:paraId="4F87ED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4043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商业秘密的壁垒：平台的核心算法，往往被视为其最有价值的“商业秘密”和核心竞争力。要求其完全公开，无异于要求可口可乐公司公布其配方。在现有的知识产权法律框架下，平台有充分的法律依据来抵制这种要求。它们会辩称，完全的透明，将使其算法容易受到竞争对手的模仿和恶意用户的攻击（如“刷分”、“SEO攻击”）。</w:t>
      </w:r>
    </w:p>
    <w:p w14:paraId="2BD10B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3509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技术上的不可知性：现代的许多评估算法，特别是基于深度学习的神经网络模型，其运作逻辑在本质上就是人类难以完全理解的。一个深度神经网络可能拥有数以亿计的参数，它通过对海量数据的“学习”，自行发现和构建了极其复杂的、非线性的决策模式。即便是设计这个模型的工程师，也无法用人类的语言，清晰地解释清楚，为何输入某个特定的数据组合，会得到某个特定的输出结果。算法本身，就是一个连其创造者都无法完全“看透”的黑箱。要求其“透明”，在技术上可能是一个无法完成的任务。</w:t>
      </w:r>
    </w:p>
    <w:p w14:paraId="6FF193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92D3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透明”的无用性：即使我们能够克服前两个障碍，获得了一个算法的完整源代码，对于绝大多数普通用户、甚至对于大多数政策制定者和法官而言，这些由数百万行代码构成的“天书”，又有多大意义呢？真正的透明，需要的不仅仅是“看见”代码的能力，更是理解其背后复杂的数学逻辑、统计假设和数据结构的能力。这种能力，本身就是一种高度稀缺的专业知识。因此，简单的“代码公开”，很可能只会导致一种“透明的假象”：信息在形式上是公开的，但在认知上，普通人依然无法穿透其技术壁垒，权力上的不平等并未得到丝毫改变。</w:t>
      </w:r>
    </w:p>
    <w:p w14:paraId="4CB8EE2C">
      <w:pPr>
        <w:pStyle w:val="6"/>
        <w:bidi w:val="0"/>
        <w:rPr>
          <w:rFonts w:hint="eastAsia" w:ascii="宋体" w:hAnsi="宋体" w:eastAsia="宋体" w:cs="宋体"/>
          <w:sz w:val="24"/>
          <w:lang w:val="en-US" w:eastAsia="zh-CN"/>
        </w:rPr>
      </w:pPr>
      <w:r>
        <w:rPr>
          <w:rFonts w:hint="eastAsia"/>
          <w:lang w:val="en-US" w:eastAsia="zh-CN"/>
        </w:rPr>
        <w:t>可解释性的“事后合理化”风险</w:t>
      </w:r>
    </w:p>
    <w:p w14:paraId="6709D9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克服完全透明的困境，研究者们提出了一个看似更温和、更具操作性的目标——“可解释性”。它不要求你公开全部代码，但要求你的算法系统，能够为其做出的每一个具体决策，提供一个可被人类理解的“解释”。例如，一个可解释的信用评分模型，在拒绝你的贷款后，可能会告诉你：“因为你的负债收入比过高，并且近期有多次逾期还款记录，所以我们拒绝了你的申请。”</w:t>
      </w:r>
    </w:p>
    <w:p w14:paraId="6DAE62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9F0C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这无疑比一个简单的“拒绝”要有价值得多。然而，“可解释性”同样暗藏着深刻的风险，其中最大的风险，就是“事后合理化”。</w:t>
      </w:r>
    </w:p>
    <w:p w14:paraId="5A1068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EF76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解释不等于真相：许多“可解释AI”技术，其运作方式并非是真正地揭示算法“内心”的决策过程，而是在算法做出决策之后，再另外构建一个简化的、看似合理的“代理模型”，来生成一个让用户能够接受的“故事”。这个“故事”，可能与算法真实的、复杂的、甚至是充满偏见的决策依据，并无太大关系。它更像是一个公关说辞，而非一次真诚的交代。</w:t>
      </w:r>
    </w:p>
    <w:p w14:paraId="6C75AB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D8FD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平清洗”的危险：算法可以通过生成一些看似“中立”、“客观”的解释（如“你的工作经验年限不足”），来掩盖其背后真正起作用的、具有歧视性的代理变量（如种族、性别、邮政编码）。例如，一个招聘算法可能实际上因为求职者的邮政编码（这往往与种族和阶级高度相关）而将其筛掉，但它给出的“解释”，却是“通勤距离过远”。这种“可解释性”，非但没有促进公平，反而为歧视穿上了一件“科学”与“合理”的外衣，使其变得更难被发现和挑战。</w:t>
      </w:r>
    </w:p>
    <w:p w14:paraId="3D4E7D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13C6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结构性问题简化为个体归因：可解释性往往将复杂的、系统性的问题，简化为个体层面的、可操作的“改进建议”。一个信用评分系统可能会告诉你“多使用信用卡并按时还款，有助于提升你的分数”，但它永远不会告诉你，这个评分体系本身，就可能系统性地对那些从事非标准就业、收入不稳定的群体不利。它将改变的责任，完全推给了处于弱势地位的个体，而使得评估体系本身的结构性不公，得以豁免于批判。</w:t>
      </w:r>
    </w:p>
    <w:p w14:paraId="7DB4E416">
      <w:pPr>
        <w:pStyle w:val="6"/>
        <w:bidi w:val="0"/>
        <w:rPr>
          <w:rFonts w:hint="eastAsia" w:ascii="宋体" w:hAnsi="宋体" w:eastAsia="宋体" w:cs="宋体"/>
          <w:sz w:val="24"/>
          <w:lang w:val="en-US" w:eastAsia="zh-CN"/>
        </w:rPr>
      </w:pPr>
      <w:r>
        <w:rPr>
          <w:rFonts w:hint="eastAsia"/>
          <w:lang w:val="en-US" w:eastAsia="zh-CN"/>
        </w:rPr>
        <w:t>超越技术修补主义：问题的核心是权力，而非信息</w:t>
      </w:r>
    </w:p>
    <w:p w14:paraId="7665B9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透明度”与“可解释性”的共同局限在于，它们都将评估异化的问题，本质上诊断为了一个“信息不对称”的问题。它们相信，只要我们能够获得更多的、关于算法如何运作的信息，我们就能更好地监督和控制它。</w:t>
      </w:r>
    </w:p>
    <w:p w14:paraId="77BBE0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69CB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如本书自始至终所论证的，评估异化的核心，并非信息问题，而是权力问题。它根植于我们在第一章所定义的“权力差序”结构之中。一个处于劣势地位的用户，即便知道了自己被歧视的“原因”，在大多数情况下，他/她依然缺乏有效的权力去改变这一事实。一个零工劳动者，即便完全“理解”了平台的派单算法，只要他/她无法参与到这个算法的设计与修改之中，就依然只能被动地接受其支配。</w:t>
      </w:r>
    </w:p>
    <w:p w14:paraId="578E89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82CF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真正的解决方案，不能仅仅停留在“打开黑箱”的技术性幻想之上。它必须直面问题的核心——如何对评估权力本身，进行重新的、更民主的分配？这就要求我们将议程，从对“信息权”的追求，提升到对一种更根本的权利——“评估参与权”——的主张之上。</w:t>
      </w:r>
    </w:p>
    <w:p w14:paraId="6F4D7CD2">
      <w:pPr>
        <w:pStyle w:val="5"/>
        <w:bidi w:val="0"/>
        <w:rPr>
          <w:rFonts w:hint="eastAsia" w:ascii="宋体" w:hAnsi="宋体" w:eastAsia="宋体" w:cs="宋体"/>
          <w:sz w:val="24"/>
          <w:lang w:val="en-US" w:eastAsia="zh-CN"/>
        </w:rPr>
      </w:pPr>
      <w:r>
        <w:rPr>
          <w:rFonts w:hint="eastAsia" w:ascii="宋体" w:hAnsi="宋体" w:eastAsia="宋体" w:cs="宋体"/>
          <w:lang w:val="en-US" w:eastAsia="zh-CN"/>
        </w:rPr>
        <w:t>“数据所有权”之外：主张“评估参与权”</w:t>
      </w:r>
    </w:p>
    <w:p w14:paraId="2968AA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寻求对平台权力进行制度性约束的讨论中，除了“算法透明度”，另一个广为流传的、看似激进的方案，是“数据所有权”。其核心思想是，既然我们的个人数据是平台利润的源泉，那么我们就应该像拥有土地或房屋一样，拥有对我们数据的“所有权”。</w:t>
      </w:r>
    </w:p>
    <w:p w14:paraId="0A9409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F1F4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这一主张，衍生出了两种主要的改革路径：</w:t>
      </w:r>
    </w:p>
    <w:p w14:paraId="56600B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数据作为财产权：这种观点主张，用户应该可以将自己的数据，作为一种可交易的资产，出售给平台或“数据中介”，从而分享平台所获得的利润。一些经济学家和科技创业者（如Jaron Lanier）是这一路径的积极倡导者，他们设想了一种“数据即劳动”的未来，每个人都可以通过出售自己的数据来获得收入。</w:t>
      </w:r>
    </w:p>
    <w:p w14:paraId="5A8F7C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数据作为人权：这种观点，更多地体现在欧盟的GDPR之中。它不强调数据的商业价值，而强调个体对其数据的“控制权”，包括知情同意权、访问权、更正权、删除权（“被遗忘权”）以及数据可携权。其目标，是保护个人的隐私与尊严，使其免受不受约束的数据采集与利用的侵害。</w:t>
      </w:r>
    </w:p>
    <w:p w14:paraId="5D1ED8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42C8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所有权”的话语，无疑具有巨大的进步意义。它将“数据”这个看似技术性的议题，成功地转化为一个关乎权利与分配的政治议题，极大地提升了公众的权利意识。然而，与“透明度”相似，如果我们仅仅停留在“数据所有权”的框架内，我们将再次错失问题的核心。</w:t>
      </w:r>
    </w:p>
    <w:p w14:paraId="766FA26B">
      <w:pPr>
        <w:pStyle w:val="6"/>
        <w:bidi w:val="0"/>
        <w:rPr>
          <w:rFonts w:hint="eastAsia" w:ascii="宋体" w:hAnsi="宋体" w:eastAsia="宋体" w:cs="宋体"/>
          <w:sz w:val="24"/>
          <w:lang w:val="en-US" w:eastAsia="zh-CN"/>
        </w:rPr>
      </w:pPr>
      <w:r>
        <w:rPr>
          <w:rFonts w:hint="eastAsia"/>
          <w:lang w:val="en-US" w:eastAsia="zh-CN"/>
        </w:rPr>
        <w:t>“数据所有权”的内在困境</w:t>
      </w:r>
    </w:p>
    <w:p w14:paraId="138039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将“所有权”这一源于处理有形财产的法律概念，直接套用到“数据”这一无形的、关系性的、可无限复制的“非竞争性”物品上，会带来一系列难以解决的理论与实践困境。</w:t>
      </w:r>
    </w:p>
    <w:p w14:paraId="434C46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C945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即财产”的陷阱：将数据商品化的路径，其最终结果，很可能不是“赋权”于民，而是将现有的社会不平等，进一步合法化和固化。在一个贫富差距巨大的社会，最需要钱的穷人，将最有可能以低廉的价格“出售”自己最敏感的数据，从而使自己暴露在更大的风险和歧视之下。这种模式，非但没有挑战平台的剥削，反而可能创造出一个更加赤裸裸的“数据人肉市场”，将“出卖隐私”变成穷人的一种生存方式。</w:t>
      </w:r>
    </w:p>
    <w:p w14:paraId="44B52D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DCA7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控制权”的虚幻性：GDPR所倡导的个体控制权，虽然在保护个人隐私方面迈出了重要一步，但在制衡平台的结构性权力方面，其作用是有限的。首先，“知情同意”在实践中，往往沦为一种无人阅读的、长篇大论的“条款与条件”的“一键同意”，并未带来真正的知情。其次，即便你行使了“删除权”，平台也可能已经将你的数据，以一种匿名的、聚合的形式，整合进了其算法模型之中，这种“知识”是无法被“删除”的。最重要的是，拥有对“原材料”（数据）的控制权，不等于拥有对“工厂”（算法模型）和“生产规则”（评估体系）的控制权。平台的核心权力，不在于其占有了某一条具体的数据，而在于其拥有处理和解释海量数据的、由算法所构成的“评估机器”。</w:t>
      </w:r>
    </w:p>
    <w:p w14:paraId="15FA1E87">
      <w:pPr>
        <w:pStyle w:val="6"/>
        <w:bidi w:val="0"/>
        <w:rPr>
          <w:rFonts w:hint="eastAsia" w:ascii="宋体" w:hAnsi="宋体" w:eastAsia="宋体" w:cs="宋体"/>
          <w:sz w:val="24"/>
          <w:lang w:val="en-US" w:eastAsia="zh-CN"/>
        </w:rPr>
      </w:pPr>
      <w:r>
        <w:rPr>
          <w:rFonts w:hint="eastAsia"/>
          <w:lang w:val="en-US" w:eastAsia="zh-CN"/>
        </w:rPr>
        <w:t>从“数据权”到“评估权”：一个范式的转换</w:t>
      </w:r>
    </w:p>
    <w:p w14:paraId="51A5BC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问题的关键在于，数据的价值，并非内在于数据本身，而是在于它被置于一个特定的评估体系中进行处理和解释时，才被“激活”和“创造”出来的。你的一次打车记录，本身毫无价值。但当它与其他数百万人的打车记录汇集在一起，被用来训练一个预测交通拥堵的算法模型时，它就产生了巨大的价值。</w:t>
      </w:r>
    </w:p>
    <w:p w14:paraId="21F66D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3743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仅仅围绕着数据的“所有权”或“控制权”进行博弈，是远远不够的。这就好比，在一个封建庄园里，佃农们争论的焦点，是自己种出的小麦，应该上交七成还是六成，却从未质疑过地主凭什么拥有对土地的垄断权和对收成的最终分配权。</w:t>
      </w:r>
    </w:p>
    <w:p w14:paraId="569090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BDB9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真正的变革，需要一次范式的转换：从关注“数据权利”，转向关注“评估权利”。我们需要主张一种全新的、更根本的数字公民权——“评估参与权”（The Right to Participate in Evaluation）。</w:t>
      </w:r>
    </w:p>
    <w:p w14:paraId="6D31F8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9EEE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参与权”指的是，任何一个公民，当其生活受到某个评估体系（特别是那些由大型平台或政府机构所运作的、具有公共性的评估体系）的重大影响时，他/她有权利以一种有意义的方式，直接或间接地参与到这个评估体系的设计、运作、监督和修改过程之中。</w:t>
      </w:r>
    </w:p>
    <w:p w14:paraId="54C4A8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31B5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这一权利主张，将斗争的焦点，从评估的“输入端”（数据），直接推向了评估的“处理核心”（算法与规则）和“权力中心”（治理结构）。它包含以下几个层面的具体诉求：</w:t>
      </w:r>
    </w:p>
    <w:p w14:paraId="7C06F3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D22D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参与标准制定：一个评估体系的核心，是其所依据的标准和价值。例如，一个网约车平台的司机评分体系，究竟应该更看重“效率”还是“安全”？一个内容推荐算法，应该优先推荐“热门”内容还是“多元”内容？这些关乎价值排序的根本性问题，不应该由平台公司的产品经理和工程师秘密地决定，而应该在一个更广阔的、有司机、乘客、城市管理者、公共利益代表等多方参与的框架下，进行公开的讨论和协商。</w:t>
      </w:r>
    </w:p>
    <w:p w14:paraId="13FA84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FBBC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参与算法审计：公众有权通过独立的、受信任的第三方机构（如学术研究者、非政府组织、专门的监管机构），对那些具有重大公共影响的算法系统，进行定期的、深入的“审计”。这种审计，不仅要检查算法是否存在歧视性偏见（如种族、性别歧视），更要评估其对劳动者权益、市场公平竞争、公共话语健康等一系列社会价值的整体影响。</w:t>
      </w:r>
    </w:p>
    <w:p w14:paraId="06B0F5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8B8D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参与治理与申诉：必须建立起独立于平台自身的、有效的申诉与救济机制。当一个用户或劳动者认为自己遭到了算法不公正的对待时，他不应该只能向平台的客服机器人进行无效的申诉，而应该有一个类似于“算法监察员”或“数字劳动法庭”的公共机构，来对其案件进行独立的调查和裁决。更进一步，平台的治理结构本身，也应该进行民主化改造，例如，在董事会中设立代表劳动者和公共利益的席位。</w:t>
      </w:r>
    </w:p>
    <w:p w14:paraId="58066DFE">
      <w:pPr>
        <w:pStyle w:val="6"/>
        <w:bidi w:val="0"/>
        <w:rPr>
          <w:rFonts w:hint="eastAsia" w:ascii="宋体" w:hAnsi="宋体" w:eastAsia="宋体" w:cs="宋体"/>
          <w:sz w:val="24"/>
          <w:lang w:val="en-US" w:eastAsia="zh-CN"/>
        </w:rPr>
      </w:pPr>
      <w:r>
        <w:rPr>
          <w:rFonts w:hint="eastAsia"/>
          <w:lang w:val="en-US" w:eastAsia="zh-CN"/>
        </w:rPr>
        <w:t>“评估参与权”的理论基础</w:t>
      </w:r>
    </w:p>
    <w:p w14:paraId="2B5EFE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主张“评估参与权”，并非一个凭空产生的乌托邦构想。它深深地植根于悠久的民主政治理论传统之中。</w:t>
      </w:r>
    </w:p>
    <w:p w14:paraId="1369D1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E674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它体现了“所有受影响者原则”（All-Affected Principle）：这是民主理论的一条核心原则，即所有受到某项决策重大影响的人，都应该有权利参与到该决策的制定过程之中。在数字时代，平台的算法决策，其影响范围早已远远超出了公司的边界，深刻地塑造着我们的城市交通、劳动市场和公共舆论。因此，将这些决策置于民主参与的框架之下，是天经地义的。</w:t>
      </w:r>
    </w:p>
    <w:p w14:paraId="28410F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5F68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呼应了“经济民主”的理念：长期以来，民主的原则主要被局限于政治领域。而“经济民主”的传统则主张，应该将民主的原则，同样适用于经济领域，特别是工作场所。工人不应仅仅是资本的雇佣工具，而应该成为企业治理的共同参与者（如德国的“共同决定”制度）。在平台经济的背景下，“评估参与权”正是“经济民主”理念在算法管理时代的具体化身。</w:t>
      </w:r>
    </w:p>
    <w:p w14:paraId="73C081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27F5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旨在重建“交往理性”：“评估参与权”的最终目标，是将被平台商业逻辑所主导的、单向度的“策略性评估”，重新改造为一种哈贝马斯意义上的、多方参与的、旨在达成“共识”的“交往性评估”。它试图在冰冷的代码和逐利的资本之间，重新开辟出一个属于公共理性的审议空间。</w:t>
      </w:r>
    </w:p>
    <w:p w14:paraId="683053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4E65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数据所有权”到“评估参与权”，这不仅仅是一个口号的改变，更是一场深刻的政治议程的转移。它要求我们不再将自己仅仅看作是需要保护其隐私的“数据主体”，或是有权出售其数据的“数字无产者”，而是要将自己重新想象为有权利、有责任去共同塑造我们所生活的数字基础设施的“数字公民”。</w:t>
      </w:r>
    </w:p>
    <w:p w14:paraId="5277CF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D437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然而，一项权利，如果仅仅停留在纸面上，是毫无意义的。真正的挑战在于：我们如何才能在实践中，设计出有效的制度机制，来承载和实现这项崇高的权利？</w:t>
      </w:r>
    </w:p>
    <w:p w14:paraId="37F270B6">
      <w:pPr>
        <w:pStyle w:val="5"/>
        <w:bidi w:val="0"/>
        <w:rPr>
          <w:rFonts w:hint="eastAsia" w:ascii="宋体" w:hAnsi="宋体" w:eastAsia="宋体" w:cs="宋体"/>
          <w:sz w:val="24"/>
          <w:lang w:val="en-US" w:eastAsia="zh-CN"/>
        </w:rPr>
      </w:pPr>
      <w:r>
        <w:rPr>
          <w:rFonts w:hint="eastAsia" w:ascii="宋体" w:hAnsi="宋体" w:eastAsia="宋体" w:cs="宋体"/>
          <w:lang w:val="en-US" w:eastAsia="zh-CN"/>
        </w:rPr>
        <w:t>建立公共协商机制：如何设计更民主的评估体系？</w:t>
      </w:r>
    </w:p>
    <w:p w14:paraId="3E7474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主张“评估参与权”，自然会引向一个更具实践性的问题：如何设计？我们如何才能在复杂的、快速迭代的、由技术专家所主导的算法世界中，创造出真正有意义的、普通公民也能够有效参与的公共协商机制？</w:t>
      </w:r>
    </w:p>
    <w:p w14:paraId="38144E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7E34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个巨大的挑战，不存在任何简单划一的答案。它需要我们在不同的领域、针对不同的评估系统，进行长期的、多层次的制度创新实验。本节将尝试勾勒出一些可能的设计原则和制度构想，它们共同指向一个目标：将被评估者，从评估的“客体”，转变为评估的“共同主体”。</w:t>
      </w:r>
    </w:p>
    <w:p w14:paraId="6CB4C9DF">
      <w:pPr>
        <w:pStyle w:val="6"/>
        <w:bidi w:val="0"/>
        <w:rPr>
          <w:rFonts w:hint="eastAsia"/>
          <w:lang w:val="en-US" w:eastAsia="zh-CN"/>
        </w:rPr>
      </w:pPr>
      <w:r>
        <w:rPr>
          <w:rFonts w:hint="eastAsia"/>
          <w:lang w:val="en-US" w:eastAsia="zh-CN"/>
        </w:rPr>
        <w:t>设计原则：从“赋权”而非“咨询”出发</w:t>
      </w:r>
    </w:p>
    <w:p w14:paraId="49BDF0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我们必须明确，我们所要建立的，不是那种象征性的、仅供“咨询”的“用户反馈小组”。许多平台已经设立了类似的机制，但它们往往只是平台用来装点门面、平息批评的公关工具。一个真正民主的协商机制，必须以“权力分享”和“实质性赋权”为核心设计原则。这意味着，协商的结果，必须对评估体系的实际运作，具有某种程度的、制度化的约束力。</w:t>
      </w:r>
    </w:p>
    <w:p w14:paraId="0656A791">
      <w:pPr>
        <w:pStyle w:val="6"/>
        <w:bidi w:val="0"/>
        <w:rPr>
          <w:rFonts w:hint="eastAsia"/>
          <w:lang w:val="en-US" w:eastAsia="zh-CN"/>
        </w:rPr>
      </w:pPr>
      <w:r>
        <w:rPr>
          <w:rFonts w:hint="eastAsia"/>
          <w:lang w:val="en-US" w:eastAsia="zh-CN"/>
        </w:rPr>
        <w:t>多层次的协商架构</w:t>
      </w:r>
    </w:p>
    <w:p w14:paraId="7DAF76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一个有效的公共协商体系，不应该是一个单一的、大一统的机构，而应该是一个多层次的、由不同类型的机构所组成的“生态系统”。我们可以设想一个从微观到宏观的、层层递进的架构：</w:t>
      </w:r>
    </w:p>
    <w:p w14:paraId="0B3239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B55EB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微观层面：工作场所的“算法委员会”</w:t>
      </w:r>
    </w:p>
    <w:p w14:paraId="0E9B2A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平台经济的劳动领域，我们可以借鉴传统制造业中的“劳资协商会议”或“工厂委员会”的模式，在制度上要求大型零工平台，建立由劳动者代表、平台管理者、技术专家和独立第三方共同组成的“算法委员会”（Algorithmic Council）。</w:t>
      </w:r>
    </w:p>
    <w:p w14:paraId="7589D7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E201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其职能可以包括：</w:t>
      </w:r>
    </w:p>
    <w:p w14:paraId="2482BB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定期审查和讨论平台的派单、定价、评分等核心算法的变更。</w:t>
      </w:r>
    </w:p>
    <w:p w14:paraId="01CFF4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处理劳动者提出的、关于算法不公的集体申诉。</w:t>
      </w:r>
    </w:p>
    <w:p w14:paraId="28C364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就劳动者的工作条件、收入保障、数据隐私等问题，与平台进行集体谈判。</w:t>
      </w:r>
    </w:p>
    <w:p w14:paraId="24149C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对新算法的上线，具有一定的“建议权”甚至“否决权”。</w:t>
      </w:r>
    </w:p>
    <w:p w14:paraId="58D88A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A599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其代表的产生：劳动者代表，应通过民主选举产生，并可以得到新型的“平台工会”或劳动者权益组织的支持与培训，以提升其与平台进行专业对话的能力。</w:t>
      </w:r>
    </w:p>
    <w:p w14:paraId="1685C8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836C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其成功的关键：在于法律的强制性保障。仅仅依靠平台的“自愿”，是无法建立起真正有力的协商机制的。政府需要通过修订劳动法或出台专门的“平台工作法”，来明确赋予劳动者这种“算法集体谈判权”。</w:t>
      </w:r>
    </w:p>
    <w:p w14:paraId="170098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E63E2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中观层面：特定领域的“公民陪审团”与“共识会议”</w:t>
      </w:r>
    </w:p>
    <w:p w14:paraId="58CE07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对于那些影响更广泛社会领域的评估系统（如社会信用体系、教育评估系统、医疗资源分配算法），我们可以引入在审议民主实践中，已经被证明行之有效的“公民陪审团”（Citizens' Jury）或“共识会议”（Consensus Conference）模式。</w:t>
      </w:r>
    </w:p>
    <w:p w14:paraId="203892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DDF2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运作方式：随机抽取一批普通公民（类似于法院的陪审团），在一段时间内（如几个周末），让他们密集地听取来自各方专家（技术专家、社会学家、伦理学家、利益相关群体代表）的证词和简报，并就某个具体的评估体系的设计原则（如“一个公正的社会信用体系，应该包含哪些维度的信息？”），进行深入的、有引导的内部讨论，最终形成一份代表“深思熟虑后的民意”的政策建议报告。</w:t>
      </w:r>
    </w:p>
    <w:p w14:paraId="50AC94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97B6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其优势在于：</w:t>
      </w:r>
    </w:p>
    <w:p w14:paraId="5F6DB0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克服专业壁垒：它通过一个结构化的学习过程，让普通公民也能够对复杂的技术与社会议题，形成有见地的判断。</w:t>
      </w:r>
    </w:p>
    <w:p w14:paraId="2AAA87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超越利益博弈：由于公民代表是随机抽取的，且与议题没有直接的利益关系，他们的讨论能够更少地受到党派政治和利益集团的操纵，从而更能代表“公共利益”。</w:t>
      </w:r>
    </w:p>
    <w:p w14:paraId="0E45FB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提升决策的民主合法性：一份由公民陪审团所形成的报告，对于政府和平台而言，将具有强大的道义与政治压力，能够有效地影响最终的决策。</w:t>
      </w:r>
    </w:p>
    <w:p w14:paraId="1D1A9F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C382E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宏观层面：独立的“数字监管机构”与“算法审计标准”</w:t>
      </w:r>
    </w:p>
    <w:p w14:paraId="5943D2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在国家层面，我们需要建立一个或多个类似于“食品药品监督管理局”（FDA）或“环境保护署”（EPA）的、独立的、拥有强大专业能力和执法权力的“数字监管机构”。</w:t>
      </w:r>
    </w:p>
    <w:p w14:paraId="46233E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A4C4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其核心职责：</w:t>
      </w:r>
    </w:p>
    <w:p w14:paraId="2AF421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定“算法审计”的行业标准与最佳实践：与会计师事务所审计企业财务报表类似，这个机构需要联合技术专家、法律专家和社会科学家，共同开发一套用于评估算法系统公平性、安全性和社会影响的标准化流程与工具。</w:t>
      </w:r>
    </w:p>
    <w:p w14:paraId="398CDF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授权并监督独立的第三方审计机构：它自身不一定直接进行所有审计，但它可以像认证会计师一样，授权一批合格的、独立的第三方机构（可以是商业公司、学术机构或非营利组织），来对市场上的关键算法系统，进行定期的“体检”。</w:t>
      </w:r>
    </w:p>
    <w:p w14:paraId="637FFE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行“算法影响评估”：强制要求平台和政府机构，在上线任何一个新的、具有重大社会影响的评估系统之前，必须提交一份详尽的“算法影响评估报告”，类似于重大建设项目的“环境影响评估”。这份报告必须向公众公开，并接受监管机构和公众的质询。</w:t>
      </w:r>
    </w:p>
    <w:p w14:paraId="2673A3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调查与执法：当审计发现严重问题，或收到大量公众投诉时，该机构有权启动深入调查，并对违规的平台或机构，处以高额罚款、强制整改、甚至“算法下架”等惩罚。</w:t>
      </w:r>
    </w:p>
    <w:p w14:paraId="48EE784A">
      <w:pPr>
        <w:pStyle w:val="6"/>
        <w:bidi w:val="0"/>
        <w:rPr>
          <w:rFonts w:hint="eastAsia"/>
          <w:lang w:val="en-US" w:eastAsia="zh-CN"/>
        </w:rPr>
      </w:pPr>
      <w:r>
        <w:rPr>
          <w:rFonts w:hint="eastAsia"/>
          <w:lang w:val="en-US" w:eastAsia="zh-CN"/>
        </w:rPr>
        <w:t>赋能公民社会：评估素养教育与公共资源的投入</w:t>
      </w:r>
    </w:p>
    <w:p w14:paraId="3A3D88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所有这些制度设计，都离不开一个充满活力的、有能力的公民社会的支撑。因此，制度重构的另一个重要方面，是赋能。</w:t>
      </w:r>
    </w:p>
    <w:p w14:paraId="6E15AA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A65F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推广“评估素养”教育：我们需要将“评估素养”或“算法素养”，作为一种基础的公民技能，纳入从基础教育到高等教育的国民教育体系之中。未来的公民，不仅需要学会如何“使用”数字工具，更需要学会如何批判性地“审视”这些工具背后的权力逻辑。</w:t>
      </w:r>
    </w:p>
    <w:p w14:paraId="4E939F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CDF4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支持独立的“算法观察”组织：政府和公益基金会，应该投入更多的资源，来支持那些致力于算法研究、调查报道、公众教育和权利倡"倡"导的非营利组织、学术机构和独立媒体。它们是构成“数字监管生态”中，不可或缺的“啄木鸟”和“吹哨人”。</w:t>
      </w:r>
    </w:p>
    <w:p w14:paraId="783295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355A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开发“反评估”的公共工具：我们可以借鉴开源社区的模式，由公共资金支持，开发一系列旨在帮助用户保护自己、理解和对抗评估权力的“公共数字工具”。例如，能够清晰地向用户展示其“数据身体”被如何画像的隐私仪表盘，或者能够检测网络内容是否存在政治偏见的浏览器插件。</w:t>
      </w:r>
    </w:p>
    <w:p w14:paraId="563177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75CA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在微观、中观、宏观三个层面，建立起这样一套相互支撑的公共协商与监管机制，并辅之以对公民社会的长期赋能，我们才有可能将抽象的“评估参与权”，转化为一种鲜活的、制度化的民主实践。这无疑是一项长期而艰巨的系统工程，它需要政治意愿、制度创新和持续的社会博弈。但这并非一个遥不可及的乌托邦，而是我们在一个日益被算法所塑造的世界中，捍卫民主价值与人类尊严的必由之路。</w:t>
      </w:r>
    </w:p>
    <w:p w14:paraId="6C72A485">
      <w:pPr>
        <w:pStyle w:val="5"/>
        <w:bidi w:val="0"/>
        <w:rPr>
          <w:rFonts w:hint="eastAsia" w:ascii="宋体" w:hAnsi="宋体" w:eastAsia="宋体" w:cs="宋体"/>
          <w:sz w:val="24"/>
          <w:lang w:val="en-US" w:eastAsia="zh-CN"/>
        </w:rPr>
      </w:pPr>
      <w:r>
        <w:rPr>
          <w:rFonts w:hint="eastAsia" w:ascii="宋体" w:hAnsi="宋体" w:eastAsia="宋体" w:cs="宋体"/>
          <w:lang w:val="en-US" w:eastAsia="zh-CN"/>
        </w:rPr>
        <w:t>对未来数字治理的构想：从单向控制到多主体共建</w:t>
      </w:r>
    </w:p>
    <w:p w14:paraId="40152E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在本章的结尾，也是全书的尾声，让我们从具体的制度设计，再次回到一个更具哲学性的、整体性的构想。贯穿全书的分析，实际上是在描绘两种截然不同的数字治理范式之间的斗争。</w:t>
      </w:r>
    </w:p>
    <w:p w14:paraId="0AB06D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0E1E8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第一种范式，是“单向控制”的范式。</w:t>
      </w:r>
    </w:p>
    <w:p w14:paraId="56446F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这是我们当下在很大程度上所处的现实。在这种范式中：</w:t>
      </w:r>
    </w:p>
    <w:p w14:paraId="32457D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权力是集中的：评估权力高度集中在少数大型平台和国家机构手中。</w:t>
      </w:r>
    </w:p>
    <w:p w14:paraId="399E09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逻辑是工具性的：评估的主要目标，是追求效率、利润、安全与可控性等工具性价值。</w:t>
      </w:r>
    </w:p>
    <w:p w14:paraId="2CED0E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过程是不透明的：评估在“黑箱”中进行，其规则由精英秘密制定。</w:t>
      </w:r>
    </w:p>
    <w:p w14:paraId="26E76E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主体是被动的：普通公民和劳动者，是评估的被动客体，是需要被管理、被预测、被引导的对象。</w:t>
      </w:r>
    </w:p>
    <w:p w14:paraId="708A73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其最终的图景，是一个由算法所精密调节的、看似高效稳定、实则扼杀了个体自主性与社会活力的“数字铁笼”。</w:t>
      </w:r>
    </w:p>
    <w:p w14:paraId="5C2F4D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AC466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第二种范式，是我们通过全书的批判与重构，所试图勾勒的“多主体共建”的范式。</w:t>
      </w:r>
    </w:p>
    <w:p w14:paraId="142A08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这是我们为之奋斗的未来。在这种范式中：</w:t>
      </w:r>
    </w:p>
    <w:p w14:paraId="486FC8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权力是分散与制衡的：评估权力，通过民主的制度设计，被分享给包括用户、劳动者、社群、公共机构在内的多个主体，形成一种网络化的制衡结构。</w:t>
      </w:r>
    </w:p>
    <w:p w14:paraId="4D6D32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逻辑是交往性的：评估的首要目标，不再是控制，而是促进主体间的相互理解、公共善的协商以及人的全面发展等实质性价值。</w:t>
      </w:r>
    </w:p>
    <w:p w14:paraId="3E590F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过程是协商与透明的：评估的核心规则，通过公开的、多方参与的协商过程来确定，其运作过程接受持续的公共监督。</w:t>
      </w:r>
    </w:p>
    <w:p w14:paraId="3A5219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主体是能动的：普通公民和劳动者，不再仅仅是评估的客体，更是评估体系的共同设计者、共同监督者和共同拥有者。</w:t>
      </w:r>
    </w:p>
    <w:p w14:paraId="1FD6A4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其最终的图景，是一个或许不那么“高效”、充满了持续的协商与健康的冲突，但却更具韧性、更具创新活力、也更符合人类尊严的、开放的“数字共和”。</w:t>
      </w:r>
    </w:p>
    <w:p w14:paraId="57849A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21FD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单向控制”到“多主体共建”的范式转移，是21世纪数字社会所面临的核心政治任务。它要求我们超越两种简单化的思维定势：一是天真的“技术乌托邦主义”，相信技术自身能够自动解决所有社会问题；二是悲观的“技术决定论”，认为我们注定要被强大的技术系统所奴役。</w:t>
      </w:r>
    </w:p>
    <w:p w14:paraId="47A010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63F2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所主张的，是第三条道路：一种“批判性的技术政治”。这条道路承认技术的强大塑造力，但坚信技术的发展方向并非是命中注定的。技术，始终是社会价值与权力斗争的产物和场域。我们可以，也必须，通过有意识的、民主的政治行动，来将技术这匹桀骜不驯的“野马”，驯服为服务于公共利益和人类福祉的“良驹”。</w:t>
      </w:r>
    </w:p>
    <w:p w14:paraId="639DCF92">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结论：在评估的枷锁下，重新锻造钥匙</w:t>
      </w:r>
    </w:p>
    <w:p w14:paraId="385D78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以“评估的枷锁”这一略显沉重的意象，开启了这段漫长的思想旅程。我们剖析了这副枷锁的哲学根源、历史演变及其在当代数字社会中的具体形态。我们看到了它如何束缚我们的身体、规训我们的劳动、污染我们的话语、并最终试图锁住我们的未来。</w:t>
      </w:r>
    </w:p>
    <w:p w14:paraId="288B23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3D51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然而，在旅程的终点，我们希望留给读者的，并非绝望，而是一种清醒的、有行动力的希望。</w:t>
      </w:r>
    </w:p>
    <w:p w14:paraId="3C85E1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0526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因为，任何一副枷锁，都是由人所锻造的。而凡是由人所锻造之物，也必将能由人来重新锻造。我们所需要的，是找到那把能够打开这副枷锁的“钥匙”。</w:t>
      </w:r>
    </w:p>
    <w:p w14:paraId="2E3E9A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545E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本书认为，这把钥匙，并非是某一种单一的技术、某一部完美的法律、或某一个天才的制度设计。它是由无数个微小而坚韧的行动所共同构成的：</w:t>
      </w:r>
    </w:p>
    <w:p w14:paraId="1D5CD5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它存在于一个普通用户，在下一次点击“同意”之前，愿意花五分钟去阅读隐私条款的审慎之中。</w:t>
      </w:r>
    </w:p>
    <w:p w14:paraId="6C68F2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它存在于一个零工劳动者，在微信群里与同伴分享如何应对算法不公的经验的团结之中。</w:t>
      </w:r>
    </w:p>
    <w:p w14:paraId="5E5BD1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它存在于一个亚文化社群，在一个被流量所主导的世界里，依然坚持“为爱发电”的热爱之中。</w:t>
      </w:r>
    </w:p>
    <w:p w14:paraId="69D211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它存在于一个开源开发者，为一个公共的、开放的软件基础设施，贡献自己智慧的利他之中。</w:t>
      </w:r>
    </w:p>
    <w:p w14:paraId="4494DE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它存在于一个调查记者，揭露算法歧视的勇气之中。</w:t>
      </w:r>
    </w:p>
    <w:p w14:paraId="26D631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它存在于一个政策制定者，推动“评估参与权”立法的远见之中。</w:t>
      </w:r>
    </w:p>
    <w:p w14:paraId="78C1FB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它存在于一个教育者，教导下一代如何批判性地思考技术的责任之中。</w:t>
      </w:r>
    </w:p>
    <w:p w14:paraId="5A19C8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B4FF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正义”的实现，归根结底，依赖于我们每一个人，作为“数字公民”的觉醒与行动。它要求我们拒绝被简化为“数据点”，拒绝成为被动的“消费者”和“用户”，而是要重新拾起我们作为历史的共同创造者的身份。</w:t>
      </w:r>
    </w:p>
    <w:p w14:paraId="2CFDA2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913A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在评估的枷锁之下，我们不仅要学会舞蹈，更要学会如何成为一名锁匠。这便是本书希望传递的最终信息，也是我们共同迈向一个更值得期待的数字未来的起点。</w:t>
      </w:r>
    </w:p>
    <w:p w14:paraId="6119531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5442FEE8">
      <w:pPr>
        <w:pStyle w:val="3"/>
        <w:bidi w:val="0"/>
        <w:rPr>
          <w:rFonts w:hint="eastAsia" w:ascii="宋体" w:hAnsi="宋体" w:eastAsia="宋体" w:cs="宋体"/>
          <w:lang w:val="en-US" w:eastAsia="zh-CN"/>
        </w:rPr>
      </w:pPr>
      <w:bookmarkStart w:id="20" w:name="_Toc1083024252"/>
      <w:r>
        <w:rPr>
          <w:rFonts w:hint="eastAsia" w:ascii="宋体" w:hAnsi="宋体" w:eastAsia="宋体" w:cs="宋体"/>
          <w:lang w:val="en-US" w:eastAsia="zh-CN"/>
        </w:rPr>
        <w:t>结论：在评估的枷锁下舞蹈</w:t>
      </w:r>
      <w:bookmarkEnd w:id="20"/>
    </w:p>
    <w:p w14:paraId="613A5B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“在一个荒谬的世界里，反抗的最高形式，就是快乐地生活。”——阿尔贝·加缪</w:t>
      </w:r>
    </w:p>
    <w:p w14:paraId="07490C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4151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开篇，我们引入了“评估的枷锁”这一核心意象，试图捕捉当代社会中一种弥散性的、日益增强的生存体验：我们的生活，正被一套由数据和算法驱动的、无所不在的评估体系所深度塑造与束缚。从求学、求职到消费、社交，从个人信用的评定到公共领域的辩论，我们仿佛置身于一个巨大的、由无数面镜子构成的圆形监狱之中，每一个行动、每一次选择、甚至每一个潜在的“可能性”，都被这套体系所映照、量化、评判和规训。</w:t>
      </w:r>
    </w:p>
    <w:p w14:paraId="080DE5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3CF3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经过七章漫长的、有时甚至令人感到窒，息的分析，我们已经系统地解剖了这副枷锁的内部构造。我们追溯了其权力的哲学本体论，考察了其异化的历史谱系，并深入到国家治理、市场经济和公共领域这三大经验场域，见证了它在数字技术的加持下，如何展现出前所未有的精密与强度。我们也探讨了在制度层面重构这副枷锁的宏大工程，以及在微观层面与之周旋的种种“弱者的武器”。</w:t>
      </w:r>
    </w:p>
    <w:p w14:paraId="44F28B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769C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现在，当我们抵达这段思想旅程的终点时，我们必须回答一个根本性的问题：在完成了这场深刻的批判之后，我们应该以一种怎样的姿态，来面对这个被全面评估的时代？</w:t>
      </w:r>
    </w:p>
    <w:p w14:paraId="14D5F1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B4F6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标题——“在评估的枷锁下舞蹈”——试图给出一种回答。它包含着一种双重的、充满张力的意蕴。一方面，它清醒地承认“枷锁”的客观存在。我们无法通过简单的意志行动，就让自己瞬间“逃离”这个被评估的结构。天真地否认或无视这副枷锁的重量，只会让我们在不知不觉中，被它束缚得更紧。</w:t>
      </w:r>
    </w:p>
    <w:p w14:paraId="03A7FE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DB34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另一方面，“舞蹈”则象征着一种不屈的、充满创造力的、属于人之为人的能动性与生命力。舞蹈，是在有限的空间内，创造出无限的姿态；是在既定的节奏中，展现出独特的风格；是在重力的束缚下，表达出对轻盈的渴望。在评估的枷锁下舞蹈，意味着我们拒绝被这副枷锁所完全定义，拒绝沦为一个被动的、可计算的“数据身体”。它意味着，我们要在所有的限制与规训之中，努力为自己开辟出一小块可以自由呼吸、可以保持尊严、可以活出“人之为人”的丰富性与可能性的空间。</w:t>
      </w:r>
    </w:p>
    <w:p w14:paraId="2C085C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2659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作为全书的结论，将通过三个步骤来展开这一最终的思考。首先，我们将对全书的核心论点进行一次高度浓缩的总结，再次明确“评估权力”作为我们理解数字时代核心治理逻辑的分析框架的有效性。其次，我们将简要阐述本书可能做出的理论贡献，并指出未来值得进一步研究的方向。最后，也是最重要的一点，我们将从宏大的理论分析，回归到每一个体所面临的实践性、甚至可以说是存在性的挑战，探讨在一个被全面评估的时代，我们究竟该如何行动，才能为自己、也为我们所珍视的价值，保留下那至关重要的“可用余量”（the available surplus）。</w:t>
      </w:r>
    </w:p>
    <w:p w14:paraId="4DEB71D2">
      <w:pPr>
        <w:pStyle w:val="5"/>
        <w:bidi w:val="0"/>
        <w:rPr>
          <w:rFonts w:hint="eastAsia" w:ascii="宋体" w:hAnsi="宋体" w:eastAsia="宋体" w:cs="宋体"/>
          <w:sz w:val="24"/>
          <w:lang w:val="en-US" w:eastAsia="zh-CN"/>
        </w:rPr>
      </w:pPr>
      <w:r>
        <w:rPr>
          <w:rFonts w:hint="eastAsia" w:ascii="宋体" w:hAnsi="宋体" w:eastAsia="宋体" w:cs="宋体"/>
          <w:lang w:val="en-US" w:eastAsia="zh-CN"/>
        </w:rPr>
        <w:t>总结：评估权力作为数字时代的核心治理逻辑</w:t>
      </w:r>
    </w:p>
    <w:p w14:paraId="17FFF8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本书的核心智识努力，在于提出并系统性地论证了一个核心概念——“评估权力”（Evaluative Power），并主张，这一概念是我们理解当代数字社会权力运作模式的一把关键钥匙。现在，让我们对这一理论框架的核心逻辑链条，进行一次最终的回顾与整合。</w:t>
      </w:r>
    </w:p>
    <w:p w14:paraId="51CAF88F">
      <w:pPr>
        <w:pStyle w:val="6"/>
        <w:bidi w:val="0"/>
        <w:rPr>
          <w:rFonts w:hint="eastAsia"/>
          <w:lang w:val="en-US" w:eastAsia="zh-CN"/>
        </w:rPr>
      </w:pPr>
      <w:r>
        <w:rPr>
          <w:rFonts w:hint="eastAsia"/>
          <w:lang w:val="en-US" w:eastAsia="zh-CN"/>
        </w:rPr>
        <w:t>权力的本体论重构：从“支配”到“收敛可能性”</w:t>
      </w:r>
    </w:p>
    <w:p w14:paraId="0BF830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的理论起点，是对“权力”这一古老概念的本体论重构。我们挑战了将权力仅仅理解为“支配”或“压迫”的传统视角，而将其重新定义为“一种非对称地收敛他人或自身行动可能性的能力”。这一定义，将我们的分析焦点，从权力的“结果”（如服从），转向了权力的“机制”——即可能性是如何被塑造、被引导、被关闭的。</w:t>
      </w:r>
    </w:p>
    <w:p w14:paraId="5B48AC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B151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这一机制的核心，正是“评估”。我们论证，任何权力的运作，都内含着一个评估的环节：权力主体必须首先对其所处的环境、所面对的对象以及自身的行动选项，进行一次价值排序和选择。因此，对“评估标准”和“评估过程”的垄断，构成了权力最深刻、最隐蔽的根基。谁掌握了定义“好”与“坏”、“成功”与“失败”、“可信”与“不可信”的权力，谁就从源头上，塑造了我们所有人的行动空间。</w:t>
      </w:r>
    </w:p>
    <w:p w14:paraId="5523244B">
      <w:pPr>
        <w:pStyle w:val="6"/>
        <w:bidi w:val="0"/>
        <w:rPr>
          <w:rFonts w:hint="eastAsia"/>
          <w:lang w:val="en-US" w:eastAsia="zh-CN"/>
        </w:rPr>
      </w:pPr>
      <w:r>
        <w:rPr>
          <w:rFonts w:hint="eastAsia"/>
          <w:lang w:val="en-US" w:eastAsia="zh-CN"/>
        </w:rPr>
        <w:t>评估的异化：从“共识建构”到“单向认证”</w:t>
      </w:r>
    </w:p>
    <w:p w14:paraId="67D1C7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确立了评估与权力的内在关联之后，我们通过一次谱系学的考察，追溯了评估活动自身的“异化”过程。我们指出，评估在其本源的、未被异化的形态中，是一种主体间的、对话性的、旨在达成相互承认与共识建构的生命实践。</w:t>
      </w:r>
    </w:p>
    <w:p w14:paraId="5A0E47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8B0A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在现代性进程中，伴随着国家、市场和专业化这三大力量的崛起，评估权开始了一场从分散到集中的“圈地运动”。评估活动，逐渐从其丰富的生活世界中“脱嵌”，并被锻造为一种服务于大型组织管理与控制需求的、标准化的、非人格化的技术。这一过程，我们称之为“评估异化”。</w:t>
      </w:r>
    </w:p>
    <w:p w14:paraId="698777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FD27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我们系统地总结了评估异化的三个核心维度：</w:t>
      </w:r>
    </w:p>
    <w:p w14:paraId="23AF6E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主体消解：有血有肉的、完整的“人”，被降维为一系列可计算的、可替换的“数据点”或“档案”。</w:t>
      </w:r>
    </w:p>
    <w:p w14:paraId="703219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认知垄断：优势主体通过其所构建的评估体系，垄断了对核心社会价值的定义权与解释权，排除了其他的认知可能性。</w:t>
      </w:r>
    </w:p>
    <w:p w14:paraId="2A41B8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价值扭曲：对量化指标的片面追逐，最终反过来侵蚀和败坏了评估活动本应服务的、更根本的实质性价值（即“古德哈特定律”）。</w:t>
      </w:r>
    </w:p>
    <w:p w14:paraId="7EDD54FD">
      <w:pPr>
        <w:pStyle w:val="6"/>
        <w:bidi w:val="0"/>
        <w:rPr>
          <w:rFonts w:hint="eastAsia"/>
          <w:lang w:val="en-US" w:eastAsia="zh-CN"/>
        </w:rPr>
      </w:pPr>
      <w:r>
        <w:rPr>
          <w:rFonts w:hint="eastAsia"/>
          <w:lang w:val="en-US" w:eastAsia="zh-CN"/>
        </w:rPr>
        <w:t>数字技术的催化：评估权力的全面升级</w:t>
      </w:r>
    </w:p>
    <w:p w14:paraId="6C568E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漫长的评估异化历史，在数字时代，迎来了一次决定性的、量子跃迁式的“升级”。大数据、机器学习算法和无处不在的传感器网络，共同构成了一套前所未有的、强大的评估基础设施。数字技术，从根本上改变了评估权力的运作方式，使其呈现出几个全新的特征：</w:t>
      </w:r>
    </w:p>
    <w:p w14:paraId="3EF9F8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CA84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全景化：监控从特定的物理空间，扩展到社会生活的方方面面。</w:t>
      </w:r>
    </w:p>
    <w:p w14:paraId="6B0D5C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自动化：评估由不知疲倦的算法实时进行，极大地提升了效率与规模。</w:t>
      </w:r>
    </w:p>
    <w:p w14:paraId="1C072E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预测性：评估的重心，从对“过去”的回溯性评判，转向对“未来”的前瞻性预测与干预。</w:t>
      </w:r>
    </w:p>
    <w:p w14:paraId="6178E9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个体化：评估实现了对每一个体的“点对点”精准画像与差异化对待。</w:t>
      </w:r>
    </w:p>
    <w:p w14:paraId="7AE90E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EB2F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正是这一技术性的全面升级，使得“评估权力”最终超越了传统的规训权力或意识形态权力，成为了数字时代最核心、最具代表性的治理逻辑。</w:t>
      </w:r>
    </w:p>
    <w:p w14:paraId="4F2078F9">
      <w:pPr>
        <w:pStyle w:val="6"/>
        <w:bidi w:val="0"/>
        <w:rPr>
          <w:rFonts w:hint="eastAsia"/>
          <w:lang w:val="en-US" w:eastAsia="zh-CN"/>
        </w:rPr>
      </w:pPr>
      <w:r>
        <w:rPr>
          <w:rFonts w:hint="eastAsia"/>
          <w:lang w:val="en-US" w:eastAsia="zh-CN"/>
        </w:rPr>
        <w:t>三大经验场域的印证</w:t>
      </w:r>
    </w:p>
    <w:p w14:paraId="000B0C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为了验证这一理论框架的解释力，本书深入到三个关键的经验场域，考察了评估权力在其中的具体运作：</w:t>
      </w:r>
    </w:p>
    <w:p w14:paraId="408722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7ADA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国家与社会治理领域，我们看到了“算法的全景敞视”的崛起。以社会信用体系和预测性警务为代表，国家正在通过算法评估，将公民“收敛”为一个可计算的、可管理的风险档案，其最终产物，是一个与我们物理身体平行的“数据身体”。</w:t>
      </w:r>
    </w:p>
    <w:p w14:paraId="0F2C33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425E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市场经济领域，我们剖析了“平台资本主义”的内在秘密。平台通过构建新型的“评估中介”，垄断了市场中的价值定义权，并通过算法管理和推荐系统，对劳动者和消费者，施加了一种更为精巧的、我们称之为“强制自愿”的控制与剥削。</w:t>
      </w:r>
    </w:p>
    <w:p w14:paraId="41D2F3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519C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在公共领域，我们见证了交往理性的数字化困境。平台的商业评估逻辑，通过制造“语境污染”与“语义极化”，系统性地瓦解了社会共识的基础，将我们推入一个充满分裂与敌意的“后真相”时代。</w:t>
      </w:r>
    </w:p>
    <w:p w14:paraId="697768D1">
      <w:pPr>
        <w:pStyle w:val="6"/>
        <w:bidi w:val="0"/>
        <w:rPr>
          <w:rFonts w:hint="eastAsia"/>
          <w:lang w:val="en-US" w:eastAsia="zh-CN"/>
        </w:rPr>
      </w:pPr>
      <w:r>
        <w:rPr>
          <w:rFonts w:hint="eastAsia"/>
          <w:lang w:val="en-US" w:eastAsia="zh-CN"/>
        </w:rPr>
        <w:t>从抵抗到重构：迈向“评估正义”</w:t>
      </w:r>
    </w:p>
    <w:p w14:paraId="147419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完成了这场系统性的批判之后，本书的最后一部分转向了对“出路”的探寻。我们首先考察了在微观层面，个体与社群如何通过“数据游击”、“算法博弈”和构建“另类共识”等“弱者的武器”，来进行抵抗与创造。</w:t>
      </w:r>
    </w:p>
    <w:p w14:paraId="74971A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4F73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随后，我们将视野提升到制度层面，主张一场迈向“评估正义”的结构性改革。我们批判了“算法透明度”和“数据所有权”等流行方案的局限性，并提出了一个更具根本性的政治诉"诉"求——“评估参与权”。我们进一步探讨了如何通过建立多层次的公共协商机制（如“算法委员会”、“公民陪审团”和独立的“数字监管机构”），来将这一权利落到实处。</w:t>
      </w:r>
    </w:p>
    <w:p w14:paraId="5333C9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0A94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最终，我们构想了一场从“单向控制”到“多主体共建”的数字治理范式转移，以此作为我们共同追求的未来图景。</w:t>
      </w:r>
    </w:p>
    <w:p w14:paraId="5C502D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3DDA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本书通过构建“评估权力”这一核心分析框架，并将其贯穿于从哲学本体论、历史谱系学、经验场域分析到制度重构的完整论证链条之中，试图为理解和应对我们这个被数据和算法所深度重塑的时代，提供一个融贯的、具有批判性的理论视角。</w:t>
      </w:r>
    </w:p>
    <w:p w14:paraId="5BB35CC6">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理论贡献与未来研究方向</w:t>
      </w:r>
    </w:p>
    <w:p w14:paraId="6429DF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部学术著作的价值，不仅在于其自身的论证是否严密，更在于其能否为后续的研究，打开新的对话空间和探索路径。在此，我们希望简要地阐明本书可能在理论上做出的贡献，并指出一些我们认为值得未来研究者继续深耕的方向。</w:t>
      </w:r>
    </w:p>
    <w:p w14:paraId="315422BB">
      <w:pPr>
        <w:pStyle w:val="6"/>
        <w:bidi w:val="0"/>
        <w:rPr>
          <w:rFonts w:hint="eastAsia"/>
          <w:lang w:val="en-US" w:eastAsia="zh-CN"/>
        </w:rPr>
      </w:pPr>
      <w:r>
        <w:rPr>
          <w:rFonts w:hint="eastAsia"/>
          <w:lang w:val="en-US" w:eastAsia="zh-CN"/>
        </w:rPr>
        <w:t>理论贡献</w:t>
      </w:r>
    </w:p>
    <w:p w14:paraId="41895C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本书的理论贡献，可以被概括为三个“桥接”：</w:t>
      </w:r>
    </w:p>
    <w:p w14:paraId="79A1D2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3EB8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桥接权力理论与信息技术研究：传统的权力理论（无论是韦伯、福柯还是葛兰西），其形成于前数字时代，往往难以直接有效地解释算法、平台等新兴的技术权力形态。而另一方面，许多关于信息技术的研究，又常常陷入技术决定论或缺乏深厚的社会理论根基。本书通过提出“评估权力”这一中层概念，试图在经典的社会权力理论与前沿的数字技术研究之间，架起一座理论的桥梁。它既继承了经典理论对权力结构性、非对称性的深刻洞察，又将其具体化、操作化为能够直接分析算法和数据实践的分析工具。</w:t>
      </w:r>
    </w:p>
    <w:p w14:paraId="179B5F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C3B0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桥接批判理论与制度设计：本书的结构，有意识地遵循了从“批判”到“重构”的路径。我们不仅致力于揭示“是什么”（评估权力的运作），更努力地去探索“应如何”（迈向评估正经义）。这种努力，试图桥接欧洲批判理论的深刻反思传统，与英美政治哲学中更注重制度设计的审议民主和公共政策传统。我们相信，一种负责任的社会理论，不能仅仅停留在对现实的否定之上，更应该为想象和构建一个更好的未来，提供智识上的资源。</w:t>
      </w:r>
    </w:p>
    <w:p w14:paraId="5D17D0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75B7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桥接宏观结构分析与微观能动性考察：本书试图在对“评估的枷锁”这一宏大结构进行冷峻分析的同时，也为“弱者的武器”等微观抵抗实践，保留充分的理论空间。这种努力，旨在避免结构决定论的窠臼，在结构与能动性之间，保持一种辩证的张力。我们强调，即便是在最严密的控制系统之下，人的主体性与创造力也从未消失，而正是这些看似微弱的能动性，构成了结构变革的最终希望所在。</w:t>
      </w:r>
    </w:p>
    <w:p w14:paraId="5723F1B8">
      <w:pPr>
        <w:pStyle w:val="6"/>
        <w:bidi w:val="0"/>
        <w:rPr>
          <w:rFonts w:hint="eastAsia" w:ascii="宋体" w:hAnsi="宋体" w:eastAsia="宋体" w:cs="宋体"/>
          <w:sz w:val="24"/>
          <w:lang w:val="en-US" w:eastAsia="zh-CN"/>
        </w:rPr>
      </w:pPr>
      <w:r>
        <w:rPr>
          <w:rFonts w:hint="eastAsia"/>
          <w:lang w:val="en-US" w:eastAsia="zh-CN"/>
        </w:rPr>
        <w:t>未来研究方向</w:t>
      </w:r>
    </w:p>
    <w:p w14:paraId="777D61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本书的探讨，在很多方面都只是一个起点。评估权力的逻辑，正在向更多、更细分的社会领域渗透。我们在此提出几个值得未来研究者继续关注和拓展的方向：</w:t>
      </w:r>
    </w:p>
    <w:p w14:paraId="0CB613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F559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权力与生命政治：本书对“数据身体”的分析，初步触及了评估权力与福柯“生命权力”的关联。未来研究可以更深入地探讨，在基因编辑、量化健康、精准医疗和智能保险等领域，算法评估是如何对我们的身体、健康、生命乃至“人之定义”本身，进行更深层的规训与改造的。</w:t>
      </w:r>
    </w:p>
    <w:p w14:paraId="700118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F93B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权力与全球政治经济：本书的分析主要集中在国家与市场层面。而评估权力，同样在全球范围内，重塑着国家之间、跨国公司与主权国家之间的关系。从主权信用评级，到全球供应链的风险评估，再到围绕人工智能和数据流动的“技术主权”之争，一个由评估权力所驱动的全球新秩序正在形成，这需要从国际关系和政治经济学的视角，进行深入的研究。</w:t>
      </w:r>
    </w:p>
    <w:p w14:paraId="2C7D17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E3F0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的美学与情感政治：本书主要从理性的、政治经济的维度来分析评估。然而，评估同样具有深刻的美学与情感维度。社交媒体上的“点赞”与“被点赞”，所带来的快感与焦虑；“颜值”评分App所塑造的身体审美标准；推荐算法所引导的情感消费……这些都指向了一个新兴的研究领域：评估权力是如何通过塑造我们的感官、品味和情感结构，来进行一种更为微观、更为内在的统治的。</w:t>
      </w:r>
    </w:p>
    <w:p w14:paraId="681A5E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EDB8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另类评估体系的民族志研究：本书在第六、七章，对“另类评估”进行了初步的探讨。未来需要更多深入到具体社群（如去中心化自治组织DAO、地方性的互助信贷系统、非商业的艺术评论社区）内部的、长期的民族志研究，来细致地考察这些“边缘体系”的日常运作、内部矛盾和文化逻辑。只有通过这种“深描”，我们才能真正理解一个非异化的评估未来，在实践中究竟意味着什么。</w:t>
      </w:r>
    </w:p>
    <w:p w14:paraId="16F839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816B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我们真诚地希望，本书所搭建的这个初步框架，能够激发更多来自不同学科背景的研究者，共同加入到对“评估权力”这一我们时代核心议题的探索之中。</w:t>
      </w:r>
    </w:p>
    <w:p w14:paraId="0DFA949A">
      <w:pPr>
        <w:pStyle w:val="5"/>
        <w:bidi w:val="0"/>
        <w:rPr>
          <w:rFonts w:hint="eastAsia" w:ascii="宋体" w:hAnsi="宋体" w:eastAsia="宋体" w:cs="宋体"/>
          <w:sz w:val="24"/>
          <w:lang w:val="en-US" w:eastAsia="zh-CN"/>
        </w:rPr>
      </w:pPr>
      <w:r>
        <w:rPr>
          <w:rFonts w:hint="eastAsia" w:ascii="宋体" w:hAnsi="宋体" w:eastAsia="宋体" w:cs="宋体"/>
          <w:lang w:val="en-US" w:eastAsia="zh-CN"/>
        </w:rPr>
        <w:t>实践启示：在一个被全面评估的时代，如何保持人之为人的“可用余量”？</w:t>
      </w:r>
    </w:p>
    <w:p w14:paraId="4C0781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在完成了所有的理论总结与展望之后，让我们回到那个最初的、也是最终的问题：“那么，我作为一个生活在这个时代里的具体的人，应该怎么办？”</w:t>
      </w:r>
    </w:p>
    <w:p w14:paraId="6286E7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C9EE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分析的最终目的，是为了照亮实践。如果本书的分析，最终只能导向一种知识上的清醒和实践上的无力感，那它无疑是失败的。因此，在全书的最后，我们希望将所有的宏大叙事，收敛到一些具体的、可供每一个体在日常生活中进行反思与实践的“生存之道”上。</w:t>
      </w:r>
    </w:p>
    <w:p w14:paraId="5910F6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F00A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我们借用一个来自系统论的概念——“可用余量”（the available surplus）。在一个系统中，可用余量指的是那些未被系统功能完全占据的、潜在的、可供灵活调用的资源或可能性。在一个被全面评估的、追求效率最大化的系统中，这种“可用余量”正是首先被挤压和消除的对象。系统希望我们成为一个完全可预测、可量化、功能明确的“齿轮”。</w:t>
      </w:r>
    </w:p>
    <w:p w14:paraId="5BE849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D9A6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在一个被全面评估的时代，保持“人之为人”的尊严与自由，其核心就在于，有意识地、策略性地为我们自己，守护和创造一片精神上与实践上的“可用余量”。这片余量，是我们对抗异化、保持主体性的最后堡垒。</w:t>
      </w:r>
    </w:p>
    <w:p w14:paraId="03D38A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C50E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以下，是我们基于全书的分析，所提出的一些不成熟的、开放性的实践启示。它们并非一套“人生指南”，而更像是一份邀请，邀请每一位读者，在自己的具体生活中，开启一场属于自己的“在枷锁下舞蹈”的实验。</w:t>
      </w:r>
    </w:p>
    <w:p w14:paraId="799C6C75">
      <w:pPr>
        <w:pStyle w:val="6"/>
        <w:bidi w:val="0"/>
        <w:rPr>
          <w:rFonts w:hint="eastAsia" w:ascii="宋体" w:hAnsi="宋体" w:eastAsia="宋体" w:cs="宋体"/>
          <w:sz w:val="24"/>
          <w:lang w:val="en-US" w:eastAsia="zh-CN"/>
        </w:rPr>
      </w:pPr>
      <w:r>
        <w:rPr>
          <w:rFonts w:hint="eastAsia"/>
          <w:lang w:val="en-US" w:eastAsia="zh-CN"/>
        </w:rPr>
        <w:t>成为一个清醒的“系统观察者”</w:t>
      </w:r>
    </w:p>
    <w:p w14:paraId="087D72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舞蹈的第一步，是感知枷锁的存在与形状。这意味着，我们要努力将本书所提供的批判性视角，内化为一种日常的思维习惯。</w:t>
      </w:r>
    </w:p>
    <w:p w14:paraId="6DDE0C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57F4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练习“反向凝视”：当你使用一个App时，不要只看它给你呈现了什么，而要试着去想：“它为什么让我看这个？这个设计，是为了让我做什么？我的哪部分‘数据身体’，正在被它读取和评估？”这种从“用户视角”到“系统观察者视角”的切换，是夺回认知主动权的第一步。</w:t>
      </w:r>
    </w:p>
    <w:p w14:paraId="20884C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E0CA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识别“价值扭曲”：在你的工作和生活中，有意识地去识别那些“古德哈特定律”正在发生作用的地方。当你的公司开始痴迷于某个KPI时，当你的孩子所在的学校开始唯分数论时，试着去分析：这个量化指标，正在扭曲和败坏哪些更重要的、无法被量化的实质性价值？</w:t>
      </w:r>
    </w:p>
    <w:p w14:paraId="661EE5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1564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保持对“语言”的敏感：当你看到“自由”、“公平”、“创新”这些词语被滥用时，保持警惕。试着去分析，是谁在定义这些词？它们被用来服务于谁的利益？努力在自己的言说和思考中，保护这些核心词汇的丰富性与复杂性，拒绝将其简化为阵营战争的标签。</w:t>
      </w:r>
    </w:p>
    <w:p w14:paraId="4652A8FE">
      <w:pPr>
        <w:pStyle w:val="6"/>
        <w:bidi w:val="0"/>
        <w:rPr>
          <w:rFonts w:hint="eastAsia" w:ascii="宋体" w:hAnsi="宋体" w:eastAsia="宋体" w:cs="宋体"/>
          <w:sz w:val="24"/>
          <w:lang w:val="en-US" w:eastAsia="zh-CN"/>
        </w:rPr>
      </w:pPr>
      <w:r>
        <w:rPr>
          <w:rFonts w:hint="eastAsia"/>
          <w:lang w:val="en-US" w:eastAsia="zh-CN"/>
        </w:rPr>
        <w:t>策略性地管理你的“数据身体”</w:t>
      </w:r>
    </w:p>
    <w:p w14:paraId="0E59C7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清醒的认知，需要付诸于行动。我们需要像一个聪明的“游击队员”一样，策略性地管理我们与评估系统之间的界面。</w:t>
      </w:r>
    </w:p>
    <w:p w14:paraId="1B05A6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D6E1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数据预算”：我们的注意力、时间和个人数据，都是有限的、宝贵的资源。像理财一样，为自己建立一个“数据预算”。有意识地决定，你愿意为哪些服务“支付”你的数据？哪些App是“高耗能”的，需要限制使用？哪些信息是你的“核心资产”，需要用最高级别的隐私设置来保护？</w:t>
      </w:r>
    </w:p>
    <w:p w14:paraId="5A5A5F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5769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低效”与“摩擦”：评估系统追求的是无缝、高效、无摩擦的体验。而我们要做的，是有意识地在自己的生活中，重新引入一些“有益的摩擦”。例如，用现金支付，而不是移动支付；选择步行去一家书店，而不是在网上“一键下单”；与朋友进行一次面对面的、冗长的深谈，而不是在社交媒体上相互点赞。这些看似“低效”的行为，恰恰是那些无法被系统完全量化和捕获的、“可用余量”的所在。</w:t>
      </w:r>
    </w:p>
    <w:p w14:paraId="590888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0B00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造“算法不可读”的时刻：留出一些完全“离线”的时间和空间。去散步，去发呆，去进行一些没有任何“生产性”目的的、纯粹的游戏或创造。这些时刻，是你的“数据身体”的“睡眠时间”，也是你的物理身体与真实世界重新建立深刻联结的宝贵机会。</w:t>
      </w:r>
    </w:p>
    <w:p w14:paraId="52B52E96">
      <w:pPr>
        <w:pStyle w:val="6"/>
        <w:bidi w:val="0"/>
        <w:rPr>
          <w:rFonts w:hint="eastAsia" w:ascii="宋体" w:hAnsi="宋体" w:eastAsia="宋体" w:cs="宋体"/>
          <w:sz w:val="24"/>
          <w:lang w:val="en-US" w:eastAsia="zh-CN"/>
        </w:rPr>
      </w:pPr>
      <w:r>
        <w:rPr>
          <w:rFonts w:hint="eastAsia"/>
          <w:lang w:val="en-US" w:eastAsia="zh-CN"/>
        </w:rPr>
        <w:t>投资于“另类评估体系”</w:t>
      </w:r>
    </w:p>
    <w:p w14:paraId="370157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个体的努力是有限的。我们需要积极地将我们的资源和精力，投资到那些正在构建“另类评估体系”的社群和实践之中。</w:t>
      </w:r>
    </w:p>
    <w:p w14:paraId="6F4A51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F2BB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用脚投票，支持“好”的平台：在可能的情况下，选择那些更尊重用户隐私、更公平对待劳动者、由非营利组织或社群所运营的平台。支持维基百科，而不是被广告污染的搜索引擎；支持开源软件，而不是封闭的商业软件；支持那些与创作者公平分成的独立内容平台。我们的每一次消费，都是在为我们想要的未来投票。</w:t>
      </w:r>
    </w:p>
    <w:p w14:paraId="475E12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8C5F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或加入“高语境”的社群：在一个被“语境污染”所困扰的时代，有意识地为自己建立一个“高语境”的、可信赖的信息与交往圈子。这可能是一个线下的读书会，一个专业的线上论坛，或是一个由志同道合的朋友组成的小群。在这些小共同体内部，我们可以重建那种基于信任、深度对话和共享知识背景的、非异化的评估与共识。</w:t>
      </w:r>
    </w:p>
    <w:p w14:paraId="78F7EA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3680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实践“礼物经济”：在你的能力范围内，去进行一些不求直接回报的、基于“赠予”逻辑的行动。分享你的知识，帮助一个陌生人，为你所热爱的开源项目贡献代码，为你欣赏的独立创作者“为爱发电”。这些行动，本身就是对那个一切皆可量化、一切皆可交易的评估逻辑的颠覆。</w:t>
      </w:r>
    </w:p>
    <w:p w14:paraId="74B3EBD4">
      <w:pPr>
        <w:pStyle w:val="6"/>
        <w:bidi w:val="0"/>
        <w:rPr>
          <w:rFonts w:hint="eastAsia" w:ascii="宋体" w:hAnsi="宋体" w:eastAsia="宋体" w:cs="宋体"/>
          <w:sz w:val="24"/>
          <w:lang w:val="en-US" w:eastAsia="zh-CN"/>
        </w:rPr>
      </w:pPr>
      <w:r>
        <w:rPr>
          <w:rFonts w:hint="eastAsia"/>
          <w:lang w:val="en-US" w:eastAsia="zh-CN"/>
        </w:rPr>
        <w:t>拥抱“内在记分牌”</w:t>
      </w:r>
    </w:p>
    <w:p w14:paraId="7197EF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也是最核心的一点，这场舞蹈的最终舞台，在我们的内心。投资家沃伦·巴菲特曾提出一个深刻的区分：“内在记分牌”与“外在记分牌”。“外在记分牌”是由世界根据它的标准给你打的分数，而“内在记分牌”则是你根据自己的标准，给自己打的分数。</w:t>
      </w:r>
    </w:p>
    <w:p w14:paraId="58F0DB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C30D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被全面评估的时代，我们所面临的最大诱惑和最大危险，就是将那块“外在记分牌”，完全内化为我们自我评价的唯一标准。我们将自己的价值，与我们的信用分、我们的粉丝数、我们的绩效评级、我们所获得的“点赞”数，完全等同起来。</w:t>
      </w:r>
    </w:p>
    <w:p w14:paraId="4CA811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0A32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因此，在评估的枷锁下舞蹈，其最核心的、带有存在主义色彩的实践，就是努力地去建立和守护我们自己内心的那块“记分牌”。</w:t>
      </w:r>
    </w:p>
    <w:p w14:paraId="7C6C2E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67DC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w:t>
      </w:r>
    </w:p>
    <w:p w14:paraId="403643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新定义“成功”：勇敢地去质疑和挑战社会所强加给你的、单一的成功模板。去追问自己：对我而言，什么才是真正有价值的、值得追求的生活？是更多的财富，还是更深的体验？是更高的地位，还是更真诚的关系？是更快的效率，还是更从容的心境？</w:t>
      </w:r>
    </w:p>
    <w:p w14:paraId="6FCA09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4676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培养“反脆弱性”：认识到由外部评估所定义的“自我”，是一个极其脆弱的、不稳定的构造。它会随着一次差评、一次裁员、一次网络暴力而轻易地崩塌。而一个由内在价值所支撑的自我，则更具“反脆弱性”。它能够在外部世界的风雨飘摇中，保持内在的稳定与平和。</w:t>
      </w:r>
    </w:p>
    <w:p w14:paraId="20A674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bookmarkStart w:id="21" w:name="_GoBack"/>
      <w:bookmarkEnd w:id="21"/>
    </w:p>
    <w:p w14:paraId="14FEB3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无用之事”中，寻找意义：评估的逻辑，是功利主义的。它只关心“有用之用”。而人之为人的许多最高贵的追求——艺术、哲学、爱、友谊、对真理的探求——从功利的角度看，恰恰是“无用”的。在一个被“有用性”所统治的时代，有意识地为这些“无用之事”留出空间，正是对我们完整人性的最高守护。</w:t>
      </w:r>
    </w:p>
    <w:p w14:paraId="73B7F0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99C8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无疑是一场艰难的、需要终身努力的修行。我们会在其中无数次地感到疲惫、焦虑和迷失。我们会不自觉地去刷新朋友圈，查看有多少人给我们的新状态点了赞。我们会因为一个负面的绩效评估而彻夜难眠。我们都是凡人，我们都渴望来自外部世界的承认。</w:t>
      </w:r>
    </w:p>
    <w:p w14:paraId="2133AF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3C47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舞蹈的意义，不在于完美，而在于坚持。每一次，当我们意识到自己又在不自觉地根据“外在记分牌”来评判自己时，我们都可以温柔地、但坚定地，将自己的目光，重新拉回到内心。每一次，当我们做出一个不为取悦他人、不为迎合系统，而仅仅是忠于自己内在价值的选择时，我们就在那副沉重的枷索之上，刻下了一道属于我们自己的、微小但闪亮的划痕。</w:t>
      </w:r>
    </w:p>
    <w:p w14:paraId="197D20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966F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而当无数道这样的划痕汇集在一起时，最坚固的枷锁，也终将可能出现裂痕。</w:t>
      </w:r>
    </w:p>
    <w:p w14:paraId="343F66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B787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便是本书希望留给读者的最终图景：一个清醒的悲观主义者，和一个意志上的乐观主义者的结合体。我们清醒地认识到我们所处的结构性困境，但我们拒绝因此而陷入宿命论的绝望。我们选择，在认清了所有的限制之后，依然要像一个舞者一样，用我们全部的生命，去探索和创造那片属于自由的、哪怕是极其有限的“可用余量”。</w:t>
      </w:r>
    </w:p>
    <w:p w14:paraId="4B2414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54C9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在这场舞蹈中，我们所守护的，不仅仅是我们个人的安宁与尊严。我们所守护的，更是那些使得“人”成其为“人”的、永恒的价值——爱、智慧、创造、联结与超越。而这，或许就是我们这个被全面评估的时代里，最深刻、也最高贵的反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72411">
    <w:pPr>
      <w:pStyle w:val="10"/>
    </w:pPr>
    <w:r>
      <w:rPr>
        <w:sz w:val="18"/>
      </w:rPr>
      <w:pict>
        <v:shape id="PowerPlusWaterMarkObject4136697" o:spid="_x0000_s4097" o:spt="136" type="#_x0000_t136" style="position:absolute;left:0pt;height:288.4pt;width:415.3pt;mso-position-horizontal:center;mso-position-horizontal-relative:margin;mso-position-vertical:center;mso-position-vertical-relative:margin;z-index:-251657216;mso-width-relative:page;mso-height-relative:page;" fillcolor="#C0C0C0" filled="t" stroked="f" coordsize="21600,21600" adj="10800">
          <v:path/>
          <v:fill on="t" opacity="9830f" focussize="0,0"/>
          <v:stroke on="f"/>
          <v:imagedata o:title=""/>
          <o:lock v:ext="edit" aspectratio="t"/>
          <v:textpath on="t" fitshape="t" fitpath="t" trim="t" xscale="f" string="草稿" style="font-family:PingFang SC;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77537A"/>
    <w:multiLevelType w:val="singleLevel"/>
    <w:tmpl w:val="EB77537A"/>
    <w:lvl w:ilvl="0" w:tentative="0">
      <w:start w:val="1"/>
      <w:numFmt w:val="decimal"/>
      <w:suff w:val="space"/>
      <w:lvlText w:val="%1."/>
      <w:lvlJc w:val="left"/>
    </w:lvl>
  </w:abstractNum>
  <w:abstractNum w:abstractNumId="1">
    <w:nsid w:val="3FDA3573"/>
    <w:multiLevelType w:val="singleLevel"/>
    <w:tmpl w:val="3FDA3573"/>
    <w:lvl w:ilvl="0" w:tentative="0">
      <w:start w:val="1"/>
      <w:numFmt w:val="decimal"/>
      <w:suff w:val="space"/>
      <w:lvlText w:val="%1."/>
      <w:lvlJc w:val="left"/>
    </w:lvl>
  </w:abstractNum>
  <w:abstractNum w:abstractNumId="2">
    <w:nsid w:val="4FBB1CC0"/>
    <w:multiLevelType w:val="singleLevel"/>
    <w:tmpl w:val="4FBB1CC0"/>
    <w:lvl w:ilvl="0" w:tentative="0">
      <w:start w:val="1"/>
      <w:numFmt w:val="decimal"/>
      <w:suff w:val="space"/>
      <w:lvlText w:val="%1."/>
      <w:lvlJc w:val="left"/>
    </w:lvl>
  </w:abstractNum>
  <w:abstractNum w:abstractNumId="3">
    <w:nsid w:val="6697C63F"/>
    <w:multiLevelType w:val="singleLevel"/>
    <w:tmpl w:val="6697C63F"/>
    <w:lvl w:ilvl="0" w:tentative="0">
      <w:start w:val="1"/>
      <w:numFmt w:val="decimal"/>
      <w:suff w:val="space"/>
      <w:lvlText w:val="%1."/>
      <w:lvlJc w:val="left"/>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B5EB93"/>
    <w:rsid w:val="06BD9507"/>
    <w:rsid w:val="097A0333"/>
    <w:rsid w:val="097EEA86"/>
    <w:rsid w:val="0A99739C"/>
    <w:rsid w:val="0BEF72D5"/>
    <w:rsid w:val="0DF7196C"/>
    <w:rsid w:val="0EDF4382"/>
    <w:rsid w:val="0EEE9F05"/>
    <w:rsid w:val="0F7FE3BB"/>
    <w:rsid w:val="0FEE8D7D"/>
    <w:rsid w:val="0FFB035A"/>
    <w:rsid w:val="1761AF13"/>
    <w:rsid w:val="1797B804"/>
    <w:rsid w:val="179FDB5E"/>
    <w:rsid w:val="17BD1CA3"/>
    <w:rsid w:val="17DD422B"/>
    <w:rsid w:val="196376F6"/>
    <w:rsid w:val="1AEF8FCA"/>
    <w:rsid w:val="1B73C0CA"/>
    <w:rsid w:val="1B7B7FFA"/>
    <w:rsid w:val="1BDBAE9E"/>
    <w:rsid w:val="1BEB90A8"/>
    <w:rsid w:val="1CD4358E"/>
    <w:rsid w:val="1D2E919A"/>
    <w:rsid w:val="1D35D7A3"/>
    <w:rsid w:val="1DFF1A37"/>
    <w:rsid w:val="1DFF24C9"/>
    <w:rsid w:val="1E9B84F9"/>
    <w:rsid w:val="1EDCAD01"/>
    <w:rsid w:val="1EFD59EA"/>
    <w:rsid w:val="1F5BD197"/>
    <w:rsid w:val="1F659DAA"/>
    <w:rsid w:val="1F7ED818"/>
    <w:rsid w:val="1FBC623B"/>
    <w:rsid w:val="1FDBD7CE"/>
    <w:rsid w:val="1FEFF912"/>
    <w:rsid w:val="1FF50D83"/>
    <w:rsid w:val="1FF9340C"/>
    <w:rsid w:val="1FFFE4FB"/>
    <w:rsid w:val="258DEE1E"/>
    <w:rsid w:val="26F74CA2"/>
    <w:rsid w:val="2726DF0E"/>
    <w:rsid w:val="272794AA"/>
    <w:rsid w:val="27AD354C"/>
    <w:rsid w:val="27DE4F5C"/>
    <w:rsid w:val="29DC3418"/>
    <w:rsid w:val="29FE59A8"/>
    <w:rsid w:val="2ADF53C3"/>
    <w:rsid w:val="2BFCCCD6"/>
    <w:rsid w:val="2D6FC860"/>
    <w:rsid w:val="2DD4A2EF"/>
    <w:rsid w:val="2DFBF693"/>
    <w:rsid w:val="2DFD9832"/>
    <w:rsid w:val="2DFDDE66"/>
    <w:rsid w:val="2EF3DA17"/>
    <w:rsid w:val="2F7EF083"/>
    <w:rsid w:val="2FF4864D"/>
    <w:rsid w:val="2FF9DD07"/>
    <w:rsid w:val="2FFBD005"/>
    <w:rsid w:val="2FFFCE35"/>
    <w:rsid w:val="303B1983"/>
    <w:rsid w:val="31F7C4EB"/>
    <w:rsid w:val="32795A2C"/>
    <w:rsid w:val="33B9EBE1"/>
    <w:rsid w:val="33DF4902"/>
    <w:rsid w:val="33FC5D24"/>
    <w:rsid w:val="33FF2B69"/>
    <w:rsid w:val="34FBA6A7"/>
    <w:rsid w:val="34FF1EF8"/>
    <w:rsid w:val="375F53EA"/>
    <w:rsid w:val="379F3FEE"/>
    <w:rsid w:val="379F7300"/>
    <w:rsid w:val="37B8AF75"/>
    <w:rsid w:val="37BCA791"/>
    <w:rsid w:val="37BD2AC6"/>
    <w:rsid w:val="37BFE79D"/>
    <w:rsid w:val="37DB1DC0"/>
    <w:rsid w:val="37E2FA79"/>
    <w:rsid w:val="37FB88E8"/>
    <w:rsid w:val="37FC9EF6"/>
    <w:rsid w:val="37FF14FE"/>
    <w:rsid w:val="38697463"/>
    <w:rsid w:val="38719B3E"/>
    <w:rsid w:val="3948941D"/>
    <w:rsid w:val="3977CC2B"/>
    <w:rsid w:val="39F51511"/>
    <w:rsid w:val="39FF4D51"/>
    <w:rsid w:val="3AEBBB75"/>
    <w:rsid w:val="3AF672D9"/>
    <w:rsid w:val="3AFB9D1E"/>
    <w:rsid w:val="3AFFB7D1"/>
    <w:rsid w:val="3B6F26B0"/>
    <w:rsid w:val="3B6F83D1"/>
    <w:rsid w:val="3BB3E04A"/>
    <w:rsid w:val="3BDBB510"/>
    <w:rsid w:val="3BF61DDF"/>
    <w:rsid w:val="3BF6C26B"/>
    <w:rsid w:val="3C6A268A"/>
    <w:rsid w:val="3C6FCE41"/>
    <w:rsid w:val="3CB7903F"/>
    <w:rsid w:val="3CBF718E"/>
    <w:rsid w:val="3CE7D36B"/>
    <w:rsid w:val="3D7AB676"/>
    <w:rsid w:val="3D9B535D"/>
    <w:rsid w:val="3D9F7069"/>
    <w:rsid w:val="3DA8A39B"/>
    <w:rsid w:val="3DBF7706"/>
    <w:rsid w:val="3DBFCFF6"/>
    <w:rsid w:val="3DCDAC4A"/>
    <w:rsid w:val="3DDBD3C5"/>
    <w:rsid w:val="3DF32DF1"/>
    <w:rsid w:val="3DFB750F"/>
    <w:rsid w:val="3E3B40D4"/>
    <w:rsid w:val="3E4F6638"/>
    <w:rsid w:val="3E7EB514"/>
    <w:rsid w:val="3EBC4E79"/>
    <w:rsid w:val="3ED30265"/>
    <w:rsid w:val="3ED3DF58"/>
    <w:rsid w:val="3EDD66F7"/>
    <w:rsid w:val="3EF37023"/>
    <w:rsid w:val="3EF5A530"/>
    <w:rsid w:val="3EF662D7"/>
    <w:rsid w:val="3EF95720"/>
    <w:rsid w:val="3EFA50BF"/>
    <w:rsid w:val="3EFA6F54"/>
    <w:rsid w:val="3EFDC273"/>
    <w:rsid w:val="3F1F23EF"/>
    <w:rsid w:val="3F256AEE"/>
    <w:rsid w:val="3F3EADC8"/>
    <w:rsid w:val="3F4F2A9F"/>
    <w:rsid w:val="3F73C45F"/>
    <w:rsid w:val="3F75951B"/>
    <w:rsid w:val="3F7A3529"/>
    <w:rsid w:val="3F7F0928"/>
    <w:rsid w:val="3FA1E32F"/>
    <w:rsid w:val="3FAFE000"/>
    <w:rsid w:val="3FBEECE7"/>
    <w:rsid w:val="3FBF58D9"/>
    <w:rsid w:val="3FDF003F"/>
    <w:rsid w:val="3FDF4275"/>
    <w:rsid w:val="3FDFAB5C"/>
    <w:rsid w:val="3FDFF044"/>
    <w:rsid w:val="3FF58266"/>
    <w:rsid w:val="3FF79915"/>
    <w:rsid w:val="3FF7C6B7"/>
    <w:rsid w:val="3FF93C3A"/>
    <w:rsid w:val="3FFCCAFF"/>
    <w:rsid w:val="3FFE6E86"/>
    <w:rsid w:val="3FFF0153"/>
    <w:rsid w:val="3FFF2F21"/>
    <w:rsid w:val="3FFF530F"/>
    <w:rsid w:val="3FFF6A84"/>
    <w:rsid w:val="3FFFB27D"/>
    <w:rsid w:val="3FFFD90D"/>
    <w:rsid w:val="43B9F945"/>
    <w:rsid w:val="457F1872"/>
    <w:rsid w:val="45FFCB44"/>
    <w:rsid w:val="4757379C"/>
    <w:rsid w:val="47F79C25"/>
    <w:rsid w:val="47FD66F7"/>
    <w:rsid w:val="49D309A0"/>
    <w:rsid w:val="49FF8AA8"/>
    <w:rsid w:val="4B670439"/>
    <w:rsid w:val="4B7DA7E3"/>
    <w:rsid w:val="4BDB5B90"/>
    <w:rsid w:val="4BEDAD75"/>
    <w:rsid w:val="4BFF91C9"/>
    <w:rsid w:val="4BFFB85A"/>
    <w:rsid w:val="4CEF6A51"/>
    <w:rsid w:val="4D7FA9AB"/>
    <w:rsid w:val="4DE3E296"/>
    <w:rsid w:val="4DF5653C"/>
    <w:rsid w:val="4EDF8F71"/>
    <w:rsid w:val="4F274197"/>
    <w:rsid w:val="4F57F91D"/>
    <w:rsid w:val="4F7FB4F9"/>
    <w:rsid w:val="4FBF77E8"/>
    <w:rsid w:val="4FD73253"/>
    <w:rsid w:val="4FD97911"/>
    <w:rsid w:val="4FDF6E8D"/>
    <w:rsid w:val="4FEF0F50"/>
    <w:rsid w:val="4FFE8E24"/>
    <w:rsid w:val="4FFF4FE5"/>
    <w:rsid w:val="51CF87E3"/>
    <w:rsid w:val="51E9EDB6"/>
    <w:rsid w:val="51EBF41B"/>
    <w:rsid w:val="51F76AD7"/>
    <w:rsid w:val="52107F00"/>
    <w:rsid w:val="52F1B259"/>
    <w:rsid w:val="53791F12"/>
    <w:rsid w:val="53B3FE48"/>
    <w:rsid w:val="547E84CB"/>
    <w:rsid w:val="5537D23F"/>
    <w:rsid w:val="55FB6068"/>
    <w:rsid w:val="55FCB8D7"/>
    <w:rsid w:val="573388C0"/>
    <w:rsid w:val="57733693"/>
    <w:rsid w:val="57768F61"/>
    <w:rsid w:val="577DBE23"/>
    <w:rsid w:val="57AFEAE0"/>
    <w:rsid w:val="57B939B7"/>
    <w:rsid w:val="57BF0B23"/>
    <w:rsid w:val="57DC22C3"/>
    <w:rsid w:val="57DE4373"/>
    <w:rsid w:val="57DFC2DD"/>
    <w:rsid w:val="57F202C7"/>
    <w:rsid w:val="57FD9150"/>
    <w:rsid w:val="57FE490E"/>
    <w:rsid w:val="58EFDA75"/>
    <w:rsid w:val="5919B687"/>
    <w:rsid w:val="59A388E3"/>
    <w:rsid w:val="59FFA02E"/>
    <w:rsid w:val="5A53A0E0"/>
    <w:rsid w:val="5A5F4256"/>
    <w:rsid w:val="5A75125C"/>
    <w:rsid w:val="5ABACB51"/>
    <w:rsid w:val="5AE32021"/>
    <w:rsid w:val="5AEF3369"/>
    <w:rsid w:val="5AFDF858"/>
    <w:rsid w:val="5BBD9A9F"/>
    <w:rsid w:val="5BFB088B"/>
    <w:rsid w:val="5C7E8E6A"/>
    <w:rsid w:val="5CE7713B"/>
    <w:rsid w:val="5CFC1123"/>
    <w:rsid w:val="5D7F6F5D"/>
    <w:rsid w:val="5DA9C943"/>
    <w:rsid w:val="5DDFC6C3"/>
    <w:rsid w:val="5DF3F917"/>
    <w:rsid w:val="5DF8BCC5"/>
    <w:rsid w:val="5DFD7195"/>
    <w:rsid w:val="5DFE46F0"/>
    <w:rsid w:val="5DFFE380"/>
    <w:rsid w:val="5E5F7FAD"/>
    <w:rsid w:val="5E5F93C0"/>
    <w:rsid w:val="5E7798BE"/>
    <w:rsid w:val="5E8E87B4"/>
    <w:rsid w:val="5EB7FF90"/>
    <w:rsid w:val="5EBB17AF"/>
    <w:rsid w:val="5EE57DA3"/>
    <w:rsid w:val="5EEAF32D"/>
    <w:rsid w:val="5EEFED6C"/>
    <w:rsid w:val="5EF7F577"/>
    <w:rsid w:val="5EFDBD3A"/>
    <w:rsid w:val="5EFF1302"/>
    <w:rsid w:val="5F1DA654"/>
    <w:rsid w:val="5F3C3855"/>
    <w:rsid w:val="5F4B51C8"/>
    <w:rsid w:val="5F5E3557"/>
    <w:rsid w:val="5F7D62FD"/>
    <w:rsid w:val="5F7F5715"/>
    <w:rsid w:val="5F7F6F9F"/>
    <w:rsid w:val="5FAF052B"/>
    <w:rsid w:val="5FAF869B"/>
    <w:rsid w:val="5FAFDD45"/>
    <w:rsid w:val="5FB346AE"/>
    <w:rsid w:val="5FB794E1"/>
    <w:rsid w:val="5FB796A9"/>
    <w:rsid w:val="5FBB393B"/>
    <w:rsid w:val="5FCD123C"/>
    <w:rsid w:val="5FDF893E"/>
    <w:rsid w:val="5FDFA11F"/>
    <w:rsid w:val="5FDFDD89"/>
    <w:rsid w:val="5FE7BA8B"/>
    <w:rsid w:val="5FED2FEF"/>
    <w:rsid w:val="5FF30E79"/>
    <w:rsid w:val="5FF38B29"/>
    <w:rsid w:val="5FF3CB54"/>
    <w:rsid w:val="5FF7DE30"/>
    <w:rsid w:val="5FF8AA2B"/>
    <w:rsid w:val="5FFBF0AA"/>
    <w:rsid w:val="5FFD77E0"/>
    <w:rsid w:val="5FFF1218"/>
    <w:rsid w:val="5FFF40F0"/>
    <w:rsid w:val="5FFF9DAF"/>
    <w:rsid w:val="5FFFCEB7"/>
    <w:rsid w:val="5FFFF02D"/>
    <w:rsid w:val="62CF2B94"/>
    <w:rsid w:val="63577372"/>
    <w:rsid w:val="63B7C165"/>
    <w:rsid w:val="63BE9788"/>
    <w:rsid w:val="63D6412E"/>
    <w:rsid w:val="63FF8BD8"/>
    <w:rsid w:val="643E76D0"/>
    <w:rsid w:val="64BEE52D"/>
    <w:rsid w:val="64F5C278"/>
    <w:rsid w:val="65DF2FEF"/>
    <w:rsid w:val="65FFE6C6"/>
    <w:rsid w:val="66CF75E6"/>
    <w:rsid w:val="6763D790"/>
    <w:rsid w:val="676D8CC2"/>
    <w:rsid w:val="679FF528"/>
    <w:rsid w:val="67C61CCB"/>
    <w:rsid w:val="67ED994C"/>
    <w:rsid w:val="67EFB4E2"/>
    <w:rsid w:val="67FE0434"/>
    <w:rsid w:val="67FFB3B5"/>
    <w:rsid w:val="687FCE36"/>
    <w:rsid w:val="68FB430D"/>
    <w:rsid w:val="69F63F5E"/>
    <w:rsid w:val="6A7D7F46"/>
    <w:rsid w:val="6B7D6164"/>
    <w:rsid w:val="6B7F8579"/>
    <w:rsid w:val="6BDB2ADE"/>
    <w:rsid w:val="6BF59BC8"/>
    <w:rsid w:val="6BFE7EA7"/>
    <w:rsid w:val="6CAD11BC"/>
    <w:rsid w:val="6CBFD24B"/>
    <w:rsid w:val="6D4DE020"/>
    <w:rsid w:val="6DA30CB9"/>
    <w:rsid w:val="6DDB5CF5"/>
    <w:rsid w:val="6DDE20F6"/>
    <w:rsid w:val="6DE80B9C"/>
    <w:rsid w:val="6DEADF78"/>
    <w:rsid w:val="6DEFAC79"/>
    <w:rsid w:val="6DF8E6EA"/>
    <w:rsid w:val="6DFC7C6E"/>
    <w:rsid w:val="6DFFAF3D"/>
    <w:rsid w:val="6E3D312B"/>
    <w:rsid w:val="6E73EBAB"/>
    <w:rsid w:val="6E7A7709"/>
    <w:rsid w:val="6E7F8D38"/>
    <w:rsid w:val="6E974FED"/>
    <w:rsid w:val="6EBB6C03"/>
    <w:rsid w:val="6EDB079D"/>
    <w:rsid w:val="6EEF4044"/>
    <w:rsid w:val="6EEFE0AB"/>
    <w:rsid w:val="6EFEDED1"/>
    <w:rsid w:val="6F45CF51"/>
    <w:rsid w:val="6F73D08D"/>
    <w:rsid w:val="6F7F50EE"/>
    <w:rsid w:val="6F7FEBF2"/>
    <w:rsid w:val="6FA237A0"/>
    <w:rsid w:val="6FAFA807"/>
    <w:rsid w:val="6FB9E6EB"/>
    <w:rsid w:val="6FBABE2B"/>
    <w:rsid w:val="6FBD9B57"/>
    <w:rsid w:val="6FBFCBC9"/>
    <w:rsid w:val="6FCBD3B2"/>
    <w:rsid w:val="6FD8DBC5"/>
    <w:rsid w:val="6FDFA16D"/>
    <w:rsid w:val="6FEA6781"/>
    <w:rsid w:val="6FEE0643"/>
    <w:rsid w:val="6FEFE6CC"/>
    <w:rsid w:val="6FF63C4F"/>
    <w:rsid w:val="6FFE8B62"/>
    <w:rsid w:val="6FFEAB9B"/>
    <w:rsid w:val="6FFF17A9"/>
    <w:rsid w:val="6FFF4BFB"/>
    <w:rsid w:val="6FFF83F9"/>
    <w:rsid w:val="6FFF90F6"/>
    <w:rsid w:val="70FF91E4"/>
    <w:rsid w:val="713F096B"/>
    <w:rsid w:val="727D253E"/>
    <w:rsid w:val="72BFB4F0"/>
    <w:rsid w:val="72DFD494"/>
    <w:rsid w:val="72E7F668"/>
    <w:rsid w:val="72F66205"/>
    <w:rsid w:val="72FEDB37"/>
    <w:rsid w:val="72FF496C"/>
    <w:rsid w:val="733F4201"/>
    <w:rsid w:val="736F1547"/>
    <w:rsid w:val="7377B270"/>
    <w:rsid w:val="738E5A76"/>
    <w:rsid w:val="73BFD686"/>
    <w:rsid w:val="73EA3937"/>
    <w:rsid w:val="73F9F3E5"/>
    <w:rsid w:val="73FADDCA"/>
    <w:rsid w:val="73FC11FD"/>
    <w:rsid w:val="73FDA58A"/>
    <w:rsid w:val="73FF93D6"/>
    <w:rsid w:val="747F042C"/>
    <w:rsid w:val="74B60719"/>
    <w:rsid w:val="74CE0330"/>
    <w:rsid w:val="752B2B30"/>
    <w:rsid w:val="75676872"/>
    <w:rsid w:val="757B8BDF"/>
    <w:rsid w:val="758FE047"/>
    <w:rsid w:val="75BEC941"/>
    <w:rsid w:val="75E75565"/>
    <w:rsid w:val="75ECC47A"/>
    <w:rsid w:val="75FA5B3E"/>
    <w:rsid w:val="75FD8ECD"/>
    <w:rsid w:val="75FDA1D6"/>
    <w:rsid w:val="766DDFFC"/>
    <w:rsid w:val="769E7E1C"/>
    <w:rsid w:val="76BD3ED8"/>
    <w:rsid w:val="76BDDF02"/>
    <w:rsid w:val="76BE2308"/>
    <w:rsid w:val="76BFF316"/>
    <w:rsid w:val="76E9BA07"/>
    <w:rsid w:val="76EB572D"/>
    <w:rsid w:val="76EF10BB"/>
    <w:rsid w:val="76F9718B"/>
    <w:rsid w:val="76FB7920"/>
    <w:rsid w:val="76FF4D8D"/>
    <w:rsid w:val="76FF7A51"/>
    <w:rsid w:val="76FF8D5F"/>
    <w:rsid w:val="77575C84"/>
    <w:rsid w:val="775F1626"/>
    <w:rsid w:val="776F2CD9"/>
    <w:rsid w:val="77758E82"/>
    <w:rsid w:val="7777D2E7"/>
    <w:rsid w:val="777A842A"/>
    <w:rsid w:val="777F7843"/>
    <w:rsid w:val="778FC8A6"/>
    <w:rsid w:val="7794DEC5"/>
    <w:rsid w:val="779B114B"/>
    <w:rsid w:val="77AFD1D5"/>
    <w:rsid w:val="77BB2E23"/>
    <w:rsid w:val="77BB98B3"/>
    <w:rsid w:val="77BD2484"/>
    <w:rsid w:val="77D72579"/>
    <w:rsid w:val="77DD0AAD"/>
    <w:rsid w:val="77DDC92B"/>
    <w:rsid w:val="77DF13B1"/>
    <w:rsid w:val="77DF2D4A"/>
    <w:rsid w:val="77E35270"/>
    <w:rsid w:val="77E70F10"/>
    <w:rsid w:val="77E9AC3F"/>
    <w:rsid w:val="77EC89A8"/>
    <w:rsid w:val="77FBA3C3"/>
    <w:rsid w:val="77FDF002"/>
    <w:rsid w:val="77FE91CA"/>
    <w:rsid w:val="78CDDD14"/>
    <w:rsid w:val="78FFFEFF"/>
    <w:rsid w:val="793D99B5"/>
    <w:rsid w:val="79576E2D"/>
    <w:rsid w:val="79586B99"/>
    <w:rsid w:val="795DEC98"/>
    <w:rsid w:val="797489ED"/>
    <w:rsid w:val="79768D44"/>
    <w:rsid w:val="7976DD14"/>
    <w:rsid w:val="797F5C6A"/>
    <w:rsid w:val="797FE0A5"/>
    <w:rsid w:val="79BFF785"/>
    <w:rsid w:val="79CFB8A7"/>
    <w:rsid w:val="79DB4136"/>
    <w:rsid w:val="79F9E3E3"/>
    <w:rsid w:val="79FF71A9"/>
    <w:rsid w:val="7A1E79FF"/>
    <w:rsid w:val="7A552640"/>
    <w:rsid w:val="7A73D471"/>
    <w:rsid w:val="7A7F8480"/>
    <w:rsid w:val="7ADC3046"/>
    <w:rsid w:val="7ADFD246"/>
    <w:rsid w:val="7AEDE86D"/>
    <w:rsid w:val="7AEEC9A5"/>
    <w:rsid w:val="7AEF3A72"/>
    <w:rsid w:val="7AFF0BFA"/>
    <w:rsid w:val="7B29C99D"/>
    <w:rsid w:val="7B2FD9E5"/>
    <w:rsid w:val="7B5BFFDE"/>
    <w:rsid w:val="7B5D16AF"/>
    <w:rsid w:val="7B5E2D8C"/>
    <w:rsid w:val="7B677B2B"/>
    <w:rsid w:val="7B6EC48D"/>
    <w:rsid w:val="7B741B8F"/>
    <w:rsid w:val="7B777FFE"/>
    <w:rsid w:val="7B77AF32"/>
    <w:rsid w:val="7B7FEEE9"/>
    <w:rsid w:val="7BA6EBCF"/>
    <w:rsid w:val="7BA73971"/>
    <w:rsid w:val="7BAF08EA"/>
    <w:rsid w:val="7BAFA1F5"/>
    <w:rsid w:val="7BB832FC"/>
    <w:rsid w:val="7BBA048F"/>
    <w:rsid w:val="7BBE5EA2"/>
    <w:rsid w:val="7BCFA539"/>
    <w:rsid w:val="7BDEF169"/>
    <w:rsid w:val="7BDFEDFB"/>
    <w:rsid w:val="7BE84ADD"/>
    <w:rsid w:val="7BEE8B96"/>
    <w:rsid w:val="7BEFC3A3"/>
    <w:rsid w:val="7BFD1006"/>
    <w:rsid w:val="7BFD3F69"/>
    <w:rsid w:val="7BFE019F"/>
    <w:rsid w:val="7BFE6670"/>
    <w:rsid w:val="7BFE7E14"/>
    <w:rsid w:val="7BFF004F"/>
    <w:rsid w:val="7BFF41AE"/>
    <w:rsid w:val="7BFF728B"/>
    <w:rsid w:val="7BFFDBF7"/>
    <w:rsid w:val="7C4BDAC4"/>
    <w:rsid w:val="7CDB23A5"/>
    <w:rsid w:val="7CDD8680"/>
    <w:rsid w:val="7CDF303F"/>
    <w:rsid w:val="7CE969CE"/>
    <w:rsid w:val="7CF3750B"/>
    <w:rsid w:val="7CF63989"/>
    <w:rsid w:val="7CF7A780"/>
    <w:rsid w:val="7CFFF8D3"/>
    <w:rsid w:val="7D2E62A1"/>
    <w:rsid w:val="7D4DC81F"/>
    <w:rsid w:val="7D73AF5D"/>
    <w:rsid w:val="7D75296E"/>
    <w:rsid w:val="7D760A1A"/>
    <w:rsid w:val="7D7AE3A0"/>
    <w:rsid w:val="7D7CBABF"/>
    <w:rsid w:val="7D7E1553"/>
    <w:rsid w:val="7D7F3EDD"/>
    <w:rsid w:val="7DA25706"/>
    <w:rsid w:val="7DB9F585"/>
    <w:rsid w:val="7DBFDA6D"/>
    <w:rsid w:val="7DCF915D"/>
    <w:rsid w:val="7DD637EC"/>
    <w:rsid w:val="7DD7332E"/>
    <w:rsid w:val="7DDB49C9"/>
    <w:rsid w:val="7DDF22FE"/>
    <w:rsid w:val="7DDF4FC1"/>
    <w:rsid w:val="7DE3DA78"/>
    <w:rsid w:val="7DEA1D37"/>
    <w:rsid w:val="7DEE4527"/>
    <w:rsid w:val="7DF68EB5"/>
    <w:rsid w:val="7DF75F94"/>
    <w:rsid w:val="7DF799DC"/>
    <w:rsid w:val="7DF980CA"/>
    <w:rsid w:val="7DFB0AEF"/>
    <w:rsid w:val="7DFB7F27"/>
    <w:rsid w:val="7DFBA78E"/>
    <w:rsid w:val="7DFD1568"/>
    <w:rsid w:val="7DFE8F5C"/>
    <w:rsid w:val="7DFF28A1"/>
    <w:rsid w:val="7DFF2F16"/>
    <w:rsid w:val="7DFF32CD"/>
    <w:rsid w:val="7DFF5292"/>
    <w:rsid w:val="7DFF9AB2"/>
    <w:rsid w:val="7E3EDE7D"/>
    <w:rsid w:val="7E453F9F"/>
    <w:rsid w:val="7E6D8404"/>
    <w:rsid w:val="7E7F8E57"/>
    <w:rsid w:val="7E9FCAC0"/>
    <w:rsid w:val="7EB4D553"/>
    <w:rsid w:val="7EB5E78D"/>
    <w:rsid w:val="7EB659C3"/>
    <w:rsid w:val="7EB76EA2"/>
    <w:rsid w:val="7EBCFA27"/>
    <w:rsid w:val="7EBE819D"/>
    <w:rsid w:val="7EBF3FFE"/>
    <w:rsid w:val="7EBFA0B2"/>
    <w:rsid w:val="7EBFAF71"/>
    <w:rsid w:val="7EBFED11"/>
    <w:rsid w:val="7ED41EB6"/>
    <w:rsid w:val="7EDCAFA8"/>
    <w:rsid w:val="7EDF16F5"/>
    <w:rsid w:val="7EDF9587"/>
    <w:rsid w:val="7EEBCC18"/>
    <w:rsid w:val="7EECCAE1"/>
    <w:rsid w:val="7EEE34BF"/>
    <w:rsid w:val="7EEED33D"/>
    <w:rsid w:val="7EEF531C"/>
    <w:rsid w:val="7EEF8345"/>
    <w:rsid w:val="7EEFC292"/>
    <w:rsid w:val="7EFB085A"/>
    <w:rsid w:val="7EFB3D1D"/>
    <w:rsid w:val="7EFD8F12"/>
    <w:rsid w:val="7EFE813B"/>
    <w:rsid w:val="7EFFA9A0"/>
    <w:rsid w:val="7EFFD5D3"/>
    <w:rsid w:val="7F36FECC"/>
    <w:rsid w:val="7F3B2129"/>
    <w:rsid w:val="7F3D5236"/>
    <w:rsid w:val="7F3FA927"/>
    <w:rsid w:val="7F510E00"/>
    <w:rsid w:val="7F538D82"/>
    <w:rsid w:val="7F556C12"/>
    <w:rsid w:val="7F59FC3E"/>
    <w:rsid w:val="7F6280B2"/>
    <w:rsid w:val="7F71B18F"/>
    <w:rsid w:val="7F7589D6"/>
    <w:rsid w:val="7F79B944"/>
    <w:rsid w:val="7F79E0EB"/>
    <w:rsid w:val="7F7A198B"/>
    <w:rsid w:val="7F7AD170"/>
    <w:rsid w:val="7F7B5B56"/>
    <w:rsid w:val="7F7D2FBD"/>
    <w:rsid w:val="7F7E79A9"/>
    <w:rsid w:val="7F7F65B7"/>
    <w:rsid w:val="7F7F6CCA"/>
    <w:rsid w:val="7F7F839F"/>
    <w:rsid w:val="7F7F8CE9"/>
    <w:rsid w:val="7F7F955D"/>
    <w:rsid w:val="7F7FE82B"/>
    <w:rsid w:val="7F87F346"/>
    <w:rsid w:val="7F87F410"/>
    <w:rsid w:val="7F8D4744"/>
    <w:rsid w:val="7F9DC8BA"/>
    <w:rsid w:val="7F9FF0BA"/>
    <w:rsid w:val="7FA743A2"/>
    <w:rsid w:val="7FA77667"/>
    <w:rsid w:val="7FBD985A"/>
    <w:rsid w:val="7FBF1BBE"/>
    <w:rsid w:val="7FBFE45F"/>
    <w:rsid w:val="7FBFF1AE"/>
    <w:rsid w:val="7FC5098E"/>
    <w:rsid w:val="7FCBFD57"/>
    <w:rsid w:val="7FCFFDC7"/>
    <w:rsid w:val="7FD3A757"/>
    <w:rsid w:val="7FD59BCB"/>
    <w:rsid w:val="7FD7AD48"/>
    <w:rsid w:val="7FD7B9B5"/>
    <w:rsid w:val="7FD97833"/>
    <w:rsid w:val="7FD9F931"/>
    <w:rsid w:val="7FDB2EDF"/>
    <w:rsid w:val="7FDBA0BD"/>
    <w:rsid w:val="7FDE0F9A"/>
    <w:rsid w:val="7FDF2672"/>
    <w:rsid w:val="7FDF6136"/>
    <w:rsid w:val="7FDFC406"/>
    <w:rsid w:val="7FE52EAF"/>
    <w:rsid w:val="7FEBC790"/>
    <w:rsid w:val="7FECC31C"/>
    <w:rsid w:val="7FED0CE3"/>
    <w:rsid w:val="7FED5CEB"/>
    <w:rsid w:val="7FEEB7E2"/>
    <w:rsid w:val="7FEF0B81"/>
    <w:rsid w:val="7FEFA13B"/>
    <w:rsid w:val="7FF12C86"/>
    <w:rsid w:val="7FF382EE"/>
    <w:rsid w:val="7FF43C71"/>
    <w:rsid w:val="7FF78B8D"/>
    <w:rsid w:val="7FF78D67"/>
    <w:rsid w:val="7FFACD16"/>
    <w:rsid w:val="7FFB9E6E"/>
    <w:rsid w:val="7FFBE6A8"/>
    <w:rsid w:val="7FFD024A"/>
    <w:rsid w:val="7FFD6273"/>
    <w:rsid w:val="7FFDA04C"/>
    <w:rsid w:val="7FFE591C"/>
    <w:rsid w:val="7FFF223B"/>
    <w:rsid w:val="7FFF2585"/>
    <w:rsid w:val="7FFF3BC1"/>
    <w:rsid w:val="7FFF41DD"/>
    <w:rsid w:val="7FFF5863"/>
    <w:rsid w:val="7FFF615E"/>
    <w:rsid w:val="7FFFBD42"/>
    <w:rsid w:val="836FB8BD"/>
    <w:rsid w:val="867F68DD"/>
    <w:rsid w:val="874FB714"/>
    <w:rsid w:val="87BF52EA"/>
    <w:rsid w:val="87E36235"/>
    <w:rsid w:val="8BF67ABB"/>
    <w:rsid w:val="8C9F087A"/>
    <w:rsid w:val="8CEC27A4"/>
    <w:rsid w:val="8CEFD554"/>
    <w:rsid w:val="8DB09FED"/>
    <w:rsid w:val="8DD9255F"/>
    <w:rsid w:val="8E7F39A1"/>
    <w:rsid w:val="8EAF3911"/>
    <w:rsid w:val="8EDE26C2"/>
    <w:rsid w:val="8EFE426F"/>
    <w:rsid w:val="8FF7B1A4"/>
    <w:rsid w:val="93BE9F36"/>
    <w:rsid w:val="93F97E05"/>
    <w:rsid w:val="94DD944A"/>
    <w:rsid w:val="95C75B1C"/>
    <w:rsid w:val="95F6709E"/>
    <w:rsid w:val="96FB74A3"/>
    <w:rsid w:val="97DEDB6C"/>
    <w:rsid w:val="97F8FF24"/>
    <w:rsid w:val="99AE98FF"/>
    <w:rsid w:val="99CFFDB9"/>
    <w:rsid w:val="9AE97DA0"/>
    <w:rsid w:val="9BED18CA"/>
    <w:rsid w:val="9BF79616"/>
    <w:rsid w:val="9CF5EF31"/>
    <w:rsid w:val="9D991C0D"/>
    <w:rsid w:val="9DA3FD73"/>
    <w:rsid w:val="9DDF290F"/>
    <w:rsid w:val="9DED321B"/>
    <w:rsid w:val="9DF96424"/>
    <w:rsid w:val="9EB7C527"/>
    <w:rsid w:val="9EC7360D"/>
    <w:rsid w:val="9EDD85A7"/>
    <w:rsid w:val="9F3FB32E"/>
    <w:rsid w:val="9FBFB51D"/>
    <w:rsid w:val="9FE615A7"/>
    <w:rsid w:val="9FFFD694"/>
    <w:rsid w:val="A5B901A3"/>
    <w:rsid w:val="A6661027"/>
    <w:rsid w:val="A73FC86D"/>
    <w:rsid w:val="A7F5EED8"/>
    <w:rsid w:val="A96FDA95"/>
    <w:rsid w:val="A9FDA630"/>
    <w:rsid w:val="AADD2C70"/>
    <w:rsid w:val="AB3D3386"/>
    <w:rsid w:val="AB4EE396"/>
    <w:rsid w:val="AB55453D"/>
    <w:rsid w:val="AB9D914E"/>
    <w:rsid w:val="AC3DCCC5"/>
    <w:rsid w:val="AC9B0D4E"/>
    <w:rsid w:val="ADFF79D9"/>
    <w:rsid w:val="AE33D466"/>
    <w:rsid w:val="AE7EC625"/>
    <w:rsid w:val="AE7F2B8E"/>
    <w:rsid w:val="AEEF9F80"/>
    <w:rsid w:val="AF5D5E5E"/>
    <w:rsid w:val="AF6E095C"/>
    <w:rsid w:val="AF9DBDFA"/>
    <w:rsid w:val="AFA1823D"/>
    <w:rsid w:val="AFCFE13A"/>
    <w:rsid w:val="AFEF7BFB"/>
    <w:rsid w:val="AFF565D9"/>
    <w:rsid w:val="AFFE641D"/>
    <w:rsid w:val="B1E9CC77"/>
    <w:rsid w:val="B1EEC735"/>
    <w:rsid w:val="B37F8B32"/>
    <w:rsid w:val="B3B4A783"/>
    <w:rsid w:val="B3BB2D1C"/>
    <w:rsid w:val="B3D7B8D5"/>
    <w:rsid w:val="B3FDA053"/>
    <w:rsid w:val="B4DB92AD"/>
    <w:rsid w:val="B5A703FC"/>
    <w:rsid w:val="B5DA9048"/>
    <w:rsid w:val="B66E5F02"/>
    <w:rsid w:val="B66EEBF3"/>
    <w:rsid w:val="B66F2185"/>
    <w:rsid w:val="B6FF20A3"/>
    <w:rsid w:val="B73FC8B0"/>
    <w:rsid w:val="B77DD5F4"/>
    <w:rsid w:val="B77FC4FC"/>
    <w:rsid w:val="B7A3630C"/>
    <w:rsid w:val="B7B75D5D"/>
    <w:rsid w:val="B7EE8089"/>
    <w:rsid w:val="B7EF7EF7"/>
    <w:rsid w:val="B7F3691C"/>
    <w:rsid w:val="B7F3E621"/>
    <w:rsid w:val="B7F791A8"/>
    <w:rsid w:val="B7FB5780"/>
    <w:rsid w:val="B7FCC62D"/>
    <w:rsid w:val="B7FEEBD0"/>
    <w:rsid w:val="B8EF99A3"/>
    <w:rsid w:val="B93B9220"/>
    <w:rsid w:val="B958CD36"/>
    <w:rsid w:val="B96EAB52"/>
    <w:rsid w:val="B99B19A8"/>
    <w:rsid w:val="B9DE5585"/>
    <w:rsid w:val="B9EF70DC"/>
    <w:rsid w:val="BA7D447A"/>
    <w:rsid w:val="BB5F93F5"/>
    <w:rsid w:val="BB762CB7"/>
    <w:rsid w:val="BBCBBA56"/>
    <w:rsid w:val="BBEA1075"/>
    <w:rsid w:val="BBEFD72C"/>
    <w:rsid w:val="BBF3F91C"/>
    <w:rsid w:val="BBFF2AC0"/>
    <w:rsid w:val="BBFFAB56"/>
    <w:rsid w:val="BBFFB70C"/>
    <w:rsid w:val="BC71090A"/>
    <w:rsid w:val="BD5F52B0"/>
    <w:rsid w:val="BD7976D5"/>
    <w:rsid w:val="BD96DD11"/>
    <w:rsid w:val="BDB7E243"/>
    <w:rsid w:val="BDBE925F"/>
    <w:rsid w:val="BDD73372"/>
    <w:rsid w:val="BDDDE585"/>
    <w:rsid w:val="BDDF5E30"/>
    <w:rsid w:val="BDEB7CC1"/>
    <w:rsid w:val="BDEB8624"/>
    <w:rsid w:val="BDF9E3FF"/>
    <w:rsid w:val="BDFCC585"/>
    <w:rsid w:val="BDFEA7C2"/>
    <w:rsid w:val="BE1E5E0D"/>
    <w:rsid w:val="BE49700A"/>
    <w:rsid w:val="BE5FCA0B"/>
    <w:rsid w:val="BE660A33"/>
    <w:rsid w:val="BE6DF3A8"/>
    <w:rsid w:val="BEBF1431"/>
    <w:rsid w:val="BED5365F"/>
    <w:rsid w:val="BEDA6385"/>
    <w:rsid w:val="BEDF0543"/>
    <w:rsid w:val="BEDF3E81"/>
    <w:rsid w:val="BEEDFC0C"/>
    <w:rsid w:val="BEEF1399"/>
    <w:rsid w:val="BEEF41A4"/>
    <w:rsid w:val="BEFA4300"/>
    <w:rsid w:val="BEFB44CC"/>
    <w:rsid w:val="BEFEABB4"/>
    <w:rsid w:val="BF162D05"/>
    <w:rsid w:val="BF2F1293"/>
    <w:rsid w:val="BF433F2D"/>
    <w:rsid w:val="BF4DAC25"/>
    <w:rsid w:val="BF575BF6"/>
    <w:rsid w:val="BF5AA449"/>
    <w:rsid w:val="BF5B3E99"/>
    <w:rsid w:val="BF5FE625"/>
    <w:rsid w:val="BF6D0D5A"/>
    <w:rsid w:val="BF757F32"/>
    <w:rsid w:val="BF7E114C"/>
    <w:rsid w:val="BF7E4FCB"/>
    <w:rsid w:val="BF7EF5B6"/>
    <w:rsid w:val="BF9D69DF"/>
    <w:rsid w:val="BF9DA919"/>
    <w:rsid w:val="BFA7623D"/>
    <w:rsid w:val="BFB735CB"/>
    <w:rsid w:val="BFBD3F6B"/>
    <w:rsid w:val="BFBDE3A6"/>
    <w:rsid w:val="BFCEC57D"/>
    <w:rsid w:val="BFD15AFD"/>
    <w:rsid w:val="BFD16DFC"/>
    <w:rsid w:val="BFD704CB"/>
    <w:rsid w:val="BFDB55FA"/>
    <w:rsid w:val="BFE72AEE"/>
    <w:rsid w:val="BFFBB3AB"/>
    <w:rsid w:val="BFFBC66F"/>
    <w:rsid w:val="BFFE7A46"/>
    <w:rsid w:val="BFFFC3E4"/>
    <w:rsid w:val="C2EEF46E"/>
    <w:rsid w:val="C57AC5D2"/>
    <w:rsid w:val="C5F69728"/>
    <w:rsid w:val="C77F0BBC"/>
    <w:rsid w:val="C7FBFD82"/>
    <w:rsid w:val="C7FF5E56"/>
    <w:rsid w:val="C9F36C91"/>
    <w:rsid w:val="C9FFB4DF"/>
    <w:rsid w:val="CAE6A4D4"/>
    <w:rsid w:val="CD2F0515"/>
    <w:rsid w:val="CDFB0C31"/>
    <w:rsid w:val="CE7ED152"/>
    <w:rsid w:val="CEEB8623"/>
    <w:rsid w:val="CEF2E579"/>
    <w:rsid w:val="CEFED119"/>
    <w:rsid w:val="CF36A270"/>
    <w:rsid w:val="CF3DFDA5"/>
    <w:rsid w:val="CF7BBED2"/>
    <w:rsid w:val="CF953713"/>
    <w:rsid w:val="CFAF4E88"/>
    <w:rsid w:val="CFBC6440"/>
    <w:rsid w:val="CFDEBD6F"/>
    <w:rsid w:val="CFEF13E7"/>
    <w:rsid w:val="CFEF4260"/>
    <w:rsid w:val="CFF752AC"/>
    <w:rsid w:val="CFF7F796"/>
    <w:rsid w:val="CFFB51C2"/>
    <w:rsid w:val="D14DBDFA"/>
    <w:rsid w:val="D1DFB3A6"/>
    <w:rsid w:val="D2361131"/>
    <w:rsid w:val="D37C8EF2"/>
    <w:rsid w:val="D3AF95E0"/>
    <w:rsid w:val="D3FEC543"/>
    <w:rsid w:val="D3FFD5F5"/>
    <w:rsid w:val="D567DE50"/>
    <w:rsid w:val="D5778A68"/>
    <w:rsid w:val="D578724B"/>
    <w:rsid w:val="D57C134E"/>
    <w:rsid w:val="D5970529"/>
    <w:rsid w:val="D5E8C435"/>
    <w:rsid w:val="D66FBDD8"/>
    <w:rsid w:val="D6763D61"/>
    <w:rsid w:val="D6D6D829"/>
    <w:rsid w:val="D6EE7B31"/>
    <w:rsid w:val="D73B8DDC"/>
    <w:rsid w:val="D73F5C2A"/>
    <w:rsid w:val="D753D65A"/>
    <w:rsid w:val="D76B0FD6"/>
    <w:rsid w:val="D77585C7"/>
    <w:rsid w:val="D77B05DB"/>
    <w:rsid w:val="D79F4398"/>
    <w:rsid w:val="D7BF640A"/>
    <w:rsid w:val="D7D33CD1"/>
    <w:rsid w:val="D7DFA91C"/>
    <w:rsid w:val="D7F642C2"/>
    <w:rsid w:val="D7FB0345"/>
    <w:rsid w:val="D7FB8CD8"/>
    <w:rsid w:val="D7FD4CC3"/>
    <w:rsid w:val="D7FEE616"/>
    <w:rsid w:val="D7FF4555"/>
    <w:rsid w:val="D7FFAA0A"/>
    <w:rsid w:val="D7FFBB21"/>
    <w:rsid w:val="D8F3EDC0"/>
    <w:rsid w:val="D96E91C7"/>
    <w:rsid w:val="D9BAB8A2"/>
    <w:rsid w:val="D9E9B231"/>
    <w:rsid w:val="DA4D29D2"/>
    <w:rsid w:val="DA75230F"/>
    <w:rsid w:val="DAAE4EBA"/>
    <w:rsid w:val="DABB2771"/>
    <w:rsid w:val="DADF8994"/>
    <w:rsid w:val="DAFBFDF8"/>
    <w:rsid w:val="DAFF5804"/>
    <w:rsid w:val="DB756DBD"/>
    <w:rsid w:val="DB77B071"/>
    <w:rsid w:val="DB7EB0A2"/>
    <w:rsid w:val="DB7FFA22"/>
    <w:rsid w:val="DB9B5886"/>
    <w:rsid w:val="DBAD097B"/>
    <w:rsid w:val="DBB2848B"/>
    <w:rsid w:val="DBBDCFD0"/>
    <w:rsid w:val="DBC2621D"/>
    <w:rsid w:val="DBDB4BF5"/>
    <w:rsid w:val="DBDF8B81"/>
    <w:rsid w:val="DBE28AED"/>
    <w:rsid w:val="DBF59DB8"/>
    <w:rsid w:val="DBF5FB5A"/>
    <w:rsid w:val="DBFB1C2F"/>
    <w:rsid w:val="DBFDC23E"/>
    <w:rsid w:val="DCB77038"/>
    <w:rsid w:val="DCDF9812"/>
    <w:rsid w:val="DD6F428F"/>
    <w:rsid w:val="DDAFCE30"/>
    <w:rsid w:val="DDBD9C7C"/>
    <w:rsid w:val="DDF7531A"/>
    <w:rsid w:val="DDFAAE88"/>
    <w:rsid w:val="DDFFB69B"/>
    <w:rsid w:val="DEB78BBA"/>
    <w:rsid w:val="DED7B000"/>
    <w:rsid w:val="DEED2C94"/>
    <w:rsid w:val="DEFA9607"/>
    <w:rsid w:val="DF4B84C0"/>
    <w:rsid w:val="DF4C2CE1"/>
    <w:rsid w:val="DF58271C"/>
    <w:rsid w:val="DF6F90B1"/>
    <w:rsid w:val="DF7E84CC"/>
    <w:rsid w:val="DF7FA1D9"/>
    <w:rsid w:val="DF8F4555"/>
    <w:rsid w:val="DF9C689F"/>
    <w:rsid w:val="DF9F7EA2"/>
    <w:rsid w:val="DFBEE8CC"/>
    <w:rsid w:val="DFD99AD6"/>
    <w:rsid w:val="DFDAE4D3"/>
    <w:rsid w:val="DFE6C6CC"/>
    <w:rsid w:val="DFEC2F75"/>
    <w:rsid w:val="DFF0B079"/>
    <w:rsid w:val="DFF57C4D"/>
    <w:rsid w:val="DFFC5372"/>
    <w:rsid w:val="DFFDD8CA"/>
    <w:rsid w:val="DFFF8376"/>
    <w:rsid w:val="DFFF8FBD"/>
    <w:rsid w:val="DFFF9531"/>
    <w:rsid w:val="DFFFEADB"/>
    <w:rsid w:val="E1AFB568"/>
    <w:rsid w:val="E2D69743"/>
    <w:rsid w:val="E2F91477"/>
    <w:rsid w:val="E37A1BEB"/>
    <w:rsid w:val="E3BB4140"/>
    <w:rsid w:val="E4FF2946"/>
    <w:rsid w:val="E5AF5209"/>
    <w:rsid w:val="E5BCEB7F"/>
    <w:rsid w:val="E5BF97F2"/>
    <w:rsid w:val="E5FF7684"/>
    <w:rsid w:val="E673D3A4"/>
    <w:rsid w:val="E67F61BD"/>
    <w:rsid w:val="E6CDFE23"/>
    <w:rsid w:val="E6E6FBCB"/>
    <w:rsid w:val="E72DA66E"/>
    <w:rsid w:val="E77F2B64"/>
    <w:rsid w:val="E79D8D35"/>
    <w:rsid w:val="E7BF4203"/>
    <w:rsid w:val="E7CEBB78"/>
    <w:rsid w:val="E7FF6D83"/>
    <w:rsid w:val="E816EB40"/>
    <w:rsid w:val="E8C48653"/>
    <w:rsid w:val="E9AFA4BD"/>
    <w:rsid w:val="EA37389C"/>
    <w:rsid w:val="EA7F8D70"/>
    <w:rsid w:val="EAB792AA"/>
    <w:rsid w:val="EACB0C2A"/>
    <w:rsid w:val="EACEEB4B"/>
    <w:rsid w:val="EAD644D3"/>
    <w:rsid w:val="EAEF54C7"/>
    <w:rsid w:val="EAEF89B7"/>
    <w:rsid w:val="EAFD16F3"/>
    <w:rsid w:val="EB0CDEB3"/>
    <w:rsid w:val="EB5FD08D"/>
    <w:rsid w:val="EB6D4A30"/>
    <w:rsid w:val="EBBA3D2F"/>
    <w:rsid w:val="EBD7ADDD"/>
    <w:rsid w:val="EBD8C413"/>
    <w:rsid w:val="EBDA51C2"/>
    <w:rsid w:val="EBDB30DB"/>
    <w:rsid w:val="EBDBD221"/>
    <w:rsid w:val="EBED909E"/>
    <w:rsid w:val="EC3F6C88"/>
    <w:rsid w:val="EC6D375C"/>
    <w:rsid w:val="ECFDF927"/>
    <w:rsid w:val="ED171C92"/>
    <w:rsid w:val="ED7BAE19"/>
    <w:rsid w:val="EDBA29E9"/>
    <w:rsid w:val="EDDFD04B"/>
    <w:rsid w:val="EDE7E051"/>
    <w:rsid w:val="EDEF93BA"/>
    <w:rsid w:val="EDF77C51"/>
    <w:rsid w:val="EDFBFA9A"/>
    <w:rsid w:val="EDFD0506"/>
    <w:rsid w:val="EDFD8359"/>
    <w:rsid w:val="EDFF4B03"/>
    <w:rsid w:val="EE3DD79E"/>
    <w:rsid w:val="EEB38768"/>
    <w:rsid w:val="EEBC5EE6"/>
    <w:rsid w:val="EED5183F"/>
    <w:rsid w:val="EF3A804B"/>
    <w:rsid w:val="EF3FAF06"/>
    <w:rsid w:val="EF5F65CE"/>
    <w:rsid w:val="EF5F8F1D"/>
    <w:rsid w:val="EF6D91F3"/>
    <w:rsid w:val="EF6F48A2"/>
    <w:rsid w:val="EF749BD4"/>
    <w:rsid w:val="EF7E9D65"/>
    <w:rsid w:val="EF7F65DA"/>
    <w:rsid w:val="EF9FB512"/>
    <w:rsid w:val="EFABE57E"/>
    <w:rsid w:val="EFAFDF01"/>
    <w:rsid w:val="EFBE3A16"/>
    <w:rsid w:val="EFCB519B"/>
    <w:rsid w:val="EFD75A27"/>
    <w:rsid w:val="EFDDD14E"/>
    <w:rsid w:val="EFDF85E2"/>
    <w:rsid w:val="EFDFB70D"/>
    <w:rsid w:val="EFEB6181"/>
    <w:rsid w:val="EFEF4DC1"/>
    <w:rsid w:val="EFF7680E"/>
    <w:rsid w:val="EFFB24BB"/>
    <w:rsid w:val="EFFE0C93"/>
    <w:rsid w:val="EFFED594"/>
    <w:rsid w:val="EFFF3842"/>
    <w:rsid w:val="EFFF68E5"/>
    <w:rsid w:val="EFFFC4CB"/>
    <w:rsid w:val="F17EF593"/>
    <w:rsid w:val="F1DF5F26"/>
    <w:rsid w:val="F1FF8C77"/>
    <w:rsid w:val="F2C9C2F2"/>
    <w:rsid w:val="F2D5F862"/>
    <w:rsid w:val="F2D9F9B4"/>
    <w:rsid w:val="F2DD9CD6"/>
    <w:rsid w:val="F2F2FD17"/>
    <w:rsid w:val="F2FD958F"/>
    <w:rsid w:val="F3BF1B7A"/>
    <w:rsid w:val="F3E768CA"/>
    <w:rsid w:val="F3EF0A59"/>
    <w:rsid w:val="F3F7C8DE"/>
    <w:rsid w:val="F3FD5F9E"/>
    <w:rsid w:val="F4EFBCA1"/>
    <w:rsid w:val="F4F90C56"/>
    <w:rsid w:val="F53DC65C"/>
    <w:rsid w:val="F53ECFFC"/>
    <w:rsid w:val="F5637133"/>
    <w:rsid w:val="F5CF43FC"/>
    <w:rsid w:val="F5DCB6C6"/>
    <w:rsid w:val="F5EB76A6"/>
    <w:rsid w:val="F5F4E519"/>
    <w:rsid w:val="F5FFEE3D"/>
    <w:rsid w:val="F63FB080"/>
    <w:rsid w:val="F65A9681"/>
    <w:rsid w:val="F6671BFE"/>
    <w:rsid w:val="F67FD438"/>
    <w:rsid w:val="F6DF26CE"/>
    <w:rsid w:val="F6F7C9A7"/>
    <w:rsid w:val="F6FA3E28"/>
    <w:rsid w:val="F731C714"/>
    <w:rsid w:val="F76FFD8C"/>
    <w:rsid w:val="F773BDAD"/>
    <w:rsid w:val="F777FA88"/>
    <w:rsid w:val="F77DD2F1"/>
    <w:rsid w:val="F784AF6C"/>
    <w:rsid w:val="F796AA26"/>
    <w:rsid w:val="F7B72860"/>
    <w:rsid w:val="F7BFE4C3"/>
    <w:rsid w:val="F7CFF191"/>
    <w:rsid w:val="F7DBB398"/>
    <w:rsid w:val="F7DDC784"/>
    <w:rsid w:val="F7DF97D6"/>
    <w:rsid w:val="F7E74336"/>
    <w:rsid w:val="F7EC4F0C"/>
    <w:rsid w:val="F7ED8986"/>
    <w:rsid w:val="F7EF245F"/>
    <w:rsid w:val="F7F3D21A"/>
    <w:rsid w:val="F7F7AB1B"/>
    <w:rsid w:val="F7FB4A76"/>
    <w:rsid w:val="F7FB78F0"/>
    <w:rsid w:val="F7FF9B70"/>
    <w:rsid w:val="F7FFE733"/>
    <w:rsid w:val="F86F85A0"/>
    <w:rsid w:val="F8BF2DF7"/>
    <w:rsid w:val="F8F7F7CD"/>
    <w:rsid w:val="F9378F39"/>
    <w:rsid w:val="F96DA59B"/>
    <w:rsid w:val="F96E269C"/>
    <w:rsid w:val="F973D971"/>
    <w:rsid w:val="F97D151F"/>
    <w:rsid w:val="F9BDD728"/>
    <w:rsid w:val="F9BDFE58"/>
    <w:rsid w:val="F9CBE1F6"/>
    <w:rsid w:val="F9CCF9F2"/>
    <w:rsid w:val="F9DBBBC5"/>
    <w:rsid w:val="F9FEA4F9"/>
    <w:rsid w:val="FA626CF3"/>
    <w:rsid w:val="FA770268"/>
    <w:rsid w:val="FA771536"/>
    <w:rsid w:val="FA89DD6C"/>
    <w:rsid w:val="FABBFE84"/>
    <w:rsid w:val="FAD4F9B0"/>
    <w:rsid w:val="FAF2607D"/>
    <w:rsid w:val="FAF5AE86"/>
    <w:rsid w:val="FAFB9282"/>
    <w:rsid w:val="FAFE4E1A"/>
    <w:rsid w:val="FAFFAB67"/>
    <w:rsid w:val="FAFFB5D1"/>
    <w:rsid w:val="FB3ED4DB"/>
    <w:rsid w:val="FB3FADD2"/>
    <w:rsid w:val="FB6E445B"/>
    <w:rsid w:val="FB77E8FF"/>
    <w:rsid w:val="FB7F8076"/>
    <w:rsid w:val="FB7FBB9B"/>
    <w:rsid w:val="FB7FFDBA"/>
    <w:rsid w:val="FB8FF434"/>
    <w:rsid w:val="FBA26DB5"/>
    <w:rsid w:val="FBA5DF5F"/>
    <w:rsid w:val="FBB52637"/>
    <w:rsid w:val="FBB83E13"/>
    <w:rsid w:val="FBBA7F16"/>
    <w:rsid w:val="FBBC24E2"/>
    <w:rsid w:val="FBBD654A"/>
    <w:rsid w:val="FBBF441C"/>
    <w:rsid w:val="FBBF8740"/>
    <w:rsid w:val="FBD5CE98"/>
    <w:rsid w:val="FBD707FE"/>
    <w:rsid w:val="FBDAB8DA"/>
    <w:rsid w:val="FBDF3A8F"/>
    <w:rsid w:val="FBE733D1"/>
    <w:rsid w:val="FBF7AA6D"/>
    <w:rsid w:val="FBFCD3FC"/>
    <w:rsid w:val="FBFD2134"/>
    <w:rsid w:val="FBFD66C8"/>
    <w:rsid w:val="FBFE1A78"/>
    <w:rsid w:val="FBFF0B8A"/>
    <w:rsid w:val="FBFF136B"/>
    <w:rsid w:val="FBFF243F"/>
    <w:rsid w:val="FBFF2D6F"/>
    <w:rsid w:val="FBFFE7F4"/>
    <w:rsid w:val="FC2FB4DF"/>
    <w:rsid w:val="FC779403"/>
    <w:rsid w:val="FC7EAD3E"/>
    <w:rsid w:val="FC8A9A73"/>
    <w:rsid w:val="FCAFF630"/>
    <w:rsid w:val="FCCBA8E9"/>
    <w:rsid w:val="FCCFD7F2"/>
    <w:rsid w:val="FCF3371D"/>
    <w:rsid w:val="FCF69974"/>
    <w:rsid w:val="FCF70B3D"/>
    <w:rsid w:val="FCF7ED62"/>
    <w:rsid w:val="FCF9431C"/>
    <w:rsid w:val="FCFD9CAA"/>
    <w:rsid w:val="FCFE199A"/>
    <w:rsid w:val="FD39C2EB"/>
    <w:rsid w:val="FD3D5595"/>
    <w:rsid w:val="FD598FCF"/>
    <w:rsid w:val="FD5C024B"/>
    <w:rsid w:val="FD6C29EA"/>
    <w:rsid w:val="FD7196A0"/>
    <w:rsid w:val="FD77680A"/>
    <w:rsid w:val="FD93414C"/>
    <w:rsid w:val="FD972A7A"/>
    <w:rsid w:val="FDAD9A05"/>
    <w:rsid w:val="FDAFC376"/>
    <w:rsid w:val="FDB6F3D2"/>
    <w:rsid w:val="FDB7EC73"/>
    <w:rsid w:val="FDB7F93B"/>
    <w:rsid w:val="FDB932EA"/>
    <w:rsid w:val="FDB991B4"/>
    <w:rsid w:val="FDBAF126"/>
    <w:rsid w:val="FDBB1BEF"/>
    <w:rsid w:val="FDBDA968"/>
    <w:rsid w:val="FDC6A64F"/>
    <w:rsid w:val="FDD96C0D"/>
    <w:rsid w:val="FDD9AC4B"/>
    <w:rsid w:val="FDDD140F"/>
    <w:rsid w:val="FDDDBD19"/>
    <w:rsid w:val="FDDDDD5B"/>
    <w:rsid w:val="FDDEEB72"/>
    <w:rsid w:val="FDE3D711"/>
    <w:rsid w:val="FDEBEEC1"/>
    <w:rsid w:val="FDEEFDE7"/>
    <w:rsid w:val="FDEF7C17"/>
    <w:rsid w:val="FDF6B2CC"/>
    <w:rsid w:val="FDF6CC2A"/>
    <w:rsid w:val="FDF7A957"/>
    <w:rsid w:val="FDF7D4AA"/>
    <w:rsid w:val="FDFA6751"/>
    <w:rsid w:val="FDFB4D9E"/>
    <w:rsid w:val="FDFCB66C"/>
    <w:rsid w:val="FDFE3DDB"/>
    <w:rsid w:val="FDFF3EA5"/>
    <w:rsid w:val="FDFFBD4B"/>
    <w:rsid w:val="FDFFC59D"/>
    <w:rsid w:val="FDFFCADE"/>
    <w:rsid w:val="FE5AD34E"/>
    <w:rsid w:val="FE678A7A"/>
    <w:rsid w:val="FE6FED51"/>
    <w:rsid w:val="FE79005D"/>
    <w:rsid w:val="FE7E4AD1"/>
    <w:rsid w:val="FE7F3325"/>
    <w:rsid w:val="FE7F484C"/>
    <w:rsid w:val="FE7FC9ED"/>
    <w:rsid w:val="FE8DFF95"/>
    <w:rsid w:val="FE952F08"/>
    <w:rsid w:val="FEBDB134"/>
    <w:rsid w:val="FEBDE06C"/>
    <w:rsid w:val="FEBF53C1"/>
    <w:rsid w:val="FEBF6E7C"/>
    <w:rsid w:val="FEBFF807"/>
    <w:rsid w:val="FECED18A"/>
    <w:rsid w:val="FECF5F68"/>
    <w:rsid w:val="FED62819"/>
    <w:rsid w:val="FEDD909C"/>
    <w:rsid w:val="FEDE2A2D"/>
    <w:rsid w:val="FEE1C60D"/>
    <w:rsid w:val="FEE67AFA"/>
    <w:rsid w:val="FEEB68B2"/>
    <w:rsid w:val="FEEB732A"/>
    <w:rsid w:val="FEEF9D81"/>
    <w:rsid w:val="FEF6B991"/>
    <w:rsid w:val="FEFAD473"/>
    <w:rsid w:val="FEFC394C"/>
    <w:rsid w:val="FEFE4E52"/>
    <w:rsid w:val="FEFF8806"/>
    <w:rsid w:val="FEFFBD47"/>
    <w:rsid w:val="FEFFEDD7"/>
    <w:rsid w:val="FF27A56A"/>
    <w:rsid w:val="FF31C602"/>
    <w:rsid w:val="FF3BB2B6"/>
    <w:rsid w:val="FF3C882B"/>
    <w:rsid w:val="FF3EDBB7"/>
    <w:rsid w:val="FF3FBF6D"/>
    <w:rsid w:val="FF5DC0EB"/>
    <w:rsid w:val="FF5F8B27"/>
    <w:rsid w:val="FF62BD64"/>
    <w:rsid w:val="FF6648DC"/>
    <w:rsid w:val="FF6FFDE3"/>
    <w:rsid w:val="FF75CDD7"/>
    <w:rsid w:val="FF76BCC0"/>
    <w:rsid w:val="FF77278D"/>
    <w:rsid w:val="FF778FB5"/>
    <w:rsid w:val="FF7A1E9C"/>
    <w:rsid w:val="FF7B14E0"/>
    <w:rsid w:val="FF7BDF5A"/>
    <w:rsid w:val="FF7C05D1"/>
    <w:rsid w:val="FF7DCA2A"/>
    <w:rsid w:val="FF7E132B"/>
    <w:rsid w:val="FF7EF82B"/>
    <w:rsid w:val="FF7F2CBA"/>
    <w:rsid w:val="FF7F663C"/>
    <w:rsid w:val="FF7FA5F2"/>
    <w:rsid w:val="FF81B9E1"/>
    <w:rsid w:val="FF85427C"/>
    <w:rsid w:val="FF8F16DF"/>
    <w:rsid w:val="FF97051C"/>
    <w:rsid w:val="FF974458"/>
    <w:rsid w:val="FF97A67B"/>
    <w:rsid w:val="FF9BE13E"/>
    <w:rsid w:val="FFA88F09"/>
    <w:rsid w:val="FFAB2B82"/>
    <w:rsid w:val="FFAB973A"/>
    <w:rsid w:val="FFAF562D"/>
    <w:rsid w:val="FFAF627C"/>
    <w:rsid w:val="FFAFA7CD"/>
    <w:rsid w:val="FFB2B215"/>
    <w:rsid w:val="FFBC6036"/>
    <w:rsid w:val="FFBC93E5"/>
    <w:rsid w:val="FFBCC13D"/>
    <w:rsid w:val="FFBDE9EC"/>
    <w:rsid w:val="FFBE01F1"/>
    <w:rsid w:val="FFBE8A38"/>
    <w:rsid w:val="FFBF285F"/>
    <w:rsid w:val="FFBF5D56"/>
    <w:rsid w:val="FFC73096"/>
    <w:rsid w:val="FFC77B82"/>
    <w:rsid w:val="FFDAC686"/>
    <w:rsid w:val="FFDC5E6F"/>
    <w:rsid w:val="FFDFA1F3"/>
    <w:rsid w:val="FFDFA2C7"/>
    <w:rsid w:val="FFDFD45F"/>
    <w:rsid w:val="FFE385B7"/>
    <w:rsid w:val="FFE51967"/>
    <w:rsid w:val="FFE58F2C"/>
    <w:rsid w:val="FFE7ADC3"/>
    <w:rsid w:val="FFEBD73D"/>
    <w:rsid w:val="FFEC8495"/>
    <w:rsid w:val="FFEDC57C"/>
    <w:rsid w:val="FFEDF28C"/>
    <w:rsid w:val="FFEFCFE1"/>
    <w:rsid w:val="FFF492A2"/>
    <w:rsid w:val="FFF53C41"/>
    <w:rsid w:val="FFF7E753"/>
    <w:rsid w:val="FFF84120"/>
    <w:rsid w:val="FFF843C4"/>
    <w:rsid w:val="FFF97E4C"/>
    <w:rsid w:val="FFFB6C8A"/>
    <w:rsid w:val="FFFC9BDC"/>
    <w:rsid w:val="FFFD2F7D"/>
    <w:rsid w:val="FFFE8468"/>
    <w:rsid w:val="FFFEA11A"/>
    <w:rsid w:val="FFFEC6C2"/>
    <w:rsid w:val="FFFF072A"/>
    <w:rsid w:val="FFFF252C"/>
    <w:rsid w:val="FFFF3934"/>
    <w:rsid w:val="FFFF784C"/>
    <w:rsid w:val="FFFF8C8E"/>
    <w:rsid w:val="FFFFC63C"/>
    <w:rsid w:val="FFFFD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Songti SC"/>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Songti SC"/>
      <w:b/>
      <w:sz w:val="28"/>
    </w:rPr>
  </w:style>
  <w:style w:type="paragraph" w:styleId="6">
    <w:name w:val="heading 5"/>
    <w:basedOn w:val="1"/>
    <w:next w:val="1"/>
    <w:link w:val="20"/>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Songti SC"/>
      <w:b/>
      <w:sz w:val="24"/>
    </w:rPr>
  </w:style>
  <w:style w:type="character" w:default="1" w:styleId="15">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footer"/>
    <w:basedOn w:val="1"/>
    <w:uiPriority w:val="0"/>
    <w:pPr>
      <w:tabs>
        <w:tab w:val="center" w:pos="4153"/>
        <w:tab w:val="right" w:pos="8306"/>
      </w:tabs>
      <w:snapToGrid w:val="0"/>
      <w:jc w:val="left"/>
    </w:pPr>
    <w:rPr>
      <w:rFonts w:ascii="Times New Roman" w:hAnsi="Times New Roman" w:eastAsia="宋体" w:cstheme="minorBidi"/>
      <w:sz w:val="18"/>
      <w:szCs w:val="20"/>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heme="minorBidi"/>
      <w:sz w:val="18"/>
      <w:szCs w:val="20"/>
    </w:rPr>
  </w:style>
  <w:style w:type="paragraph" w:styleId="11">
    <w:name w:val="toc 1"/>
    <w:basedOn w:val="1"/>
    <w:next w:val="1"/>
    <w:uiPriority w:val="0"/>
  </w:style>
  <w:style w:type="paragraph" w:styleId="12">
    <w:name w:val="toc 2"/>
    <w:basedOn w:val="1"/>
    <w:next w:val="1"/>
    <w:uiPriority w:val="0"/>
    <w:pPr>
      <w:ind w:left="420" w:leftChars="200"/>
    </w:p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paragraph" w:customStyle="1" w:styleId="17">
    <w:name w:val="WPSOffice手动目录 1"/>
    <w:uiPriority w:val="0"/>
    <w:pPr>
      <w:ind w:leftChars="0"/>
    </w:pPr>
    <w:rPr>
      <w:rFonts w:ascii="Times New Roman" w:hAnsi="Times New Roman" w:eastAsia="宋体" w:cs="Times New Roman"/>
      <w:sz w:val="20"/>
      <w:szCs w:val="20"/>
    </w:rPr>
  </w:style>
  <w:style w:type="paragraph" w:customStyle="1" w:styleId="18">
    <w:name w:val="WPSOffice手动目录 2"/>
    <w:uiPriority w:val="0"/>
    <w:pPr>
      <w:ind w:leftChars="200"/>
    </w:pPr>
    <w:rPr>
      <w:rFonts w:ascii="Times New Roman" w:hAnsi="Times New Roman" w:eastAsia="宋体" w:cs="Times New Roman"/>
      <w:sz w:val="20"/>
      <w:szCs w:val="20"/>
    </w:rPr>
  </w:style>
  <w:style w:type="paragraph" w:customStyle="1" w:styleId="19">
    <w:name w:val="WPSOffice手动目录 3"/>
    <w:uiPriority w:val="0"/>
    <w:pPr>
      <w:ind w:leftChars="400"/>
    </w:pPr>
    <w:rPr>
      <w:rFonts w:ascii="Times New Roman" w:hAnsi="Times New Roman" w:eastAsia="宋体" w:cs="Times New Roman"/>
      <w:sz w:val="20"/>
      <w:szCs w:val="20"/>
    </w:rPr>
  </w:style>
  <w:style w:type="character" w:customStyle="1" w:styleId="20">
    <w:name w:val="标题 5 Char"/>
    <w:link w:val="6"/>
    <w:uiPriority w:val="0"/>
    <w:rPr>
      <w:b/>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iannil/Library/Containers/com.kingsoft.wpsoffice.mac/Data/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型"/>
      <sectRole val="1"/>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113</Pages>
  <Words>135136</Words>
  <Characters>142478</Characters>
  <Lines>0</Lines>
  <Paragraphs>0</Paragraphs>
  <TotalTime>10</TotalTime>
  <ScaleCrop>false</ScaleCrop>
  <LinksUpToDate>false</LinksUpToDate>
  <CharactersWithSpaces>143463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2025-10-17T05:43:00Z</dcterms:created>
  <dc:creator>冯七</dc:creator>
  <cp:lastModifiedBy>冯七</cp:lastModifiedBy>
  <dcterms:modified xsi:type="dcterms:W3CDTF">2025-10-14T21:07:03Z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D0F4654720ABD7B1B2D7EC687C0BF0DB_43</vt:lpwstr>
  </property>
</Properties>
</file>