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98" w:name="system-requirements-specification"/>
    <w:p>
      <w:pPr>
        <w:pStyle w:val="Heading1"/>
      </w:pPr>
      <w:r>
        <w:t xml:space="preserve">System Requirements Specification</w:t>
      </w:r>
    </w:p>
    <w:bookmarkStart w:id="26" w:name="project-name"/>
    <w:p>
      <w:pPr>
        <w:pStyle w:val="Heading2"/>
      </w:pPr>
      <w:r>
        <w:t xml:space="preserve">STBIO</w:t>
      </w:r>
    </w:p>
    <w:p>
      <w:pPr>
        <w:pStyle w:val="FirstParagraph"/>
      </w:pPr>
      <w:r>
        <w:t xml:space="preserve">Author: Alessandro Lucio IANNUZZI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Date: 2026-10-01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Snapshot ID: snap-b2e8101b00dc6909feaed885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Downstream contract fingerprint: 5424834735474f3f97ba3357e63e8703bd7f341f5995c19ba9e75bcba49d8157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Source specification: C:/Users/iannuzza/LOCAL_PROJ/Github_copilot_proj/STBIO_AI/specs/DDS_STBIO1.pdf</w:t>
      </w:r>
    </w:p>
    <w:p>
      <w:pPr>
        <w:pStyle w:val="BodyText"/>
      </w:pPr>
      <w:r>
        <w:t xml:space="preserve"> </w:t>
      </w:r>
    </w:p>
    <w:bookmarkEnd w:id="26"/>
    <w:bookmarkStart w:id="37" w:name="X00c53f9efd41cb60267e5a6c5d324e4b2a19070"/>
    <w:p>
      <w:r>
        <w:br w:type="page"/>
      </w:r>
    </w:p>
    <w:p>
      <w:pPr>
        <w:pageBreakBefore/>
        <w:pStyle w:val="Heading3"/>
      </w:pPr>
      <w:r>
        <w:t xml:space="preserve">0.1 Table of contents</w:t>
      </w:r>
    </w:p>
    <w:p>
      <w:pPr>
        <w:pStyle w:val="Compact"/>
        <w:numPr>
          <w:ilvl w:val="0"/>
          <w:numId w:val="1001"/>
        </w:numPr>
      </w:pPr>
      <w:hyperlink w:anchor="project-name">
        <w:r>
          <w:rPr>
            <w:rStyle w:val="Hyperlink"/>
          </w:rPr>
          <w:t xml:space="preserve">STBIO</w:t>
        </w:r>
      </w:hyperlink>
    </w:p>
    <w:p>
      <w:pPr>
        <w:pStyle w:val="Heading2"/>
      </w:pPr>
      <w:r>
        <w:t xml:space="preserve">0. Document Navigation</w:t>
      </w:r>
    </w:p>
    <w:p>
      <w:pPr>
        <w:pStyle w:val="Compact"/>
        <w:numPr>
          <w:ilvl w:val="0"/>
          <w:numId w:val="1001"/>
        </w:numPr>
      </w:pPr>
      <w:hyperlink w:anchor="Xe3d0fc0bea9a42ce7605565d0964033d7f6ee47">
        <w:r>
          <w:rPr>
            <w:rStyle w:val="Hyperlink"/>
          </w:rPr>
          <w:t xml:space="preserve">1. Introduction</w:t>
        </w:r>
      </w:hyperlink>
    </w:p>
    <w:p>
      <w:pPr>
        <w:pStyle w:val="Compact"/>
        <w:numPr>
          <w:ilvl w:val="1"/>
          <w:numId w:val="1002"/>
        </w:numPr>
      </w:pPr>
      <w:hyperlink w:anchor="Xe94c4103db6bb764aa3b798144b782dac27f424">
        <w:r>
          <w:rPr>
            <w:rStyle w:val="Hyperlink"/>
          </w:rPr>
          <w:t xml:space="preserve">1.1 Purpose</w:t>
        </w:r>
      </w:hyperlink>
    </w:p>
    <w:p>
      <w:pPr>
        <w:pStyle w:val="Compact"/>
        <w:numPr>
          <w:ilvl w:val="1"/>
          <w:numId w:val="1002"/>
        </w:numPr>
      </w:pPr>
      <w:hyperlink w:anchor="X3378fde8998068a01e48267892e5cd923e9bc15">
        <w:r>
          <w:rPr>
            <w:rStyle w:val="Hyperlink"/>
          </w:rPr>
          <w:t xml:space="preserve">1.2 Scope</w:t>
        </w:r>
      </w:hyperlink>
    </w:p>
    <w:p>
      <w:pPr>
        <w:pStyle w:val="Compact"/>
        <w:numPr>
          <w:ilvl w:val="1"/>
          <w:numId w:val="1002"/>
        </w:numPr>
      </w:pPr>
      <w:hyperlink w:anchor="Xe7c142496eda3f769d9e13f84aad1487c7a2ad9">
        <w:r>
          <w:rPr>
            <w:rStyle w:val="Hyperlink"/>
          </w:rPr>
          <w:t xml:space="preserve">1.3 Intended audience</w:t>
        </w:r>
      </w:hyperlink>
    </w:p>
    <w:p>
      <w:pPr>
        <w:pStyle w:val="Compact"/>
        <w:numPr>
          <w:ilvl w:val="1"/>
          <w:numId w:val="1002"/>
        </w:numPr>
      </w:pPr>
      <w:hyperlink w:anchor="Xf8afe345782cbed00f3c2830abd05d0a5ea4b9a">
        <w:r>
          <w:rPr>
            <w:rStyle w:val="Hyperlink"/>
          </w:rPr>
          <w:t xml:space="preserve">1.4 References</w:t>
        </w:r>
      </w:hyperlink>
    </w:p>
    <w:p>
      <w:pPr>
        <w:pStyle w:val="Compact"/>
        <w:numPr>
          <w:ilvl w:val="0"/>
          <w:numId w:val="1001"/>
        </w:numPr>
      </w:pPr>
      <w:hyperlink w:anchor="X02d8767d2d0a8f1812496a613f2cc9414c1fa47">
        <w:r>
          <w:rPr>
            <w:rStyle w:val="Hyperlink"/>
          </w:rPr>
          <w:t xml:space="preserve">2. Definitions and terminology</w:t>
        </w:r>
      </w:hyperlink>
    </w:p>
    <w:p>
      <w:pPr>
        <w:pStyle w:val="Compact"/>
        <w:numPr>
          <w:ilvl w:val="1"/>
          <w:numId w:val="1003"/>
        </w:numPr>
      </w:pPr>
      <w:hyperlink w:anchor="X9f9050d26163d7fe074f704b1d5f39515cc0cbf">
        <w:r>
          <w:rPr>
            <w:rStyle w:val="Hyperlink"/>
          </w:rPr>
          <w:t xml:space="preserve">2.1 System terminology</w:t>
        </w:r>
      </w:hyperlink>
    </w:p>
    <w:p>
      <w:pPr>
        <w:pStyle w:val="Compact"/>
        <w:numPr>
          <w:ilvl w:val="1"/>
          <w:numId w:val="1003"/>
        </w:numPr>
      </w:pPr>
      <w:hyperlink w:anchor="Xd5aa38ffdd625eb97b6e242c9713138ee77d4a5">
        <w:r>
          <w:rPr>
            <w:rStyle w:val="Hyperlink"/>
          </w:rPr>
          <w:t xml:space="preserve">2.2 Analog terminology</w:t>
        </w:r>
      </w:hyperlink>
    </w:p>
    <w:p>
      <w:pPr>
        <w:pStyle w:val="Compact"/>
        <w:numPr>
          <w:ilvl w:val="1"/>
          <w:numId w:val="1003"/>
        </w:numPr>
      </w:pPr>
      <w:hyperlink w:anchor="X2cb23c4cea17ae2e9e0c2247326d9174acd0bf7">
        <w:r>
          <w:rPr>
            <w:rStyle w:val="Hyperlink"/>
          </w:rPr>
          <w:t xml:space="preserve">2.3 Digital terminology</w:t>
        </w:r>
      </w:hyperlink>
    </w:p>
    <w:p>
      <w:pPr>
        <w:pStyle w:val="Compact"/>
        <w:numPr>
          <w:ilvl w:val="1"/>
          <w:numId w:val="1003"/>
        </w:numPr>
      </w:pPr>
      <w:hyperlink w:anchor="X242fdf45588a5c9713f9111239a249bdccd1652">
        <w:r>
          <w:rPr>
            <w:rStyle w:val="Hyperlink"/>
          </w:rPr>
          <w:t xml:space="preserve">2.4 Measurement and acceptance terms</w:t>
        </w:r>
      </w:hyperlink>
    </w:p>
    <w:p>
      <w:pPr>
        <w:pStyle w:val="Compact"/>
        <w:numPr>
          <w:ilvl w:val="1"/>
          <w:numId w:val="1003"/>
        </w:numPr>
      </w:pPr>
      <w:hyperlink w:anchor="X566ffcc1e03724d2b215f04c914ff0a2091246f">
        <w:r>
          <w:rPr>
            <w:rStyle w:val="Hyperlink"/>
          </w:rPr>
          <w:t xml:space="preserve">2.5 Category Convention</w:t>
        </w:r>
      </w:hyperlink>
    </w:p>
    <w:p>
      <w:pPr>
        <w:pStyle w:val="Compact"/>
        <w:numPr>
          <w:ilvl w:val="2"/>
          <w:numId w:val="1004"/>
        </w:numPr>
      </w:pPr>
      <w:hyperlink w:anchor="X2622009b2d3a2705b18c688a7677d381899d919">
        <w:r>
          <w:rPr>
            <w:rStyle w:val="Hyperlink"/>
          </w:rPr>
          <w:t xml:space="preserve">2.5.1 Comment</w:t>
        </w:r>
      </w:hyperlink>
    </w:p>
    <w:p>
      <w:pPr>
        <w:pStyle w:val="Compact"/>
        <w:numPr>
          <w:ilvl w:val="2"/>
          <w:numId w:val="1004"/>
        </w:numPr>
      </w:pPr>
      <w:hyperlink w:anchor="X6f51734824add37a9c9104c206e8d3ebe4c5e18">
        <w:r>
          <w:rPr>
            <w:rStyle w:val="Hyperlink"/>
          </w:rPr>
          <w:t xml:space="preserve">2.5.2 Definition</w:t>
        </w:r>
      </w:hyperlink>
    </w:p>
    <w:p>
      <w:pPr>
        <w:pStyle w:val="Compact"/>
        <w:numPr>
          <w:ilvl w:val="2"/>
          <w:numId w:val="1004"/>
        </w:numPr>
      </w:pPr>
      <w:hyperlink w:anchor="X01e48034dbfe065857081217c8106280bd2a224">
        <w:r>
          <w:rPr>
            <w:rStyle w:val="Hyperlink"/>
          </w:rPr>
          <w:t xml:space="preserve">2.5.3 Assumption</w:t>
        </w:r>
      </w:hyperlink>
    </w:p>
    <w:p>
      <w:pPr>
        <w:pStyle w:val="Compact"/>
        <w:numPr>
          <w:ilvl w:val="2"/>
          <w:numId w:val="1004"/>
        </w:numPr>
      </w:pPr>
      <w:hyperlink w:anchor="Xd70aba5ce5e5a363a00e248343404a9a7bf4786">
        <w:r>
          <w:rPr>
            <w:rStyle w:val="Hyperlink"/>
          </w:rPr>
          <w:t xml:space="preserve">2.5.4 Requirement</w:t>
        </w:r>
      </w:hyperlink>
    </w:p>
    <w:p>
      <w:pPr>
        <w:pStyle w:val="Compact"/>
        <w:numPr>
          <w:ilvl w:val="0"/>
          <w:numId w:val="1001"/>
        </w:numPr>
      </w:pPr>
      <w:hyperlink w:anchor="X49707537c4e132273137ad708e96f6254bde707">
        <w:r>
          <w:rPr>
            <w:rStyle w:val="Hyperlink"/>
          </w:rPr>
          <w:t xml:space="preserve">3. System Overview</w:t>
        </w:r>
      </w:hyperlink>
    </w:p>
    <w:p>
      <w:pPr>
        <w:pStyle w:val="Compact"/>
        <w:numPr>
          <w:ilvl w:val="1"/>
          <w:numId w:val="1005"/>
        </w:numPr>
      </w:pPr>
      <w:hyperlink w:anchor="X29eecde5980e859b338041ae97b615331adbec7">
        <w:r>
          <w:rPr>
            <w:rStyle w:val="Hyperlink"/>
          </w:rPr>
          <w:t xml:space="preserve">3.1 General System Description</w:t>
        </w:r>
      </w:hyperlink>
    </w:p>
    <w:p>
      <w:pPr>
        <w:pStyle w:val="Compact"/>
        <w:numPr>
          <w:ilvl w:val="1"/>
          <w:numId w:val="1005"/>
        </w:numPr>
      </w:pPr>
      <w:hyperlink w:anchor="X07d8e2853715070d69f307364bc097e5ffc9284">
        <w:r>
          <w:rPr>
            <w:rStyle w:val="Hyperlink"/>
          </w:rPr>
          <w:t xml:space="preserve">3.2 Main System Capabilities</w:t>
        </w:r>
      </w:hyperlink>
    </w:p>
    <w:p>
      <w:pPr>
        <w:pStyle w:val="Compact"/>
        <w:numPr>
          <w:ilvl w:val="1"/>
          <w:numId w:val="1005"/>
        </w:numPr>
      </w:pPr>
      <w:hyperlink w:anchor="X1d8b58cbab896d5f8be67d9c03e28c9822704aa">
        <w:r>
          <w:rPr>
            <w:rStyle w:val="Hyperlink"/>
          </w:rPr>
          <w:t xml:space="preserve">3.3 Main Architectural Domains and Subsystems</w:t>
        </w:r>
      </w:hyperlink>
    </w:p>
    <w:p>
      <w:pPr>
        <w:pStyle w:val="Compact"/>
        <w:numPr>
          <w:ilvl w:val="1"/>
          <w:numId w:val="1005"/>
        </w:numPr>
      </w:pPr>
      <w:hyperlink w:anchor="X5ad24bd5559238dc31711e23668a9d985968c52">
        <w:r>
          <w:rPr>
            <w:rStyle w:val="Hyperlink"/>
          </w:rPr>
          <w:t xml:space="preserve">3.4 External Interfaces and System Boundaries</w:t>
        </w:r>
      </w:hyperlink>
    </w:p>
    <w:p>
      <w:pPr>
        <w:pStyle w:val="Compact"/>
        <w:numPr>
          <w:ilvl w:val="1"/>
          <w:numId w:val="1005"/>
        </w:numPr>
      </w:pPr>
      <w:hyperlink w:anchor="Xa3833266e0b670110650620cc6abdfc0d8f81a3">
        <w:r>
          <w:rPr>
            <w:rStyle w:val="Hyperlink"/>
          </w:rPr>
          <w:t xml:space="preserve">3.5 Operating Concept</w:t>
        </w:r>
      </w:hyperlink>
    </w:p>
    <w:p>
      <w:pPr>
        <w:pStyle w:val="Compact"/>
        <w:numPr>
          <w:ilvl w:val="1"/>
          <w:numId w:val="1005"/>
        </w:numPr>
      </w:pPr>
      <w:hyperlink w:anchor="X119c2f7904b5ebe2b47bcc523b1d15a5eef003d">
        <w:r>
          <w:rPr>
            <w:rStyle w:val="Hyperlink"/>
          </w:rPr>
          <w:t xml:space="preserve">3.6 Power, Clock, and Reset Overview</w:t>
        </w:r>
      </w:hyperlink>
    </w:p>
    <w:p>
      <w:pPr>
        <w:pStyle w:val="Compact"/>
        <w:numPr>
          <w:ilvl w:val="1"/>
          <w:numId w:val="1005"/>
        </w:numPr>
      </w:pPr>
      <w:hyperlink w:anchor="X37b929969602da6cf09dc30e0d455681485ba19">
        <w:r>
          <w:rPr>
            <w:rStyle w:val="Hyperlink"/>
          </w:rPr>
          <w:t xml:space="preserve">3.7 Assumptions, Scope Limits, and Allocation Boundaries</w:t>
        </w:r>
      </w:hyperlink>
    </w:p>
    <w:p>
      <w:pPr>
        <w:pStyle w:val="Compact"/>
        <w:numPr>
          <w:ilvl w:val="0"/>
          <w:numId w:val="1001"/>
        </w:numPr>
      </w:pPr>
      <w:hyperlink w:anchor="X8395ed67821c7bebe2b0b7ee4eaa1608fd81ca2">
        <w:r>
          <w:rPr>
            <w:rStyle w:val="Hyperlink"/>
          </w:rPr>
          <w:t xml:space="preserve">4. Analog sub-system</w:t>
        </w:r>
      </w:hyperlink>
    </w:p>
    <w:p>
      <w:pPr>
        <w:pStyle w:val="Compact"/>
        <w:numPr>
          <w:ilvl w:val="1"/>
          <w:numId w:val="1006"/>
        </w:numPr>
      </w:pPr>
      <w:hyperlink w:anchor="X73838ebe4a6fc85f137f6c8bb8c37b9332570dc">
        <w:r>
          <w:rPr>
            <w:rStyle w:val="Hyperlink"/>
          </w:rPr>
          <w:t xml:space="preserve">4.1 Analog block list</w:t>
        </w:r>
      </w:hyperlink>
    </w:p>
    <w:p>
      <w:pPr>
        <w:pStyle w:val="Compact"/>
        <w:numPr>
          <w:ilvl w:val="1"/>
          <w:numId w:val="1006"/>
        </w:numPr>
      </w:pPr>
      <w:hyperlink w:anchor="Xf5c1c06e36c87015dda878782931870eb54048b">
        <w:r>
          <w:rPr>
            <w:rStyle w:val="Hyperlink"/>
          </w:rPr>
          <w:t xml:space="preserve">4.2 Analog I/O characteristics</w:t>
        </w:r>
      </w:hyperlink>
    </w:p>
    <w:p>
      <w:pPr>
        <w:pStyle w:val="Compact"/>
        <w:numPr>
          <w:ilvl w:val="1"/>
          <w:numId w:val="1006"/>
        </w:numPr>
      </w:pPr>
      <w:hyperlink w:anchor="X1bb181e9ad1d87dc68e0a8e55f859ee793a0ed2">
        <w:r>
          <w:rPr>
            <w:rStyle w:val="Hyperlink"/>
          </w:rPr>
          <w:t xml:space="preserve">4.3 Sampling and conversion</w:t>
        </w:r>
      </w:hyperlink>
    </w:p>
    <w:p>
      <w:pPr>
        <w:pStyle w:val="Compact"/>
        <w:numPr>
          <w:ilvl w:val="1"/>
          <w:numId w:val="1006"/>
        </w:numPr>
      </w:pPr>
      <w:hyperlink w:anchor="X0118a4df21ba5575661ffa2467351b029c3a46f">
        <w:r>
          <w:rPr>
            <w:rStyle w:val="Hyperlink"/>
          </w:rPr>
          <w:t xml:space="preserve">4.4 Analog operating modes</w:t>
        </w:r>
      </w:hyperlink>
    </w:p>
    <w:p>
      <w:pPr>
        <w:pStyle w:val="Compact"/>
        <w:numPr>
          <w:ilvl w:val="1"/>
          <w:numId w:val="1006"/>
        </w:numPr>
      </w:pPr>
      <w:hyperlink w:anchor="Xa09b061da36db1f6d09042861c775eb39263d84">
        <w:r>
          <w:rPr>
            <w:rStyle w:val="Hyperlink"/>
          </w:rPr>
          <w:t xml:space="preserve">4.5 Analog calibration</w:t>
        </w:r>
      </w:hyperlink>
    </w:p>
    <w:p>
      <w:pPr>
        <w:pStyle w:val="Compact"/>
        <w:numPr>
          <w:ilvl w:val="1"/>
          <w:numId w:val="1006"/>
        </w:numPr>
      </w:pPr>
      <w:hyperlink w:anchor="X1211f8bc22d57a5db806da7975300663fa81253">
        <w:r>
          <w:rPr>
            <w:rStyle w:val="Hyperlink"/>
          </w:rPr>
          <w:t xml:space="preserve">4.6 Analog performance</w:t>
        </w:r>
      </w:hyperlink>
    </w:p>
    <w:p>
      <w:pPr>
        <w:pStyle w:val="Compact"/>
        <w:numPr>
          <w:ilvl w:val="0"/>
          <w:numId w:val="1001"/>
        </w:numPr>
      </w:pPr>
      <w:hyperlink w:anchor="Xb6c1ac142174550af2344fc16bfd516a9e821ac">
        <w:r>
          <w:rPr>
            <w:rStyle w:val="Hyperlink"/>
          </w:rPr>
          <w:t xml:space="preserve">5. Digital sub-system</w:t>
        </w:r>
      </w:hyperlink>
    </w:p>
    <w:p>
      <w:pPr>
        <w:pStyle w:val="Compact"/>
        <w:numPr>
          <w:ilvl w:val="1"/>
          <w:numId w:val="1007"/>
        </w:numPr>
      </w:pPr>
      <w:hyperlink w:anchor="Xf25e1d4f064c12555e91d08116672feea4ccfae">
        <w:r>
          <w:rPr>
            <w:rStyle w:val="Hyperlink"/>
          </w:rPr>
          <w:t xml:space="preserve">5.1 Digital block list</w:t>
        </w:r>
      </w:hyperlink>
    </w:p>
    <w:p>
      <w:pPr>
        <w:pStyle w:val="Compact"/>
        <w:numPr>
          <w:ilvl w:val="1"/>
          <w:numId w:val="1007"/>
        </w:numPr>
      </w:pPr>
      <w:hyperlink w:anchor="X014e5aa4739f39447602997116559e2440315d9">
        <w:r>
          <w:rPr>
            <w:rStyle w:val="Hyperlink"/>
          </w:rPr>
          <w:t xml:space="preserve">5.2 Control and register requirements</w:t>
        </w:r>
      </w:hyperlink>
    </w:p>
    <w:p>
      <w:pPr>
        <w:pStyle w:val="Compact"/>
        <w:numPr>
          <w:ilvl w:val="1"/>
          <w:numId w:val="1007"/>
        </w:numPr>
      </w:pPr>
      <w:hyperlink w:anchor="Xa28c56602fe1f96897579c93a08c178a142e8a6">
        <w:r>
          <w:rPr>
            <w:rStyle w:val="Hyperlink"/>
          </w:rPr>
          <w:t xml:space="preserve">5.3 Mode control requirements</w:t>
        </w:r>
      </w:hyperlink>
    </w:p>
    <w:p>
      <w:pPr>
        <w:pStyle w:val="Compact"/>
        <w:numPr>
          <w:ilvl w:val="1"/>
          <w:numId w:val="1007"/>
        </w:numPr>
      </w:pPr>
      <w:hyperlink w:anchor="X1e53789fa1fba9bcb7c1b67d4bf7f0de8bb9cca">
        <w:r>
          <w:rPr>
            <w:rStyle w:val="Hyperlink"/>
          </w:rPr>
          <w:t xml:space="preserve">5.4 Communication requirements</w:t>
        </w:r>
      </w:hyperlink>
    </w:p>
    <w:p>
      <w:pPr>
        <w:pStyle w:val="Compact"/>
        <w:numPr>
          <w:ilvl w:val="1"/>
          <w:numId w:val="1007"/>
        </w:numPr>
      </w:pPr>
      <w:hyperlink w:anchor="X491be3e3dce6e13eab699f5276c5fd87686a9af">
        <w:r>
          <w:rPr>
            <w:rStyle w:val="Hyperlink"/>
          </w:rPr>
          <w:t xml:space="preserve">5.5 Digital timing requirements</w:t>
        </w:r>
      </w:hyperlink>
    </w:p>
    <w:p>
      <w:pPr>
        <w:pStyle w:val="Compact"/>
        <w:numPr>
          <w:ilvl w:val="1"/>
          <w:numId w:val="1007"/>
        </w:numPr>
      </w:pPr>
      <w:hyperlink w:anchor="X225beec5a4318570282fc9149cfae896bfeb86c">
        <w:r>
          <w:rPr>
            <w:rStyle w:val="Hyperlink"/>
          </w:rPr>
          <w:t xml:space="preserve">5.6 Digital data-path requirements</w:t>
        </w:r>
      </w:hyperlink>
    </w:p>
    <w:p>
      <w:pPr>
        <w:pStyle w:val="Compact"/>
        <w:numPr>
          <w:ilvl w:val="0"/>
          <w:numId w:val="1001"/>
        </w:numPr>
      </w:pPr>
      <w:hyperlink w:anchor="X29df95fc7ea948404e598318ae8b4955fac17d0">
        <w:r>
          <w:rPr>
            <w:rStyle w:val="Hyperlink"/>
          </w:rPr>
          <w:t xml:space="preserve">6. Cross-domain mixed-signal requirements</w:t>
        </w:r>
      </w:hyperlink>
    </w:p>
    <w:p>
      <w:pPr>
        <w:pStyle w:val="Compact"/>
        <w:numPr>
          <w:ilvl w:val="1"/>
          <w:numId w:val="1008"/>
        </w:numPr>
      </w:pPr>
      <w:hyperlink w:anchor="Xe459d83b2ce9a294c7639c03dfcc0998267db90">
        <w:r>
          <w:rPr>
            <w:rStyle w:val="Hyperlink"/>
          </w:rPr>
          <w:t xml:space="preserve">6.1 Analog-digital interactions</w:t>
        </w:r>
      </w:hyperlink>
    </w:p>
    <w:p>
      <w:pPr>
        <w:pStyle w:val="Compact"/>
        <w:numPr>
          <w:ilvl w:val="1"/>
          <w:numId w:val="1008"/>
        </w:numPr>
      </w:pPr>
      <w:hyperlink w:anchor="X1b4cdcca82f663d8a156fd5f1b60e01db8191b7">
        <w:r>
          <w:rPr>
            <w:rStyle w:val="Hyperlink"/>
          </w:rPr>
          <w:t xml:space="preserve">6.2 Transition behavior across domains</w:t>
        </w:r>
      </w:hyperlink>
    </w:p>
    <w:p>
      <w:pPr>
        <w:pStyle w:val="Compact"/>
        <w:numPr>
          <w:ilvl w:val="1"/>
          <w:numId w:val="1008"/>
        </w:numPr>
      </w:pPr>
      <w:hyperlink w:anchor="X080361323efe0ba74900c9dfded29edf33eee44">
        <w:r>
          <w:rPr>
            <w:rStyle w:val="Hyperlink"/>
          </w:rPr>
          <w:t xml:space="preserve">6.3 Clock and synchronization across domains</w:t>
        </w:r>
      </w:hyperlink>
    </w:p>
    <w:p>
      <w:pPr>
        <w:pStyle w:val="Compact"/>
        <w:numPr>
          <w:ilvl w:val="1"/>
          <w:numId w:val="1008"/>
        </w:numPr>
      </w:pPr>
      <w:hyperlink w:anchor="Xd0eced42da074bdf78d78697172b8b851ea15e8">
        <w:r>
          <w:rPr>
            <w:rStyle w:val="Hyperlink"/>
          </w:rPr>
          <w:t xml:space="preserve">6.4 Power sequencing across domains</w:t>
        </w:r>
      </w:hyperlink>
    </w:p>
    <w:p>
      <w:pPr>
        <w:pStyle w:val="Compact"/>
        <w:numPr>
          <w:ilvl w:val="0"/>
          <w:numId w:val="1001"/>
        </w:numPr>
      </w:pPr>
      <w:hyperlink w:anchor="Xfcb5a233f46d377bf40f8267b7211ce22963393">
        <w:r>
          <w:rPr>
            <w:rStyle w:val="Hyperlink"/>
          </w:rPr>
          <w:t xml:space="preserve">7. Validation and qualification requirements</w:t>
        </w:r>
      </w:hyperlink>
    </w:p>
    <w:p>
      <w:pPr>
        <w:pStyle w:val="Compact"/>
        <w:numPr>
          <w:ilvl w:val="1"/>
          <w:numId w:val="1009"/>
        </w:numPr>
      </w:pPr>
      <w:hyperlink w:anchor="X6737a857bd71c3e3782196643a8022817e406b6">
        <w:r>
          <w:rPr>
            <w:rStyle w:val="Hyperlink"/>
          </w:rPr>
          <w:t xml:space="preserve">7.1 Verification scope</w:t>
        </w:r>
      </w:hyperlink>
    </w:p>
    <w:p>
      <w:pPr>
        <w:pStyle w:val="Compact"/>
        <w:numPr>
          <w:ilvl w:val="1"/>
          <w:numId w:val="1009"/>
        </w:numPr>
      </w:pPr>
      <w:hyperlink w:anchor="X05f65aefc1b146a6d6c60ecb809cbbd8ee320d2">
        <w:r>
          <w:rPr>
            <w:rStyle w:val="Hyperlink"/>
          </w:rPr>
          <w:t xml:space="preserve">7.2 Pass/fail criteria</w:t>
        </w:r>
      </w:hyperlink>
    </w:p>
    <w:p>
      <w:pPr>
        <w:pStyle w:val="Compact"/>
        <w:numPr>
          <w:ilvl w:val="1"/>
          <w:numId w:val="1009"/>
        </w:numPr>
      </w:pPr>
      <w:hyperlink w:anchor="Xf081b34bc11b809f2bb9a77216a2a0a9edb90ef">
        <w:r>
          <w:rPr>
            <w:rStyle w:val="Hyperlink"/>
          </w:rPr>
          <w:t xml:space="preserve">7.3 GR&amp;R and guard band</w:t>
        </w:r>
      </w:hyperlink>
    </w:p>
    <w:p>
      <w:pPr>
        <w:pStyle w:val="Compact"/>
        <w:numPr>
          <w:ilvl w:val="1"/>
          <w:numId w:val="1009"/>
        </w:numPr>
      </w:pPr>
      <w:hyperlink w:anchor="Xab2fc87e1587b1cd261eb749144d26314aff16e">
        <w:r>
          <w:rPr>
            <w:rStyle w:val="Hyperlink"/>
          </w:rPr>
          <w:t xml:space="preserve">7.4 Validation configurations</w:t>
        </w:r>
      </w:hyperlink>
    </w:p>
    <w:p>
      <w:pPr>
        <w:pStyle w:val="Compact"/>
        <w:numPr>
          <w:ilvl w:val="0"/>
          <w:numId w:val="1001"/>
        </w:numPr>
      </w:pPr>
      <w:hyperlink w:anchor="X7b13338c6dc942e6a2b82be5d1f770c6adf5773">
        <w:r>
          <w:rPr>
            <w:rStyle w:val="Hyperlink"/>
          </w:rPr>
          <w:t xml:space="preserve">8. Requirement identification and traceability</w:t>
        </w:r>
      </w:hyperlink>
    </w:p>
    <w:p>
      <w:pPr>
        <w:pStyle w:val="Compact"/>
        <w:numPr>
          <w:ilvl w:val="1"/>
          <w:numId w:val="1010"/>
        </w:numPr>
      </w:pPr>
      <w:hyperlink w:anchor="X42945a640b2183082c467c26e7678f2d3a991bb">
        <w:r>
          <w:rPr>
            <w:rStyle w:val="Hyperlink"/>
          </w:rPr>
          <w:t xml:space="preserve">8.1 Numbering convention</w:t>
        </w:r>
      </w:hyperlink>
    </w:p>
    <w:p>
      <w:pPr>
        <w:pStyle w:val="Compact"/>
        <w:numPr>
          <w:ilvl w:val="1"/>
          <w:numId w:val="1010"/>
        </w:numPr>
      </w:pPr>
      <w:hyperlink w:anchor="X5e8a2a3c9f4f52b239608cd6e578c50dcf884e7">
        <w:r>
          <w:rPr>
            <w:rStyle w:val="Hyperlink"/>
          </w:rPr>
          <w:t xml:space="preserve">8.2 Traceability contract</w:t>
        </w:r>
      </w:hyperlink>
    </w:p>
    <w:p>
      <w:pPr>
        <w:pStyle w:val="Compact"/>
        <w:numPr>
          <w:ilvl w:val="1"/>
          <w:numId w:val="1010"/>
        </w:numPr>
      </w:pPr>
      <w:hyperlink w:anchor="X1587c79b7859e303ab432676b542ed18dc7703b">
        <w:r>
          <w:rPr>
            <w:rStyle w:val="Hyperlink"/>
          </w:rPr>
          <w:t xml:space="preserve">8.3 Residual requirement catalog by domain</w:t>
        </w:r>
      </w:hyperlink>
    </w:p>
    <w:p>
      <w:pPr>
        <w:pStyle w:val="Compact"/>
        <w:numPr>
          <w:ilvl w:val="0"/>
          <w:numId w:val="1001"/>
        </w:numPr>
      </w:pPr>
      <w:hyperlink w:anchor="X837f52c6a39e324046d3f79cf33176ee8f016ef">
        <w:r>
          <w:rPr>
            <w:rStyle w:val="Hyperlink"/>
          </w:rPr>
          <w:t xml:space="preserve">9. Project-specific block sections</w:t>
        </w:r>
      </w:hyperlink>
    </w:p>
    <w:p>
      <w:pPr>
        <w:pStyle w:val="Compact"/>
        <w:numPr>
          <w:ilvl w:val="0"/>
          <w:numId w:val="1001"/>
        </w:numPr>
      </w:pPr>
      <w:hyperlink w:anchor="X795f7dcc139c07128ade036cddb2c6e557b47f2">
        <w:r>
          <w:rPr>
            <w:rStyle w:val="Hyperlink"/>
          </w:rPr>
          <w:t xml:space="preserve">10. Missing Inputs</w:t>
        </w:r>
      </w:hyperlink>
    </w:p>
    <w:p>
      <w:pPr>
        <w:pStyle w:val="Compact"/>
        <w:numPr>
          <w:ilvl w:val="0"/>
          <w:numId w:val="1001"/>
        </w:numPr>
      </w:pPr>
      <w:hyperlink w:anchor="assumptions-and-tbd">
        <w:r>
          <w:rPr>
            <w:rStyle w:val="Hyperlink"/>
          </w:rPr>
          <w:t xml:space="preserve">Assumptions and TBD</w:t>
        </w:r>
      </w:hyperlink>
    </w:p>
    <w:bookmarkEnd w:id="27"/>
    <w:bookmarkStart w:id="31" w:name="Xada9acd495d2004f5a24849c1630945d91598e3"/>
    <w:p>
      <w:pPr>
        <w:pStyle w:val="Heading3"/>
      </w:pPr>
      <w:r>
        <w:t xml:space="preserve">0.2 Internal index for paragraphs and pages</w:t>
      </w:r>
    </w:p>
    <w:bookmarkStart w:id="28" w:name="table-3-section-navigation-index"/>
    <w:p>
      <w:pPr>
        <w:pStyle w:val="Heading4"/>
      </w:pPr>
      <w:r>
        <w:t xml:space="preserve">Table 3. Section navigation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Paragraph anchor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  <w:tc>
          <w:tcPr/>
          <w:p>
            <w:pPr>
              <w:pStyle w:val="Compact"/>
            </w:pPr>
            <w:r>
              <w:t xml:space="preserve">Page (rendered 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 Document Navigation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hyperlink w:anchor="X00c53f9efd41cb60267e5a6c5d324e4b2a19070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Introduction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w:anchor="Xe3d0fc0bea9a42ce7605565d0964033d7f6ee47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 Purpose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hyperlink w:anchor="Xe94c4103db6bb764aa3b798144b782dac27f424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 Scope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hyperlink w:anchor="X3378fde8998068a01e48267892e5cd923e9bc15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 Intended audience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hyperlink w:anchor="Xe7c142496eda3f769d9e13f84aad1487c7a2ad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 References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hyperlink w:anchor="Xf8afe345782cbed00f3c2830abd05d0a5ea4b9a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Definitions and terminology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w:anchor="X02d8767d2d0a8f1812496a613f2cc9414c1fa47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 System terminology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hyperlink w:anchor="X9f9050d26163d7fe074f704b1d5f39515cc0cbf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 Analog terminology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hyperlink w:anchor="Xd5aa38ffdd625eb97b6e242c9713138ee77d4a5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 Digital terminology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hyperlink w:anchor="X2cb23c4cea17ae2e9e0c2247326d9174acd0bf7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 Measurement and acceptance terms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hyperlink w:anchor="X242fdf45588a5c9713f9111239a249bdccd1652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 Category Convention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hyperlink w:anchor="X566ffcc1e03724d2b215f04c914ff0a2091246f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 Comment</w:t>
            </w:r>
          </w:p>
        </w:tc>
        <w:tc>
          <w:tcPr/>
          <w:p>
            <w:pPr>
              <w:pStyle w:val="Compact"/>
            </w:pPr>
            <w:r>
              <w:t xml:space="preserve">2.5.1</w:t>
            </w:r>
          </w:p>
        </w:tc>
        <w:tc>
          <w:tcPr/>
          <w:p>
            <w:pPr>
              <w:pStyle w:val="Compact"/>
            </w:pPr>
            <w:hyperlink w:anchor="X2622009b2d3a2705b18c688a7677d381899d91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2.5.2 Definition</w:t>
            </w:r>
          </w:p>
        </w:tc>
        <w:tc>
          <w:tcPr/>
          <w:p>
            <w:pPr>
              <w:pStyle w:val="Compact"/>
            </w:pPr>
            <w:r>
              <w:t xml:space="preserve">2.5.2</w:t>
            </w:r>
          </w:p>
        </w:tc>
        <w:tc>
          <w:tcPr/>
          <w:p>
            <w:pPr>
              <w:pStyle w:val="Compact"/>
            </w:pPr>
            <w:hyperlink w:anchor="X6f51734824add37a9c9104c206e8d3ebe4c5e18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 Assumption</w:t>
            </w:r>
          </w:p>
        </w:tc>
        <w:tc>
          <w:tcPr/>
          <w:p>
            <w:pPr>
              <w:pStyle w:val="Compact"/>
            </w:pPr>
            <w:r>
              <w:t xml:space="preserve">2.5.3</w:t>
            </w:r>
          </w:p>
        </w:tc>
        <w:tc>
          <w:tcPr/>
          <w:p>
            <w:pPr>
              <w:pStyle w:val="Compact"/>
            </w:pPr>
            <w:hyperlink w:anchor="X01e48034dbfe065857081217c8106280bd2a224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 Requirement</w:t>
            </w:r>
          </w:p>
        </w:tc>
        <w:tc>
          <w:tcPr/>
          <w:p>
            <w:pPr>
              <w:pStyle w:val="Compact"/>
            </w:pPr>
            <w:r>
              <w:t xml:space="preserve">2.5.4</w:t>
            </w:r>
          </w:p>
        </w:tc>
        <w:tc>
          <w:tcPr/>
          <w:p>
            <w:pPr>
              <w:pStyle w:val="Compact"/>
            </w:pPr>
            <w:hyperlink w:anchor="Xd70aba5ce5e5a363a00e248343404a9a7bf4786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System Overview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w:anchor="X49707537c4e132273137ad708e96f6254bde707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 General System Description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hyperlink w:anchor="X29eecde5980e859b338041ae97b615331adbec7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 Main System Capabilities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hyperlink w:anchor="X07d8e2853715070d69f307364bc097e5ffc9284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 Main Architectural Domains and Subsystems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hyperlink w:anchor="X1d8b58cbab896d5f8be67d9c03e28c9822704aa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 External Interfaces and System Boundaries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hyperlink w:anchor="X5ad24bd5559238dc31711e23668a9d985968c52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Operating Concept</w:t>
            </w:r>
          </w:p>
        </w:tc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hyperlink w:anchor="Xa3833266e0b670110650620cc6abdfc0d8f81a3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 Power, Clock, and Reset Overview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hyperlink w:anchor="X119c2f7904b5ebe2b47bcc523b1d15a5eef003d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3.7 Assumptions, Scope Limits, and Allocation Boundaries</w:t>
            </w:r>
          </w:p>
        </w:tc>
        <w:tc>
          <w:tcPr/>
          <w:p>
            <w:pPr>
              <w:pStyle w:val="Compac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  <w:hyperlink w:anchor="X37b929969602da6cf09dc30e0d455681485ba1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Analog sub-system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w:anchor="X8395ed67821c7bebe2b0b7ee4eaa1608fd81ca2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 Analog block list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hyperlink w:anchor="X73838ebe4a6fc85f137f6c8bb8c37b9332570dc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 Analog I/O characteristics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hyperlink w:anchor="Xf5c1c06e36c87015dda878782931870eb54048b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 Sampling and conversion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hyperlink w:anchor="X1bb181e9ad1d87dc68e0a8e55f859ee793a0ed2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4.4 Analog operating modes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hyperlink w:anchor="X0118a4df21ba5575661ffa2467351b029c3a46f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 Analog calibration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hyperlink w:anchor="Xa09b061da36db1f6d09042861c775eb39263d84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4.6 Analog performance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hyperlink w:anchor="X1211f8bc22d57a5db806da7975300663fa81253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Digital sub-system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w:anchor="Xb6c1ac142174550af2344fc16bfd516a9e821ac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 Digital block list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hyperlink w:anchor="Xf25e1d4f064c12555e91d08116672feea4ccfae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 Control and register requirements</w:t>
            </w:r>
          </w:p>
        </w:tc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hyperlink w:anchor="X014e5aa4739f39447602997116559e2440315d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 Mode control requirements</w:t>
            </w:r>
          </w:p>
        </w:tc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hyperlink w:anchor="Xa28c56602fe1f96897579c93a08c178a142e8a6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 Communication requirements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hyperlink w:anchor="X1e53789fa1fba9bcb7c1b67d4bf7f0de8bb9cca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 Digital timing requirements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hyperlink w:anchor="X491be3e3dce6e13eab699f5276c5fd87686a9af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5.6 Digital data-path requirements</w:t>
            </w:r>
          </w:p>
        </w:tc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hyperlink w:anchor="X225beec5a4318570282fc9149cfae896bfeb86c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Cross-domain mixed-signal requirements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w:anchor="X29df95fc7ea948404e598318ae8b4955fac17d0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 Analog-digital interactions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hyperlink w:anchor="Xe459d83b2ce9a294c7639c03dfcc0998267db90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 Transition behavior across domains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hyperlink w:anchor="X1b4cdcca82f663d8a156fd5f1b60e01db8191b7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6.3 Clock and synchronization across domains</w:t>
            </w:r>
          </w:p>
        </w:tc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hyperlink w:anchor="X080361323efe0ba74900c9dfded29edf33eee44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 Power sequencing across domains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hyperlink w:anchor="Xd0eced42da074bdf78d78697172b8b851ea15e8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Validation and qualification requirements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w:anchor="Xfcb5a233f46d377bf40f8267b7211ce22963393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 Verification scope</w:t>
            </w:r>
          </w:p>
        </w:tc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hyperlink w:anchor="X6737a857bd71c3e3782196643a8022817e406b6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 Pass/fail criteria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hyperlink w:anchor="X05f65aefc1b146a6d6c60ecb809cbbd8ee320d2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7.3 GR&amp;R and guard band</w:t>
            </w:r>
          </w:p>
        </w:tc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hyperlink w:anchor="Xf081b34bc11b809f2bb9a77216a2a0a9edb90ef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7.4 Validation configurations</w:t>
            </w:r>
          </w:p>
        </w:tc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hyperlink w:anchor="Xab2fc87e1587b1cd261eb749144d26314aff16e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Requirement identification and traceability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w:anchor="X7b13338c6dc942e6a2b82be5d1f770c6adf5773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8.1 Numbering convention</w:t>
            </w:r>
          </w:p>
        </w:tc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hyperlink w:anchor="X42945a640b2183082c467c26e7678f2d3a991bb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8.2 Traceability contract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hyperlink w:anchor="X5e8a2a3c9f4f52b239608cd6e578c50dcf884e7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 Residual requirement catalog by domain</w:t>
            </w:r>
          </w:p>
        </w:tc>
        <w:tc>
          <w:tcPr/>
          <w:p>
            <w:pPr>
              <w:pStyle w:val="Compact"/>
            </w:pPr>
            <w:r>
              <w:t xml:space="preserve">8.3</w:t>
            </w:r>
          </w:p>
        </w:tc>
        <w:tc>
          <w:tcPr/>
          <w:p>
            <w:pPr>
              <w:pStyle w:val="Compact"/>
            </w:pPr>
            <w:hyperlink w:anchor="X1587c79b7859e303ab432676b542ed18dc7703b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 Project-specific block sections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w:anchor="X837f52c6a39e324046d3f79cf33176ee8f016ef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 Missing Inputs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w:anchor="X795f7dcc139c07128ade036cddb2c6e557b47f2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</w:tbl>
    <w:p>
      <w:pPr>
        <w:pStyle w:val="BodyText"/>
      </w:pPr>
      <w:r>
        <w:t xml:space="preserve"> </w:t>
      </w:r>
    </w:p>
    <w:bookmarkEnd w:id="28"/>
    <w:bookmarkStart w:id="29" w:name="table-4-block-navigation-index"/>
    <w:p>
      <w:pPr>
        <w:pStyle w:val="Heading4"/>
      </w:pPr>
      <w:r>
        <w:t xml:space="preserve">Table 4. Block navigation index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Paragraph anchor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  <w:tc>
          <w:tcPr/>
          <w:p>
            <w:pPr>
              <w:pStyle w:val="Compact"/>
            </w:pPr>
            <w:r>
              <w:t xml:space="preserve">Requirement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 </w:t>
      </w:r>
    </w:p>
    <w:bookmarkEnd w:id="29"/>
    <w:bookmarkStart w:id="30" w:name="X0a62bb47d824029cf147fe503c789403568bd77"/>
    <w:p>
      <w:pPr>
        <w:pStyle w:val="Heading4"/>
      </w:pPr>
      <w:r>
        <w:t xml:space="preserve">Table 5. Requirement paragraph index by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</w:pPr>
            <w:r>
              <w:t xml:space="preserve">Paragraph anchor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  <w:tc>
          <w:tcPr/>
          <w:p>
            <w:pPr>
              <w:pStyle w:val="Compact"/>
            </w:pPr>
            <w:r>
              <w:t xml:space="preserve">Page (rendered 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 </w:t>
      </w:r>
    </w:p>
    <w:bookmarkEnd w:id="30"/>
    <w:bookmarkEnd w:id="31"/>
    <w:bookmarkStart w:id="35" w:name="Xd8a09cc9971e9ce702acf0e58b3b979fc673068"/>
    <w:p>
      <w:pPr>
        <w:pStyle w:val="Heading3"/>
      </w:pPr>
      <w:r>
        <w:t xml:space="preserve">0.3 Document control</w:t>
      </w:r>
    </w:p>
    <w:bookmarkStart w:id="32" w:name="table-1-version-history"/>
    <w:p>
      <w:pPr>
        <w:pStyle w:val="Heading4"/>
      </w:pPr>
      <w: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SRS baseline generated from Stage 1 and Stage 2 artifacts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p>
      <w:pPr>
        <w:pStyle w:val="BodyText"/>
      </w:pPr>
      <w:r>
        <w:t xml:space="preserve"> </w:t>
      </w:r>
    </w:p>
    <w:bookmarkEnd w:id="32"/>
    <w:bookmarkStart w:id="33" w:name="table-2-reference-documents"/>
    <w:p>
      <w:pPr>
        <w:pStyle w:val="Heading4"/>
      </w:pPr>
      <w:r>
        <w:t xml:space="preserve">Table 2. Reference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 name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artifacts/stage1_requirements/requirements_summary.csv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Requirements Extraction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artifacts/stage2_mirco_arc/micro_architecture_report.md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Micro-Architectural Analysis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artifacts/stage2_mirco_arc/requirement_to_block_traceability.csv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Micro-Architectural Analysis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artifacts/stage2_mirco_arc/block_inventory.csv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Micro-Architectural Analysis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artifacts/stage2_mirco_arc/interface_catalog.csv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Micro-Architectural Analysis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artifacts/stage2_mirco_arc/interaction_matrix.csv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Micro-Architectural Analysis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templates/SRS_gen_AI_template_prompt.md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Project template maintainers</w:t>
            </w:r>
          </w:p>
        </w:tc>
      </w:tr>
    </w:tbl>
    <w:p>
      <w:pPr>
        <w:pStyle w:val="BodyText"/>
      </w:pPr>
      <w:r>
        <w:t xml:space="preserve"> </w:t>
      </w:r>
    </w:p>
    <w:bookmarkEnd w:id="33"/>
    <w:bookmarkStart w:id="34" w:name="table-6-category-convention"/>
    <w:p>
      <w:pPr>
        <w:pStyle w:val="Heading4"/>
      </w:pPr>
      <w:r>
        <w:t xml:space="preserve">Table 6. Category convention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Naming rule / prefix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Notes /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authored requirement</w:t>
            </w:r>
          </w:p>
        </w:tc>
        <w:tc>
          <w:tcPr/>
          <w:p>
            <w:pPr>
              <w:pStyle w:val="Compact"/>
            </w:pPr>
            <w:r>
              <w:t xml:space="preserve">SRS-REQ-xxx</w:t>
            </w:r>
          </w:p>
        </w:tc>
        <w:tc>
          <w:tcPr/>
          <w:p>
            <w:pPr>
              <w:pStyle w:val="Compact"/>
            </w:pPr>
            <w:r>
              <w:t xml:space="preserve">Project-specific SRS atomic entries</w:t>
            </w:r>
          </w:p>
        </w:tc>
        <w:tc>
          <w:tcPr/>
          <w:p>
            <w:pPr>
              <w:pStyle w:val="Compact"/>
            </w:pPr>
            <w:r>
              <w:t xml:space="preserve">Covers one upstream requirement per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system requirement</w:t>
            </w:r>
          </w:p>
        </w:tc>
        <w:tc>
          <w:tcPr/>
          <w:p>
            <w:pPr>
              <w:pStyle w:val="Compact"/>
            </w:pPr>
            <w:r>
              <w:t xml:space="preserve">SYS-RQ-xxx or source_req_id</w:t>
            </w:r>
          </w:p>
        </w:tc>
        <w:tc>
          <w:tcPr/>
          <w:p>
            <w:pPr>
              <w:pStyle w:val="Compact"/>
            </w:pPr>
            <w:r>
              <w:t xml:space="preserve">Upstream Stage 1 requirement catalog</w:t>
            </w:r>
          </w:p>
        </w:tc>
        <w:tc>
          <w:tcPr/>
          <w:p>
            <w:pPr>
              <w:pStyle w:val="Compact"/>
            </w:pPr>
            <w:r>
              <w:t xml:space="preserve">Referenced through Covers linkage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analog requirement</w:t>
            </w:r>
          </w:p>
        </w:tc>
        <w:tc>
          <w:tcPr/>
          <w:p>
            <w:pPr>
              <w:pStyle w:val="Compact"/>
            </w:pPr>
            <w:r>
              <w:t xml:space="preserve">ANA-RQ-xxx or source_req_id</w:t>
            </w:r>
          </w:p>
        </w:tc>
        <w:tc>
          <w:tcPr/>
          <w:p>
            <w:pPr>
              <w:pStyle w:val="Compact"/>
            </w:pPr>
            <w:r>
              <w:t xml:space="preserve">Upstream Stage 1 requirement catalog</w:t>
            </w:r>
          </w:p>
        </w:tc>
        <w:tc>
          <w:tcPr/>
          <w:p>
            <w:pPr>
              <w:pStyle w:val="Compact"/>
            </w:pPr>
            <w:r>
              <w:t xml:space="preserve">Referenced through Covers linkage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digital requirement</w:t>
            </w:r>
          </w:p>
        </w:tc>
        <w:tc>
          <w:tcPr/>
          <w:p>
            <w:pPr>
              <w:pStyle w:val="Compact"/>
            </w:pPr>
            <w:r>
              <w:t xml:space="preserve">DIG-RQ-xxx or source_req_id</w:t>
            </w:r>
          </w:p>
        </w:tc>
        <w:tc>
          <w:tcPr/>
          <w:p>
            <w:pPr>
              <w:pStyle w:val="Compact"/>
            </w:pPr>
            <w:r>
              <w:t xml:space="preserve">Upstream Stage 1 requirement catalog</w:t>
            </w:r>
          </w:p>
        </w:tc>
        <w:tc>
          <w:tcPr/>
          <w:p>
            <w:pPr>
              <w:pStyle w:val="Compact"/>
            </w:pPr>
            <w:r>
              <w:t xml:space="preserve">Referenced through Covers linkage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Cross-domain requirement</w:t>
            </w:r>
          </w:p>
        </w:tc>
        <w:tc>
          <w:tcPr/>
          <w:p>
            <w:pPr>
              <w:pStyle w:val="Compact"/>
            </w:pPr>
            <w:r>
              <w:t xml:space="preserve">XDN-RQ-xxx or source_req_id</w:t>
            </w:r>
          </w:p>
        </w:tc>
        <w:tc>
          <w:tcPr/>
          <w:p>
            <w:pPr>
              <w:pStyle w:val="Compact"/>
            </w:pPr>
            <w:r>
              <w:t xml:space="preserve">Upstream Stage 1 requirement catalog</w:t>
            </w:r>
          </w:p>
        </w:tc>
        <w:tc>
          <w:tcPr/>
          <w:p>
            <w:pPr>
              <w:pStyle w:val="Compact"/>
            </w:pPr>
            <w:r>
              <w:t xml:space="preserve">Referenced through Covers linkage</w:t>
            </w:r>
          </w:p>
        </w:tc>
      </w:tr>
    </w:tbl>
    <w:p>
      <w:pPr>
        <w:pStyle w:val="BodyText"/>
      </w:pPr>
      <w:r>
        <w:t xml:space="preserve"> </w:t>
      </w:r>
    </w:p>
    <w:bookmarkEnd w:id="34"/>
    <w:bookmarkEnd w:id="35"/>
    <w:bookmarkStart w:id="36" w:name="Xe9c44ea4cb767e7feec2d2bfbe95dff004e260f"/>
    <w:p>
      <w:pPr>
        <w:pStyle w:val="Heading3"/>
      </w:pPr>
      <w:r>
        <w:t xml:space="preserve">0.4 Table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1</w:t>
            </w:r>
          </w:p>
        </w:tc>
        <w:tc>
          <w:tcPr/>
          <w:p>
            <w:pPr>
              <w:pStyle w:val="Compact"/>
            </w:pPr>
            <w:r>
              <w:t xml:space="preserve">Section navigation index</w:t>
            </w:r>
          </w:p>
        </w:tc>
        <w:tc>
          <w:tcPr/>
          <w:p>
            <w:pPr>
              <w:pStyle w:val="Compact"/>
            </w:pPr>
            <w:hyperlink w:anchor="table-3-section-navigation-index">
              <w:r>
                <w:rPr>
                  <w:rStyle w:val="Hyperlink"/>
                </w:rPr>
                <w:t xml:space="preserve">Go to Table 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2</w:t>
            </w:r>
          </w:p>
        </w:tc>
        <w:tc>
          <w:tcPr/>
          <w:p>
            <w:pPr>
              <w:pStyle w:val="Compact"/>
            </w:pPr>
            <w:r>
              <w:t xml:space="preserve">Block navigation index</w:t>
            </w:r>
          </w:p>
        </w:tc>
        <w:tc>
          <w:tcPr/>
          <w:p>
            <w:pPr>
              <w:pStyle w:val="Compact"/>
            </w:pPr>
            <w:hyperlink w:anchor="table-4-block-navigation-index">
              <w:r>
                <w:rPr>
                  <w:rStyle w:val="Hyperlink"/>
                </w:rPr>
                <w:t xml:space="preserve">Go to Table 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3</w:t>
            </w:r>
          </w:p>
        </w:tc>
        <w:tc>
          <w:tcPr/>
          <w:p>
            <w:pPr>
              <w:pStyle w:val="Compact"/>
            </w:pPr>
            <w:r>
              <w:t xml:space="preserve">Requirement paragraph index by block</w:t>
            </w:r>
          </w:p>
        </w:tc>
        <w:tc>
          <w:tcPr/>
          <w:p>
            <w:pPr>
              <w:pStyle w:val="Compact"/>
            </w:pPr>
            <w:hyperlink w:anchor="X0a62bb47d824029cf147fe503c789403568bd77">
              <w:r>
                <w:rPr>
                  <w:rStyle w:val="Hyperlink"/>
                </w:rPr>
                <w:t xml:space="preserve">Go to Table 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4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  <w:tc>
          <w:tcPr/>
          <w:p>
            <w:pPr>
              <w:pStyle w:val="Compact"/>
            </w:pPr>
            <w:hyperlink w:anchor="table-1-version-history">
              <w:r>
                <w:rPr>
                  <w:rStyle w:val="Hyperlink"/>
                </w:rPr>
                <w:t xml:space="preserve">Go to Table 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5</w:t>
            </w:r>
          </w:p>
        </w:tc>
        <w:tc>
          <w:tcPr/>
          <w:p>
            <w:pPr>
              <w:pStyle w:val="Compact"/>
            </w:pPr>
            <w:r>
              <w:t xml:space="preserve">Reference documents</w:t>
            </w:r>
          </w:p>
        </w:tc>
        <w:tc>
          <w:tcPr/>
          <w:p>
            <w:pPr>
              <w:pStyle w:val="Compact"/>
            </w:pPr>
            <w:hyperlink w:anchor="table-2-reference-documents">
              <w:r>
                <w:rPr>
                  <w:rStyle w:val="Hyperlink"/>
                </w:rPr>
                <w:t xml:space="preserve">Go to Table 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6</w:t>
            </w:r>
          </w:p>
        </w:tc>
        <w:tc>
          <w:tcPr/>
          <w:p>
            <w:pPr>
              <w:pStyle w:val="Compact"/>
            </w:pPr>
            <w:r>
              <w:t xml:space="preserve">Category convention</w:t>
            </w:r>
          </w:p>
        </w:tc>
        <w:tc>
          <w:tcPr/>
          <w:p>
            <w:pPr>
              <w:pStyle w:val="Compact"/>
            </w:pPr>
            <w:hyperlink w:anchor="table-6-category-convention">
              <w:r>
                <w:rPr>
                  <w:rStyle w:val="Hyperlink"/>
                </w:rPr>
                <w:t xml:space="preserve">Go to Table 6</w:t>
              </w:r>
            </w:hyperlink>
          </w:p>
        </w:tc>
      </w:tr>
    </w:tbl>
    <w:p>
      <w:pPr>
        <w:pStyle w:val="BodyText"/>
      </w:pPr>
      <w:r>
        <w:t xml:space="preserve"> </w:t>
      </w:r>
    </w:p>
    <w:bookmarkEnd w:id="36"/>
    <w:bookmarkEnd w:id="37"/>
    <w:bookmarkStart w:id="42" w:name="Xe3d0fc0bea9a42ce7605565d0964033d7f6ee47"/>
    <w:p>
      <w:pPr>
        <w:pStyle w:val="Heading2"/>
      </w:pPr>
      <w:r>
        <w:t xml:space="preserve">1. Introduction</w:t>
      </w:r>
    </w:p>
    <w:bookmarkStart w:id="38" w:name="Xe94c4103db6bb764aa3b798144b782dac27f424"/>
    <w:p>
      <w:pPr>
        <w:pStyle w:val="Heading3"/>
      </w:pPr>
      <w:r>
        <w:t xml:space="preserve">1.1 Purpose</w:t>
      </w:r>
    </w:p>
    <w:bookmarkEnd w:id="38"/>
    <w:bookmarkStart w:id="39" w:name="X3378fde8998068a01e48267892e5cd923e9bc15"/>
    <w:p>
      <w:pPr>
        <w:pStyle w:val="Heading3"/>
      </w:pPr>
      <w:r>
        <w:t xml:space="preserve">1.2 Scope</w:t>
      </w:r>
    </w:p>
    <w:bookmarkEnd w:id="39"/>
    <w:bookmarkStart w:id="40" w:name="Xe7c142496eda3f769d9e13f84aad1487c7a2ad9"/>
    <w:p>
      <w:pPr>
        <w:pStyle w:val="Heading3"/>
      </w:pPr>
      <w:r>
        <w:t xml:space="preserve">1.3 Intended audience</w:t>
      </w:r>
    </w:p>
    <w:bookmarkEnd w:id="40"/>
    <w:bookmarkStart w:id="41" w:name="Xf8afe345782cbed00f3c2830abd05d0a5ea4b9a"/>
    <w:p>
      <w:pPr>
        <w:pStyle w:val="Heading3"/>
      </w:pPr>
      <w:r>
        <w:t xml:space="preserve">1.4 References</w:t>
      </w:r>
    </w:p>
    <w:bookmarkEnd w:id="41"/>
    <w:bookmarkEnd w:id="42"/>
    <w:bookmarkStart w:id="52" w:name="X02d8767d2d0a8f1812496a613f2cc9414c1fa47"/>
    <w:p>
      <w:pPr>
        <w:pStyle w:val="Heading2"/>
      </w:pPr>
      <w:r>
        <w:t xml:space="preserve">2. Definitions and terminology</w:t>
      </w:r>
    </w:p>
    <w:bookmarkStart w:id="43" w:name="X9f9050d26163d7fe074f704b1d5f39515cc0cbf"/>
    <w:p>
      <w:pPr>
        <w:pStyle w:val="Heading3"/>
      </w:pPr>
      <w:r>
        <w:t xml:space="preserve">2.1 System terminology</w:t>
      </w:r>
    </w:p>
    <w:bookmarkEnd w:id="43"/>
    <w:bookmarkStart w:id="44" w:name="Xd5aa38ffdd625eb97b6e242c9713138ee77d4a5"/>
    <w:p>
      <w:pPr>
        <w:pStyle w:val="Heading3"/>
      </w:pPr>
      <w:r>
        <w:t xml:space="preserve">2.2 Analog terminology</w:t>
      </w:r>
    </w:p>
    <w:bookmarkEnd w:id="44"/>
    <w:bookmarkStart w:id="45" w:name="X2cb23c4cea17ae2e9e0c2247326d9174acd0bf7"/>
    <w:p>
      <w:pPr>
        <w:pStyle w:val="Heading3"/>
      </w:pPr>
      <w:r>
        <w:t xml:space="preserve">2.3 Digital terminology</w:t>
      </w:r>
    </w:p>
    <w:bookmarkEnd w:id="45"/>
    <w:bookmarkStart w:id="46" w:name="X242fdf45588a5c9713f9111239a249bdccd1652"/>
    <w:p>
      <w:pPr>
        <w:pStyle w:val="Heading3"/>
      </w:pPr>
      <w:r>
        <w:t xml:space="preserve">2.4 Measurement and acceptance terms</w:t>
      </w:r>
    </w:p>
    <w:bookmarkEnd w:id="46"/>
    <w:bookmarkStart w:id="51" w:name="X566ffcc1e03724d2b215f04c914ff0a2091246f"/>
    <w:p>
      <w:pPr>
        <w:pStyle w:val="Heading3"/>
      </w:pPr>
      <w:r>
        <w:t xml:space="preserve">2.5 Category Convention</w:t>
      </w:r>
    </w:p>
    <w:p>
      <w:pPr>
        <w:pStyle w:val="FirstParagraph"/>
      </w:pPr>
      <w:r>
        <w:t xml:space="preserve"> </w:t>
      </w:r>
    </w:p>
    <w:bookmarkStart w:id="47" w:name="X2622009b2d3a2705b18c688a7677d381899d919"/>
    <w:p>
      <w:pPr>
        <w:pStyle w:val="Heading4"/>
      </w:pPr>
      <w:r>
        <w:t xml:space="preserve">2.5.1 Comment</w:t>
      </w:r>
    </w:p>
    <w:p>
      <w:pPr>
        <w:pStyle w:val="FirstParagraph"/>
      </w:pPr>
      <w:r>
        <w:t xml:space="preserve">This category denotes that the content of the object text is a general comment. For example, this may be an explanation why the requirement demands certain items when there would also be other possibilities. A comment should not be necessary to understand the related requirements</w:t>
      </w:r>
    </w:p>
    <w:p>
      <w:pPr>
        <w:pStyle w:val="BodyText"/>
      </w:pPr>
      <w:r>
        <w:t xml:space="preserve"> </w:t>
      </w:r>
    </w:p>
    <w:bookmarkEnd w:id="47"/>
    <w:bookmarkStart w:id="48" w:name="X6f51734824add37a9c9104c206e8d3ebe4c5e18"/>
    <w:p>
      <w:pPr>
        <w:pStyle w:val="Heading4"/>
      </w:pPr>
      <w:r>
        <w:t xml:space="preserve">2.5.2 Definition</w:t>
      </w:r>
    </w:p>
    <w:p>
      <w:pPr>
        <w:pStyle w:val="FirstParagraph"/>
      </w:pPr>
      <w:r>
        <w:t xml:space="preserve">This category is used for the definition of terms, wordings, technical expressions etc. It is a documentation of design decisions and general instructions that belong to the document itself, e.g. owner of the document, structure of the document. It is needed to understand a related requirement. It is not linked to any test case.</w:t>
      </w:r>
    </w:p>
    <w:p>
      <w:pPr>
        <w:pStyle w:val="BodyText"/>
      </w:pPr>
      <w:r>
        <w:t xml:space="preserve"> </w:t>
      </w:r>
    </w:p>
    <w:bookmarkEnd w:id="48"/>
    <w:bookmarkStart w:id="49" w:name="X01e48034dbfe065857081217c8106280bd2a224"/>
    <w:p>
      <w:pPr>
        <w:pStyle w:val="Heading4"/>
      </w:pPr>
      <w:r>
        <w:t xml:space="preserve">2.5.3 Assumption</w:t>
      </w:r>
    </w:p>
    <w:p>
      <w:pPr>
        <w:pStyle w:val="FirstParagraph"/>
      </w:pPr>
      <w:r>
        <w:t xml:space="preserve">This category is used for requirements this document provide upstream to another document, indicating what this IP/block/system needs to work properly.</w:t>
      </w:r>
    </w:p>
    <w:p>
      <w:pPr>
        <w:pStyle w:val="BodyText"/>
      </w:pPr>
      <w:r>
        <w:t xml:space="preserve"> </w:t>
      </w:r>
    </w:p>
    <w:bookmarkEnd w:id="49"/>
    <w:bookmarkStart w:id="50" w:name="Xd70aba5ce5e5a363a00e248343404a9a7bf4786"/>
    <w:p>
      <w:pPr>
        <w:pStyle w:val="Heading4"/>
      </w:pPr>
      <w:r>
        <w:t xml:space="preserve">2.5.4 Requirement</w:t>
      </w:r>
    </w:p>
    <w:p>
      <w:pPr>
        <w:pStyle w:val="FirstParagraph"/>
      </w:pPr>
      <w:r>
        <w:t xml:space="preserve">This category denotes a requirement that has to be implemented and verified. Accordingly, it is necessary to establish traces from the different requirement levels to the test cases for this category.</w:t>
      </w:r>
    </w:p>
    <w:p>
      <w:pPr>
        <w:pStyle w:val="BodyText"/>
      </w:pPr>
      <w:r>
        <w:t xml:space="preserve"> </w:t>
      </w:r>
    </w:p>
    <w:bookmarkEnd w:id="50"/>
    <w:bookmarkEnd w:id="51"/>
    <w:bookmarkEnd w:id="52"/>
    <w:bookmarkStart w:id="60" w:name="X49707537c4e132273137ad708e96f6254bde707"/>
    <w:p>
      <w:pPr>
        <w:pStyle w:val="Heading2"/>
      </w:pPr>
      <w:r>
        <w:t xml:space="preserve">3. System Overview</w:t>
      </w:r>
    </w:p>
    <w:bookmarkStart w:id="53" w:name="X29eecde5980e859b338041ae97b615331adbec7"/>
    <w:p>
      <w:pPr>
        <w:pStyle w:val="Heading3"/>
      </w:pPr>
      <w:r>
        <w:t xml:space="preserve">3.1 General System Description</w:t>
      </w:r>
    </w:p>
    <w:p>
      <w:pPr>
        <w:pStyle w:val="FirstParagraph"/>
      </w:pPr>
      <w:r>
        <w:t xml:space="preserve">The system is an analog front end with embedded processing capabilities.</w:t>
      </w:r>
    </w:p>
    <w:p>
      <w:pPr>
        <w:pStyle w:val="BodyText"/>
      </w:pPr>
      <w:r>
        <w:t xml:space="preserve"> </w:t>
      </w:r>
    </w:p>
    <w:bookmarkEnd w:id="53"/>
    <w:bookmarkStart w:id="54" w:name="X07d8e2853715070d69f307364bc097e5ffc9284"/>
    <w:p>
      <w:pPr>
        <w:pStyle w:val="Heading3"/>
      </w:pPr>
      <w:r>
        <w:t xml:space="preserve">3.2 Main System Capabilities</w:t>
      </w:r>
    </w:p>
    <w:p>
      <w:pPr>
        <w:pStyle w:val="FirstParagraph"/>
      </w:pPr>
      <w:r>
        <w:t xml:space="preserve">The system supports external sensor acquisition through an I2C master protocol, enabling data collection in FIFO and embedded elaboration also on external data domain.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The ECG signal chain has several complementary features supporting ECG measurement, such as driven reference for common-mode rejection and lead off detection to identify a fallen electrode.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The system supports body impedance and human breathing measurements with a configurable excitation path and measurement path. BIA channel delivers both the real and the imaginary parts of the body and the breathing impedance.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This configuration generates each time slot, two averaged ECG data, which are ECG AC and ECG DC, respectively.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This configuration generates each time slot, two averaged ECG data, which are ECG AC and ECG DC, respectively and four averaged BIA data which are BIA_AC_P, BIA_DC_P, BIA_AC_Q and BIA_DC_Q.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This configuration generates each time slot, a number of PPG DATA according to user configuration.</w:t>
      </w:r>
    </w:p>
    <w:bookmarkEnd w:id="54"/>
    <w:bookmarkStart w:id="55" w:name="X1d8b58cbab896d5f8be67d9c03e28c9822704aa"/>
    <w:p>
      <w:pPr>
        <w:pStyle w:val="Heading3"/>
      </w:pPr>
      <w:r>
        <w:t xml:space="preserve">3.3 Main Architectural Domains and Subsystems</w:t>
      </w:r>
    </w:p>
    <w:p>
      <w:pPr>
        <w:pStyle w:val="FirstParagraph"/>
      </w:pPr>
      <w:r>
        <w:t xml:space="preserve">The approved architecture includes a digital processing and control domain.</w:t>
      </w:r>
    </w:p>
    <w:bookmarkEnd w:id="55"/>
    <w:bookmarkStart w:id="56" w:name="X5ad24bd5559238dc31711e23668a9d985968c52"/>
    <w:p>
      <w:pPr>
        <w:pStyle w:val="Heading3"/>
      </w:pPr>
      <w:r>
        <w:t xml:space="preserve">3.4 External Interfaces and System Boundaries</w:t>
      </w:r>
    </w:p>
    <w:p>
      <w:pPr>
        <w:pStyle w:val="FirstParagraph"/>
      </w:pPr>
      <w:r>
        <w:t xml:space="preserve">The approved system boundary includes analog, digital, power interface roles for sensing, communication, control, and supply exchange.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Approved system-boundary evidence identifies the following interfaces: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SENSOR_ANALOG_INPUT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analog</w:t>
            </w:r>
          </w:p>
        </w:tc>
        <w:tc>
          <w:tcPr/>
          <w:p>
            <w:pPr>
              <w:pStyle w:val="Compact"/>
            </w:pPr>
            <w:r>
              <w:t xml:space="preserve">Sensor-Hub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ADC_DATA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t xml:space="preserve">ADC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FIFO_DATA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t xml:space="preserve">Smart FIFO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SERIAL_CLK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t xml:space="preserve">SPI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SERIAL_SELECT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t xml:space="preserve">SPI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SERIAL_DATA_IN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t xml:space="preserve">SPI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SERIAL_DATA_OUT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t xml:space="preserve">SPI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ALT_SERIAL_CLK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t xml:space="preserve">I2C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ALT_SERIAL_DATA</w:t>
            </w:r>
          </w:p>
        </w:tc>
        <w:tc>
          <w:tcPr/>
          <w:p>
            <w:pPr>
              <w:pStyle w:val="Compac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</w:pP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t xml:space="preserve">I2C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INT1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t xml:space="preserve">IRQ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INT2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t xml:space="preserve">IRQ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PMU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VDD_IO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PMU</w:t>
            </w:r>
          </w:p>
        </w:tc>
      </w:tr>
    </w:tbl>
    <w:p>
      <w:pPr>
        <w:pStyle w:val="BodyText"/>
      </w:pPr>
      <w:r>
        <w:t xml:space="preserve"> </w:t>
      </w:r>
    </w:p>
    <w:bookmarkEnd w:id="56"/>
    <w:bookmarkStart w:id="57" w:name="Xa3833266e0b670110650620cc6abdfc0d8f81a3"/>
    <w:p>
      <w:pPr>
        <w:pStyle w:val="Heading3"/>
      </w:pPr>
      <w:r>
        <w:t xml:space="preserve">3.5 Operating Concept</w:t>
      </w:r>
    </w:p>
    <w:p>
      <w:pPr>
        <w:pStyle w:val="FirstParagraph"/>
      </w:pPr>
      <w:r>
        <w:t xml:space="preserve">The approved operating concept includes the following system modes: Data Storage Mode, Normal Mode.</w:t>
      </w:r>
    </w:p>
    <w:p>
      <w:pPr>
        <w:pStyle w:val="BodyText"/>
      </w:pPr>
      <w:r>
        <w:t xml:space="preserve"> </w:t>
      </w:r>
    </w:p>
    <w:bookmarkEnd w:id="57"/>
    <w:bookmarkStart w:id="58" w:name="X119c2f7904b5ebe2b47bcc523b1d15a5eef003d"/>
    <w:p>
      <w:pPr>
        <w:pStyle w:val="Heading3"/>
      </w:pPr>
      <w:r>
        <w:t xml:space="preserve">3.6 Power, Clock, and Reset Overview</w:t>
      </w:r>
    </w:p>
    <w:p>
      <w:pPr>
        <w:pStyle w:val="FirstParagraph"/>
      </w:pPr>
      <w:r>
        <w:t xml:space="preserve">Approved evidence identifies always-on power domains that remain active for system continuity.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Approved evidence also identifies switchable power domains that may be powered down when their associated activity is idle.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Retention behavior is defined for preserving state across an applicable low-power transition.</w:t>
      </w:r>
    </w:p>
    <w:bookmarkEnd w:id="58"/>
    <w:bookmarkStart w:id="59" w:name="X37b929969602da6cf09dc30e0d455681485ba19"/>
    <w:p>
      <w:pPr>
        <w:pStyle w:val="Heading3"/>
      </w:pPr>
      <w:r>
        <w:t xml:space="preserve">3.7 Assumptions, Scope Limits, and Allocation Boundaries</w:t>
      </w:r>
    </w:p>
    <w:p>
      <w:pPr>
        <w:pStyle w:val="FirstParagraph"/>
      </w:pPr>
      <w:r>
        <w:t xml:space="preserve">The system scope covers approved sensing, processing, data exchange, operating-mode, and power-domain behavior. Detailed implementation remains outside this overview and follows the approved allocation boundaries.</w:t>
      </w:r>
    </w:p>
    <w:p>
      <w:pPr>
        <w:pStyle w:val="BodyText"/>
      </w:pPr>
      <w:r>
        <w:t xml:space="preserve"> </w:t>
      </w:r>
    </w:p>
    <w:bookmarkEnd w:id="59"/>
    <w:bookmarkEnd w:id="60"/>
    <w:bookmarkStart w:id="67" w:name="X8395ed67821c7bebe2b0b7ee4eaa1608fd81ca2"/>
    <w:p>
      <w:pPr>
        <w:pStyle w:val="Heading2"/>
      </w:pPr>
      <w:r>
        <w:t xml:space="preserve">4. Analog sub-system</w:t>
      </w:r>
    </w:p>
    <w:bookmarkStart w:id="61" w:name="X73838ebe4a6fc85f137f6c8bb8c37b9332570dc"/>
    <w:p>
      <w:pPr>
        <w:pStyle w:val="Heading3"/>
      </w:pPr>
      <w:r>
        <w:t xml:space="preserve">4.1 Analog block list</w:t>
      </w:r>
    </w:p>
    <w:p>
      <w:pPr>
        <w:pStyle w:val="FirstParagraph"/>
      </w:pPr>
      <w:r>
        <w:t xml:space="preserve">Analog behavior is summarized at system level here. Detailed analog block ownership, requirements, and I/O are maintained in ARS and the corresponding analog IPOS specifications.</w:t>
      </w:r>
    </w:p>
    <w:p>
      <w:pPr>
        <w:pStyle w:val="BodyText"/>
      </w:pPr>
      <w:r>
        <w:t xml:space="preserve"> </w:t>
      </w:r>
    </w:p>
    <w:bookmarkEnd w:id="61"/>
    <w:bookmarkStart w:id="62" w:name="Xf5c1c06e36c87015dda878782931870eb54048b"/>
    <w:p>
      <w:pPr>
        <w:pStyle w:val="Heading3"/>
      </w:pPr>
      <w:r>
        <w:t xml:space="preserve">4.2 Analog I/O characteristics</w:t>
      </w:r>
    </w:p>
    <w:bookmarkEnd w:id="62"/>
    <w:bookmarkStart w:id="63" w:name="X1bb181e9ad1d87dc68e0a8e55f859ee793a0ed2"/>
    <w:p>
      <w:pPr>
        <w:pStyle w:val="Heading3"/>
      </w:pPr>
      <w:r>
        <w:t xml:space="preserve">4.3 Sampling and conversion</w:t>
      </w:r>
    </w:p>
    <w:bookmarkEnd w:id="63"/>
    <w:bookmarkStart w:id="64" w:name="X0118a4df21ba5575661ffa2467351b029c3a46f"/>
    <w:p>
      <w:pPr>
        <w:pStyle w:val="Heading3"/>
      </w:pPr>
      <w:r>
        <w:t xml:space="preserve">4.4 Analog operating modes</w:t>
      </w:r>
    </w:p>
    <w:bookmarkEnd w:id="64"/>
    <w:bookmarkStart w:id="65" w:name="Xa09b061da36db1f6d09042861c775eb39263d84"/>
    <w:p>
      <w:pPr>
        <w:pStyle w:val="Heading3"/>
      </w:pPr>
      <w:r>
        <w:t xml:space="preserve">4.5 Analog calibration</w:t>
      </w:r>
    </w:p>
    <w:bookmarkEnd w:id="65"/>
    <w:bookmarkStart w:id="66" w:name="X1211f8bc22d57a5db806da7975300663fa81253"/>
    <w:p>
      <w:pPr>
        <w:pStyle w:val="Heading3"/>
      </w:pPr>
      <w:r>
        <w:t xml:space="preserve">4.6 Analog performance</w:t>
      </w:r>
    </w:p>
    <w:bookmarkEnd w:id="66"/>
    <w:bookmarkEnd w:id="67"/>
    <w:bookmarkStart w:id="74" w:name="Xb6c1ac142174550af2344fc16bfd516a9e821ac"/>
    <w:p>
      <w:pPr>
        <w:pStyle w:val="Heading2"/>
      </w:pPr>
      <w:r>
        <w:t xml:space="preserve">5. Digital sub-system</w:t>
      </w:r>
    </w:p>
    <w:bookmarkStart w:id="68" w:name="Xf25e1d4f064c12555e91d08116672feea4ccfae"/>
    <w:p>
      <w:pPr>
        <w:pStyle w:val="Heading3"/>
      </w:pPr>
      <w:r>
        <w:t xml:space="preserve">5.1 Digital block list</w:t>
      </w:r>
    </w:p>
    <w:p>
      <w:pPr>
        <w:pStyle w:val="FirstParagraph"/>
      </w:pPr>
      <w:r>
        <w:t xml:space="preserve">Digital behavior is summarized at system level here. Detailed digital block ownership, requirements, and I/O are maintained in DRS and the corresponding digital IPOS specifications.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Digital blocks in the approved architecture: Sensor-Hub, ADSP, Main Controller, Smart FIFO, Regmap, IRQ logic, PMU, BIST Controller, I2C_SPI_AHB, OTP, PAD MUX, ISPU.</w:t>
      </w:r>
    </w:p>
    <w:p>
      <w:pPr>
        <w:pStyle w:val="Compact"/>
        <w:numPr>
          <w:ilvl w:val="0"/>
          <w:numId w:val="1011"/>
        </w:numPr>
      </w:pPr>
      <w:r>
        <w:t xml:space="preserve">Sensor-Hub: Operate the Sensor Hub I2C master for external targets, including trigger/control, pad enable, data collection, and FIFO multi-mode coordination.</w:t>
      </w:r>
    </w:p>
    <w:p>
      <w:pPr>
        <w:pStyle w:val="Compact"/>
        <w:numPr>
          <w:ilvl w:val="0"/>
          <w:numId w:val="1011"/>
        </w:numPr>
      </w:pPr>
      <w:r>
        <w:t xml:space="preserve">ADSP: Execute ADSP firmware for OTP boot/write/test and signal elaboration, using mapped program/data/register memory and soft-reset handling.</w:t>
      </w:r>
    </w:p>
    <w:p>
      <w:pPr>
        <w:pStyle w:val="Compact"/>
        <w:numPr>
          <w:ilvl w:val="0"/>
          <w:numId w:val="1011"/>
        </w:numPr>
      </w:pPr>
      <w:r>
        <w:t xml:space="preserve">Main Controller: Generate and receive Analog Domain control signals, perform DSP elaboration on ADC outputs, and write elaborated results to the defined addresses.</w:t>
      </w:r>
    </w:p>
    <w:p>
      <w:pPr>
        <w:pStyle w:val="Compact"/>
        <w:numPr>
          <w:ilvl w:val="0"/>
          <w:numId w:val="1011"/>
        </w:numPr>
      </w:pPr>
      <w:r>
        <w:t xml:space="preserve">Smart FIFO: Provide FIFO storage and AHB/memory access in mutually exclusive Unique or Multiple modes, including sub-FIFO depth/addressing and tagged Sensor Hub data formatting.</w:t>
      </w:r>
    </w:p>
    <w:p>
      <w:pPr>
        <w:pStyle w:val="Compact"/>
        <w:numPr>
          <w:ilvl w:val="0"/>
          <w:numId w:val="1011"/>
        </w:numPr>
      </w:pPr>
      <w:r>
        <w:t xml:space="preserve">Regmap: Implement the mapped AFE, system, and OTP registers, exposing configuration/status while enforcing reset and OTP write-protection rules.</w:t>
      </w:r>
    </w:p>
    <w:p>
      <w:pPr>
        <w:pStyle w:val="Compact"/>
        <w:numPr>
          <w:ilvl w:val="0"/>
          <w:numId w:val="1011"/>
        </w:numPr>
      </w:pPr>
      <w:r>
        <w:t xml:space="preserve">IRQ logic: Aggregate and route FIFO, Sensor Hub, ISPU sample-ready, software, and timer interrupt status to configured GPIO/interrupt outputs.</w:t>
      </w:r>
    </w:p>
    <w:p>
      <w:pPr>
        <w:pStyle w:val="Compact"/>
        <w:numPr>
          <w:ilvl w:val="0"/>
          <w:numId w:val="1011"/>
        </w:numPr>
      </w:pPr>
      <w:r>
        <w:t xml:space="preserve">PMU: Sequence POR-driven LDO1V8 enable, 64/32 kHz and 16 MHz clocks, clock-ready signaling, and digital-reset release for boot and power modes.</w:t>
      </w:r>
    </w:p>
    <w:p>
      <w:pPr>
        <w:pStyle w:val="Compact"/>
        <w:numPr>
          <w:ilvl w:val="0"/>
          <w:numId w:val="1011"/>
        </w:numPr>
      </w:pPr>
      <w:r>
        <w:t xml:space="preserve">BIST Controller: Control BIST operating modes and coordinate ADC/OTP test operations and their register-visible results.</w:t>
      </w:r>
    </w:p>
    <w:p>
      <w:pPr>
        <w:pStyle w:val="Compact"/>
        <w:numPr>
          <w:ilvl w:val="0"/>
          <w:numId w:val="1011"/>
        </w:numPr>
      </w:pPr>
      <w:r>
        <w:t xml:space="preserve">I2C_SPI_AHB: Accept I2C/SPI accesses and translate them as needed into AHB transactions for device configuration and readback, including ISPU access.</w:t>
      </w:r>
    </w:p>
    <w:p>
      <w:pPr>
        <w:pStyle w:val="Compact"/>
        <w:numPr>
          <w:ilvl w:val="0"/>
          <w:numId w:val="1011"/>
        </w:numPr>
      </w:pPr>
      <w:r>
        <w:t xml:space="preserve">OTP: Provide the source-specified one-time-programmable memory interface used by ADSP boot, programming, and test routines.</w:t>
      </w:r>
    </w:p>
    <w:p>
      <w:pPr>
        <w:pStyle w:val="Compact"/>
        <w:numPr>
          <w:ilvl w:val="0"/>
          <w:numId w:val="1011"/>
        </w:numPr>
      </w:pPr>
      <w:r>
        <w:t xml:space="preserve">PAD MUX: Route source-specified functional, scan, BIST, debug, and ISPU-debug signals to and from device pads.</w:t>
      </w:r>
    </w:p>
    <w:p>
      <w:pPr>
        <w:pStyle w:val="Compact"/>
        <w:numPr>
          <w:ilvl w:val="0"/>
          <w:numId w:val="1011"/>
        </w:numPr>
      </w:pPr>
      <w:r>
        <w:t xml:space="preserve">ISPU: Represent the ISPU digital architecture block and its source/destination responsibilities described by Stage 2 interaction evidence.</w:t>
      </w:r>
    </w:p>
    <w:bookmarkEnd w:id="68"/>
    <w:bookmarkStart w:id="69" w:name="X014e5aa4739f39447602997116559e2440315d9"/>
    <w:p>
      <w:pPr>
        <w:pStyle w:val="Heading3"/>
      </w:pPr>
      <w:r>
        <w:t xml:space="preserve">5.2 Control and register requirements</w:t>
      </w:r>
    </w:p>
    <w:bookmarkEnd w:id="69"/>
    <w:bookmarkStart w:id="70" w:name="Xa28c56602fe1f96897579c93a08c178a142e8a6"/>
    <w:p>
      <w:pPr>
        <w:pStyle w:val="Heading3"/>
      </w:pPr>
      <w:r>
        <w:t xml:space="preserve">5.3 Mode control requirements</w:t>
      </w:r>
    </w:p>
    <w:bookmarkEnd w:id="70"/>
    <w:bookmarkStart w:id="71" w:name="X1e53789fa1fba9bcb7c1b67d4bf7f0de8bb9cca"/>
    <w:p>
      <w:pPr>
        <w:pStyle w:val="Heading3"/>
      </w:pPr>
      <w:r>
        <w:t xml:space="preserve">5.4 Communication requirements</w:t>
      </w:r>
    </w:p>
    <w:bookmarkEnd w:id="71"/>
    <w:bookmarkStart w:id="72" w:name="X491be3e3dce6e13eab699f5276c5fd87686a9af"/>
    <w:p>
      <w:pPr>
        <w:pStyle w:val="Heading3"/>
      </w:pPr>
      <w:r>
        <w:t xml:space="preserve">5.5 Digital timing requirements</w:t>
      </w:r>
    </w:p>
    <w:bookmarkEnd w:id="72"/>
    <w:bookmarkStart w:id="73" w:name="X225beec5a4318570282fc9149cfae896bfeb86c"/>
    <w:p>
      <w:pPr>
        <w:pStyle w:val="Heading3"/>
      </w:pPr>
      <w:r>
        <w:t xml:space="preserve">5.6 Digital data-path requirements</w:t>
      </w:r>
    </w:p>
    <w:p>
      <w:pPr>
        <w:pStyle w:val="FirstParagraph"/>
      </w:pPr>
      <w:r>
        <w:t xml:space="preserve">Digital data-path requirements shall state the conditions for full, empty, overflow, underflow, throughput limits, and backpressure, including the involved blocks and required response.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Data-path conditions and involved blocks:</w:t>
      </w:r>
    </w:p>
    <w:p>
      <w:pPr>
        <w:pStyle w:val="Compact"/>
        <w:numPr>
          <w:ilvl w:val="0"/>
          <w:numId w:val="1012"/>
        </w:numPr>
      </w:pPr>
      <w:r>
        <w:t xml:space="preserve">Sensor-Hub: Operate the Sensor Hub I2C master for external targets, including trigger/control, pad enable, data collection, and FIFO multi-mode coordination.</w:t>
      </w:r>
    </w:p>
    <w:p>
      <w:pPr>
        <w:pStyle w:val="Compact"/>
        <w:numPr>
          <w:ilvl w:val="0"/>
          <w:numId w:val="1012"/>
        </w:numPr>
      </w:pPr>
      <w:r>
        <w:t xml:space="preserve">Smart FIFO: Provide FIFO storage and AHB/memory access in mutually exclusive Unique or Multiple modes, including sub-FIFO depth/addressing and tagged Sensor Hub data formatting.</w:t>
      </w:r>
    </w:p>
    <w:p>
      <w:pPr>
        <w:pStyle w:val="Compact"/>
        <w:numPr>
          <w:ilvl w:val="0"/>
          <w:numId w:val="1012"/>
        </w:numPr>
      </w:pPr>
      <w:r>
        <w:t xml:space="preserve">IRQ logic: Aggregate and route FIFO, Sensor Hub, ISPU sample-ready, software, and timer interrupt status to configured GPIO/interrupt outputs.</w:t>
      </w:r>
    </w:p>
    <w:p>
      <w:pPr>
        <w:pStyle w:val="Compact"/>
        <w:numPr>
          <w:ilvl w:val="0"/>
          <w:numId w:val="1012"/>
        </w:numPr>
      </w:pPr>
      <w:r>
        <w:t xml:space="preserve">Main Controller -&gt; Smart FIFO via sample stream and FIFO mode control (trigger: FIFO enabled)</w:t>
      </w:r>
    </w:p>
    <w:p>
      <w:pPr>
        <w:pStyle w:val="Compact"/>
        <w:numPr>
          <w:ilvl w:val="0"/>
          <w:numId w:val="1012"/>
        </w:numPr>
      </w:pPr>
      <w:r>
        <w:t xml:space="preserve">Smart FIFO -&gt; IRQ logic via watermark/overrun/empty flags (trigger: FIFO status change)</w:t>
      </w:r>
    </w:p>
    <w:p>
      <w:pPr>
        <w:pStyle w:val="Compact"/>
        <w:numPr>
          <w:ilvl w:val="0"/>
          <w:numId w:val="1012"/>
        </w:numPr>
      </w:pPr>
      <w:r>
        <w:t xml:space="preserve">Main Controller -&gt; FIFO via XBAR connection (trigger: XBAR matrix cell)</w:t>
      </w:r>
    </w:p>
    <w:p>
      <w:pPr>
        <w:pStyle w:val="Compact"/>
        <w:numPr>
          <w:ilvl w:val="0"/>
          <w:numId w:val="1012"/>
        </w:numPr>
      </w:pPr>
      <w:r>
        <w:t xml:space="preserve">ADSP -&gt; FIFO via XBAR connection (trigger: XBAR matrix cell)</w:t>
      </w:r>
    </w:p>
    <w:p>
      <w:pPr>
        <w:pStyle w:val="Compact"/>
        <w:numPr>
          <w:ilvl w:val="0"/>
          <w:numId w:val="1012"/>
        </w:numPr>
      </w:pPr>
      <w:r>
        <w:t xml:space="preserve">I2C_SPI_AHB -&gt; FIFO via XBAR connection (trigger: XBAR matrix cell)</w:t>
      </w:r>
    </w:p>
    <w:p>
      <w:pPr>
        <w:pStyle w:val="Compact"/>
        <w:numPr>
          <w:ilvl w:val="0"/>
          <w:numId w:val="1012"/>
        </w:numPr>
      </w:pPr>
      <w:r>
        <w:t xml:space="preserve">Overflow: when a write arrives while storage is full, the producing and buffering blocks shall define whether the write is blocked, flagged, or otherwise handled without silent data loss.</w:t>
      </w:r>
    </w:p>
    <w:p>
      <w:pPr>
        <w:pStyle w:val="Compact"/>
        <w:numPr>
          <w:ilvl w:val="0"/>
          <w:numId w:val="1012"/>
        </w:numPr>
      </w:pPr>
      <w:r>
        <w:t xml:space="preserve">Underflow: when a read is requested while storage is empty, the consuming and buffering blocks shall define the returned status/data and recovery behavior.</w:t>
      </w:r>
    </w:p>
    <w:p>
      <w:pPr>
        <w:pStyle w:val="Compact"/>
        <w:numPr>
          <w:ilvl w:val="0"/>
          <w:numId w:val="1012"/>
        </w:numPr>
      </w:pPr>
      <w:r>
        <w:t xml:space="preserve">Throughput and backpressure: when the offered data rate exceeds the available transfer capacity, the producer, buffer, and consumer shall define flow control and recovery behavior.</w:t>
      </w:r>
    </w:p>
    <w:bookmarkEnd w:id="73"/>
    <w:bookmarkEnd w:id="74"/>
    <w:bookmarkStart w:id="80" w:name="X29df95fc7ea948404e598318ae8b4955fac17d0"/>
    <w:p>
      <w:pPr>
        <w:pStyle w:val="Heading2"/>
      </w:pPr>
      <w:r>
        <w:t xml:space="preserve">6. Cross-domain mixed-signal requirements</w:t>
      </w:r>
    </w:p>
    <w:bookmarkStart w:id="75" w:name="Xe459d83b2ce9a294c7639c03dfcc0998267db90"/>
    <w:p>
      <w:pPr>
        <w:pStyle w:val="Heading3"/>
      </w:pPr>
      <w:r>
        <w:t xml:space="preserve">6.1 Analog-digital interactions</w:t>
      </w:r>
    </w:p>
    <w:p>
      <w:pPr>
        <w:pStyle w:val="FirstParagraph"/>
      </w:pPr>
      <w:r>
        <w:t xml:space="preserve">Cross-domain orchestration shall be implemented through interaction paths:</w:t>
      </w:r>
    </w:p>
    <w:p>
      <w:pPr>
        <w:pStyle w:val="Compact"/>
        <w:numPr>
          <w:ilvl w:val="0"/>
          <w:numId w:val="1013"/>
        </w:numPr>
      </w:pPr>
      <w:r>
        <w:t xml:space="preserve">ADC -&gt; Main Controller via digital samples (trigger: sample cycle)</w:t>
      </w:r>
    </w:p>
    <w:p>
      <w:pPr>
        <w:pStyle w:val="Compact"/>
        <w:numPr>
          <w:ilvl w:val="0"/>
          <w:numId w:val="1013"/>
        </w:numPr>
      </w:pPr>
      <w:r>
        <w:t xml:space="preserve">Main Controller -&gt; Smart FIFO via sample stream and FIFO mode control (trigger: FIFO enabled)</w:t>
      </w:r>
    </w:p>
    <w:p>
      <w:pPr>
        <w:pStyle w:val="Compact"/>
        <w:numPr>
          <w:ilvl w:val="0"/>
          <w:numId w:val="1013"/>
        </w:numPr>
      </w:pPr>
      <w:r>
        <w:t xml:space="preserve">Smart FIFO -&gt; IRQ logic via watermark/overrun/empty flags (trigger: FIFO status change)</w:t>
      </w:r>
    </w:p>
    <w:p>
      <w:pPr>
        <w:pStyle w:val="Compact"/>
        <w:numPr>
          <w:ilvl w:val="0"/>
          <w:numId w:val="1013"/>
        </w:numPr>
      </w:pPr>
      <w:r>
        <w:t xml:space="preserve">Regmap -&gt; Main Controller via configuration writes (trigger: register update)</w:t>
      </w:r>
    </w:p>
    <w:p>
      <w:pPr>
        <w:pStyle w:val="Compact"/>
        <w:numPr>
          <w:ilvl w:val="0"/>
          <w:numId w:val="1013"/>
        </w:numPr>
      </w:pPr>
      <w:r>
        <w:t xml:space="preserve">SPI interface -&gt; Regmap via SPI register transactions (trigger: host SPI access)</w:t>
      </w:r>
    </w:p>
    <w:p>
      <w:pPr>
        <w:pStyle w:val="Compact"/>
        <w:numPr>
          <w:ilvl w:val="0"/>
          <w:numId w:val="1013"/>
        </w:numPr>
      </w:pPr>
      <w:r>
        <w:t xml:space="preserve">I2C interface -&gt; Regmap via I2C register transactions (trigger: host I2C access)</w:t>
      </w:r>
    </w:p>
    <w:p>
      <w:pPr>
        <w:pStyle w:val="Compact"/>
        <w:numPr>
          <w:ilvl w:val="0"/>
          <w:numId w:val="1013"/>
        </w:numPr>
      </w:pPr>
      <w:r>
        <w:t xml:space="preserve">Regmap -&gt; SPI interface via register read response (trigger: SPI read)</w:t>
      </w:r>
    </w:p>
    <w:p>
      <w:pPr>
        <w:pStyle w:val="Compact"/>
        <w:numPr>
          <w:ilvl w:val="0"/>
          <w:numId w:val="1013"/>
        </w:numPr>
      </w:pPr>
      <w:r>
        <w:t xml:space="preserve">Regmap -&gt; I2C interface via register read response (trigger: I2C read)</w:t>
      </w:r>
    </w:p>
    <w:bookmarkEnd w:id="75"/>
    <w:bookmarkStart w:id="76" w:name="X1b4cdcca82f663d8a156fd5f1b60e01db8191b7"/>
    <w:p>
      <w:pPr>
        <w:pStyle w:val="Heading3"/>
      </w:pPr>
      <w:r>
        <w:t xml:space="preserve">6.2 Transition behavior across domains</w:t>
      </w:r>
    </w:p>
    <w:bookmarkEnd w:id="76"/>
    <w:bookmarkStart w:id="77" w:name="X080361323efe0ba74900c9dfded29edf33eee44"/>
    <w:p>
      <w:pPr>
        <w:pStyle w:val="Heading3"/>
      </w:pPr>
      <w:r>
        <w:t xml:space="preserve">6.3 Clock and synchronization across domains</w:t>
      </w:r>
    </w:p>
    <w:bookmarkEnd w:id="77"/>
    <w:bookmarkStart w:id="79" w:name="Xd0eced42da074bdf78d78697172b8b851ea15e8"/>
    <w:p>
      <w:pPr>
        <w:pStyle w:val="Heading3"/>
      </w:pPr>
      <w:r>
        <w:t xml:space="preserve">6.4 Power sequencing across domains</w:t>
      </w:r>
    </w:p>
    <w:bookmarkStart w:id="78" w:name="power-domain-architecture"/>
    <w:p>
      <w:pPr>
        <w:pStyle w:val="Heading4"/>
      </w:pPr>
      <w:r>
        <w:t xml:space="preserve">Power-domain architecture</w:t>
      </w:r>
    </w:p>
    <w:p>
      <w:pPr>
        <w:pStyle w:val="Compact"/>
        <w:numPr>
          <w:ilvl w:val="0"/>
          <w:numId w:val="1014"/>
        </w:numPr>
      </w:pPr>
      <w:r>
        <w:t xml:space="preserve">Domain: PD_TOP1V2</w:t>
      </w:r>
    </w:p>
    <w:p>
      <w:pPr>
        <w:pStyle w:val="Compact"/>
        <w:numPr>
          <w:ilvl w:val="0"/>
          <w:numId w:val="1014"/>
        </w:numPr>
      </w:pPr>
      <w:r>
        <w:t xml:space="preserve">Included blocks: ADSP, multi_channel_fifo, i2c_spi_slave, main_controller_top, senshub_mst_i2c, pad_mux, pmu, stbio1_regmap, scan_out_mux, xbar_afe.</w:t>
      </w:r>
    </w:p>
    <w:p>
      <w:pPr>
        <w:pStyle w:val="Compact"/>
        <w:numPr>
          <w:ilvl w:val="0"/>
          <w:numId w:val="1014"/>
        </w:numPr>
      </w:pPr>
      <w:r>
        <w:t xml:space="preserve">Domain type: Always-On.</w:t>
      </w:r>
    </w:p>
    <w:p>
      <w:pPr>
        <w:pStyle w:val="Compact"/>
        <w:numPr>
          <w:ilvl w:val="0"/>
          <w:numId w:val="1014"/>
        </w:numPr>
      </w:pPr>
      <w:r>
        <w:t xml:space="preserve">Control mode: HW.</w:t>
      </w:r>
    </w:p>
    <w:p>
      <w:pPr>
        <w:pStyle w:val="Compact"/>
        <w:numPr>
          <w:ilvl w:val="0"/>
          <w:numId w:val="1014"/>
        </w:numPr>
      </w:pPr>
      <w:r>
        <w:t xml:space="preserve">Notes: Always active. -.</w:t>
      </w:r>
    </w:p>
    <w:p>
      <w:pPr>
        <w:pStyle w:val="Compact"/>
        <w:numPr>
          <w:ilvl w:val="0"/>
          <w:numId w:val="1014"/>
        </w:numPr>
      </w:pPr>
      <w:r>
        <w:t xml:space="preserve">Functions: Ensures continuity of critical functions (Data Storage Mode, Sensor-Hub acquisition, FIFO read and write data, Elaboration Mode with ADSP only). -.</w:t>
      </w:r>
    </w:p>
    <w:p>
      <w:pPr>
        <w:pStyle w:val="Compact"/>
        <w:numPr>
          <w:ilvl w:val="0"/>
          <w:numId w:val="1014"/>
        </w:numPr>
      </w:pPr>
      <w:r>
        <w:t xml:space="preserve">Characteristics: Never powered down. -.</w:t>
      </w:r>
    </w:p>
    <w:p>
      <w:pPr>
        <w:pStyle w:val="Compact"/>
        <w:numPr>
          <w:ilvl w:val="0"/>
          <w:numId w:val="1014"/>
        </w:numPr>
      </w:pPr>
      <w:r>
        <w:t xml:space="preserve">Domain: PD_STREDL</w:t>
      </w:r>
    </w:p>
    <w:p>
      <w:pPr>
        <w:pStyle w:val="Compact"/>
        <w:numPr>
          <w:ilvl w:val="0"/>
          <w:numId w:val="1014"/>
        </w:numPr>
      </w:pPr>
      <w:r>
        <w:t xml:space="preserve">Included blocks: STREDL.</w:t>
      </w:r>
    </w:p>
    <w:p>
      <w:pPr>
        <w:pStyle w:val="Compact"/>
        <w:numPr>
          <w:ilvl w:val="0"/>
          <w:numId w:val="1014"/>
        </w:numPr>
      </w:pPr>
      <w:r>
        <w:t xml:space="preserve">Domain type: Switchable.</w:t>
      </w:r>
    </w:p>
    <w:p>
      <w:pPr>
        <w:pStyle w:val="Compact"/>
        <w:numPr>
          <w:ilvl w:val="0"/>
          <w:numId w:val="1014"/>
        </w:numPr>
      </w:pPr>
      <w:r>
        <w:t xml:space="preserve">Control mode: SW.</w:t>
      </w:r>
    </w:p>
    <w:p>
      <w:pPr>
        <w:pStyle w:val="Compact"/>
        <w:numPr>
          <w:ilvl w:val="0"/>
          <w:numId w:val="1014"/>
        </w:numPr>
      </w:pPr>
      <w:r>
        <w:t xml:space="preserve">Notes: Can be powered down in idle. -.</w:t>
      </w:r>
    </w:p>
    <w:p>
      <w:pPr>
        <w:pStyle w:val="Compact"/>
        <w:numPr>
          <w:ilvl w:val="0"/>
          <w:numId w:val="1014"/>
        </w:numPr>
      </w:pPr>
      <w:r>
        <w:t xml:space="preserve">Functions: Powers the STREDL core and associated cache. -.</w:t>
      </w:r>
    </w:p>
    <w:p>
      <w:pPr>
        <w:pStyle w:val="Compact"/>
        <w:numPr>
          <w:ilvl w:val="0"/>
          <w:numId w:val="1014"/>
        </w:numPr>
      </w:pPr>
      <w:r>
        <w:t xml:space="preserve">Characteristics: Can be powered down when STREDL is not in use. -.</w:t>
      </w:r>
    </w:p>
    <w:p>
      <w:pPr>
        <w:pStyle w:val="Compact"/>
        <w:numPr>
          <w:ilvl w:val="0"/>
          <w:numId w:val="1014"/>
        </w:numPr>
      </w:pPr>
      <w:r>
        <w:t xml:space="preserve">Domain: PD_TOP3V3</w:t>
      </w:r>
    </w:p>
    <w:p>
      <w:pPr>
        <w:pStyle w:val="Compact"/>
        <w:numPr>
          <w:ilvl w:val="0"/>
          <w:numId w:val="1014"/>
        </w:numPr>
      </w:pPr>
      <w:r>
        <w:t xml:space="preserve">Included blocks: H9A_MEM_OTP_ PUMP_85AL05_2.</w:t>
      </w:r>
    </w:p>
    <w:p>
      <w:pPr>
        <w:pStyle w:val="Compact"/>
        <w:numPr>
          <w:ilvl w:val="0"/>
          <w:numId w:val="1014"/>
        </w:numPr>
      </w:pPr>
      <w:r>
        <w:t xml:space="preserve">Domain type: Always-On.</w:t>
      </w:r>
    </w:p>
    <w:p>
      <w:pPr>
        <w:pStyle w:val="Compact"/>
        <w:numPr>
          <w:ilvl w:val="0"/>
          <w:numId w:val="1014"/>
        </w:numPr>
      </w:pPr>
      <w:r>
        <w:t xml:space="preserve">Voltage: 3A.</w:t>
      </w:r>
    </w:p>
    <w:p>
      <w:pPr>
        <w:pStyle w:val="Compact"/>
        <w:numPr>
          <w:ilvl w:val="0"/>
          <w:numId w:val="1014"/>
        </w:numPr>
      </w:pPr>
      <w:r>
        <w:t xml:space="preserve">Control mode: HW.</w:t>
      </w:r>
    </w:p>
    <w:p>
      <w:pPr>
        <w:pStyle w:val="Compact"/>
        <w:numPr>
          <w:ilvl w:val="0"/>
          <w:numId w:val="1014"/>
        </w:numPr>
      </w:pPr>
      <w:r>
        <w:t xml:space="preserve">Notes: Always active. -.</w:t>
      </w:r>
    </w:p>
    <w:p>
      <w:pPr>
        <w:pStyle w:val="Compact"/>
        <w:numPr>
          <w:ilvl w:val="0"/>
          <w:numId w:val="1014"/>
        </w:numPr>
      </w:pPr>
      <w:r>
        <w:t xml:space="preserve">Functions: power supply to the OTP memory block. -.</w:t>
      </w:r>
    </w:p>
    <w:p>
      <w:pPr>
        <w:pStyle w:val="Compact"/>
        <w:numPr>
          <w:ilvl w:val="0"/>
          <w:numId w:val="1014"/>
        </w:numPr>
      </w:pPr>
      <w:r>
        <w:t xml:space="preserve">Characteristics: Never powered down. It provides 4.7V of power supply to the OTP memory block during programming (write) operations -.</w:t>
      </w:r>
    </w:p>
    <w:p>
      <w:pPr>
        <w:pStyle w:val="Compact"/>
        <w:numPr>
          <w:ilvl w:val="0"/>
          <w:numId w:val="1014"/>
        </w:numPr>
      </w:pPr>
      <w:r>
        <w:t xml:space="preserve">Domain: PD_TOPIO</w:t>
      </w:r>
    </w:p>
    <w:p>
      <w:pPr>
        <w:pStyle w:val="Compact"/>
        <w:numPr>
          <w:ilvl w:val="0"/>
          <w:numId w:val="1014"/>
        </w:numPr>
      </w:pPr>
      <w:r>
        <w:t xml:space="preserve">Included blocks: level_shifter_sel.</w:t>
      </w:r>
    </w:p>
    <w:p>
      <w:pPr>
        <w:pStyle w:val="Compact"/>
        <w:numPr>
          <w:ilvl w:val="0"/>
          <w:numId w:val="1014"/>
        </w:numPr>
      </w:pPr>
      <w:r>
        <w:t xml:space="preserve">Domain type: Always-On.</w:t>
      </w:r>
    </w:p>
    <w:p>
      <w:pPr>
        <w:pStyle w:val="Compact"/>
        <w:numPr>
          <w:ilvl w:val="0"/>
          <w:numId w:val="1014"/>
        </w:numPr>
      </w:pPr>
      <w:r>
        <w:t xml:space="preserve">Control mode: HW.</w:t>
      </w:r>
    </w:p>
    <w:p>
      <w:pPr>
        <w:pStyle w:val="Compact"/>
        <w:numPr>
          <w:ilvl w:val="0"/>
          <w:numId w:val="1014"/>
        </w:numPr>
      </w:pPr>
      <w:r>
        <w:t xml:space="preserve">Functions: Powers communication PAD -.</w:t>
      </w:r>
    </w:p>
    <w:p>
      <w:pPr>
        <w:pStyle w:val="Compact"/>
        <w:numPr>
          <w:ilvl w:val="0"/>
          <w:numId w:val="1014"/>
        </w:numPr>
      </w:pPr>
      <w:r>
        <w:t xml:space="preserve">Characteristics: Never powered down. -.</w:t>
      </w:r>
    </w:p>
    <w:bookmarkEnd w:id="78"/>
    <w:bookmarkEnd w:id="79"/>
    <w:bookmarkEnd w:id="80"/>
    <w:bookmarkStart w:id="85" w:name="Xfcb5a233f46d377bf40f8267b7211ce22963393"/>
    <w:p>
      <w:pPr>
        <w:pStyle w:val="Heading2"/>
      </w:pPr>
      <w:r>
        <w:t xml:space="preserve">7. Validation and qualification requirements</w:t>
      </w:r>
    </w:p>
    <w:bookmarkStart w:id="81" w:name="X6737a857bd71c3e3782196643a8022817e406b6"/>
    <w:p>
      <w:pPr>
        <w:pStyle w:val="Heading3"/>
      </w:pPr>
      <w:r>
        <w:t xml:space="preserve">7.1 Verification scope</w:t>
      </w:r>
    </w:p>
    <w:bookmarkEnd w:id="81"/>
    <w:bookmarkStart w:id="82" w:name="X05f65aefc1b146a6d6c60ecb809cbbd8ee320d2"/>
    <w:p>
      <w:pPr>
        <w:pStyle w:val="Heading3"/>
      </w:pPr>
      <w:r>
        <w:t xml:space="preserve">7.2 Pass/fail criteria</w:t>
      </w:r>
    </w:p>
    <w:bookmarkEnd w:id="82"/>
    <w:bookmarkStart w:id="83" w:name="Xf081b34bc11b809f2bb9a77216a2a0a9edb90ef"/>
    <w:p>
      <w:pPr>
        <w:pStyle w:val="Heading3"/>
      </w:pPr>
      <w:r>
        <w:t xml:space="preserve">7.3 GR&amp;R and guard band</w:t>
      </w:r>
    </w:p>
    <w:bookmarkEnd w:id="83"/>
    <w:bookmarkStart w:id="84" w:name="Xab2fc87e1587b1cd261eb749144d26314aff16e"/>
    <w:p>
      <w:pPr>
        <w:pStyle w:val="Heading3"/>
      </w:pPr>
      <w:r>
        <w:t xml:space="preserve">7.4 Validation configurations</w:t>
      </w:r>
    </w:p>
    <w:bookmarkEnd w:id="84"/>
    <w:bookmarkEnd w:id="85"/>
    <w:bookmarkStart w:id="94" w:name="X7b13338c6dc942e6a2b82be5d1f770c6adf5773"/>
    <w:p>
      <w:pPr>
        <w:pStyle w:val="Heading2"/>
      </w:pPr>
      <w:r>
        <w:t xml:space="preserve">8. Requirement identification and traceability</w:t>
      </w:r>
    </w:p>
    <w:bookmarkStart w:id="86" w:name="X42945a640b2183082c467c26e7678f2d3a991bb"/>
    <w:p>
      <w:pPr>
        <w:pStyle w:val="Heading3"/>
      </w:pPr>
      <w:r>
        <w:t xml:space="preserve">8.1 Numbering convention</w:t>
      </w:r>
    </w:p>
    <w:bookmarkEnd w:id="86"/>
    <w:bookmarkStart w:id="87" w:name="X5e8a2a3c9f4f52b239608cd6e578c50dcf884e7"/>
    <w:p>
      <w:pPr>
        <w:pStyle w:val="Heading3"/>
      </w:pPr>
      <w:r>
        <w:t xml:space="preserve">8.2 Traceability contract</w:t>
      </w:r>
    </w:p>
    <w:bookmarkEnd w:id="87"/>
    <w:bookmarkStart w:id="93" w:name="X1587c79b7859e303ab432676b542ed18dc7703b"/>
    <w:p>
      <w:pPr>
        <w:pStyle w:val="Heading3"/>
      </w:pPr>
      <w:r>
        <w:t xml:space="preserve">8.3 Residual requirement catalog by domain</w:t>
      </w:r>
    </w:p>
    <w:bookmarkStart w:id="88" w:name="system-requirements"/>
    <w:p>
      <w:pPr>
        <w:pStyle w:val="Heading4"/>
      </w:pPr>
      <w:r>
        <w:t xml:space="preserve">System requirements</w:t>
      </w:r>
    </w:p>
    <w:p>
      <w:pPr>
        <w:pStyle w:val="Compact"/>
        <w:numPr>
          <w:ilvl w:val="0"/>
          <w:numId w:val="1015"/>
        </w:numPr>
      </w:pPr>
      <w:r>
        <w:t xml:space="preserve">No residual unmapped requirements for this domain (mapped items are captured in project-specific sub-block requirement paragraphs).</w:t>
      </w:r>
    </w:p>
    <w:bookmarkEnd w:id="88"/>
    <w:bookmarkStart w:id="89" w:name="analog-requirements"/>
    <w:p>
      <w:pPr>
        <w:pStyle w:val="Heading4"/>
      </w:pPr>
      <w:r>
        <w:t xml:space="preserve">Analog requirements</w:t>
      </w:r>
    </w:p>
    <w:p>
      <w:pPr>
        <w:pStyle w:val="Compact"/>
        <w:numPr>
          <w:ilvl w:val="0"/>
          <w:numId w:val="1016"/>
        </w:numPr>
      </w:pPr>
      <w:r>
        <w:t xml:space="preserve">No residual unmapped requirements for this domain (mapped items are captured in project-specific sub-block requirement paragraphs).</w:t>
      </w:r>
    </w:p>
    <w:bookmarkEnd w:id="89"/>
    <w:bookmarkStart w:id="90" w:name="digital-requirements"/>
    <w:p>
      <w:pPr>
        <w:pStyle w:val="Heading4"/>
      </w:pPr>
      <w:r>
        <w:t xml:space="preserve">Digital requirements</w:t>
      </w:r>
    </w:p>
    <w:p>
      <w:pPr>
        <w:pStyle w:val="Compact"/>
        <w:numPr>
          <w:ilvl w:val="0"/>
          <w:numId w:val="1017"/>
        </w:numPr>
      </w:pPr>
      <w:r>
        <w:t xml:space="preserve">No residual unmapped requirements for this domain (mapped items are captured in project-specific sub-block requirement paragraphs).</w:t>
      </w:r>
    </w:p>
    <w:bookmarkEnd w:id="90"/>
    <w:bookmarkStart w:id="91" w:name="cross-domain-requirements"/>
    <w:p>
      <w:pPr>
        <w:pStyle w:val="Heading4"/>
      </w:pPr>
      <w:r>
        <w:t xml:space="preserve">Cross-domain requirements</w:t>
      </w:r>
    </w:p>
    <w:p>
      <w:pPr>
        <w:pStyle w:val="Compact"/>
        <w:numPr>
          <w:ilvl w:val="0"/>
          <w:numId w:val="1018"/>
        </w:numPr>
      </w:pPr>
      <w:r>
        <w:t xml:space="preserve">No residual unmapped requirements for this domain (mapped items are captured in project-specific sub-block requirement paragraphs).</w:t>
      </w:r>
    </w:p>
    <w:bookmarkEnd w:id="91"/>
    <w:bookmarkStart w:id="92" w:name="use-case-user-specific"/>
    <w:p>
      <w:pPr>
        <w:pStyle w:val="Heading4"/>
      </w:pPr>
      <w:r>
        <w:t xml:space="preserve">Use case, user specific</w:t>
      </w:r>
    </w:p>
    <w:p>
      <w:pPr>
        <w:pStyle w:val="Compact"/>
        <w:numPr>
          <w:ilvl w:val="0"/>
          <w:numId w:val="1019"/>
        </w:numPr>
      </w:pPr>
      <w:r>
        <w:t xml:space="preserve">None</w:t>
      </w:r>
    </w:p>
    <w:bookmarkEnd w:id="92"/>
    <w:bookmarkEnd w:id="93"/>
    <w:bookmarkEnd w:id="94"/>
    <w:bookmarkStart w:id="95" w:name="X837f52c6a39e324046d3f79cf33176ee8f016ef"/>
    <w:p>
      <w:pPr>
        <w:pStyle w:val="Heading2"/>
      </w:pPr>
      <w:r>
        <w:t xml:space="preserve">9. Project-specific block sections</w:t>
      </w:r>
    </w:p>
    <w:p>
      <w:pPr>
        <w:pStyle w:val="FirstParagraph"/>
      </w:pPr>
      <w:r>
        <w:t xml:space="preserve">This section summarizes system-level functions and digital/analog interactions. Block-specific requirements, source I/O tables, ports, pins, clocks, and resets are owned by DRS or ARS and the corresponding IPOS specifications.</w:t>
      </w:r>
    </w:p>
    <w:p>
      <w:pPr>
        <w:pStyle w:val="BodyText"/>
      </w:pPr>
      <w:r>
        <w:t xml:space="preserve"> </w:t>
      </w:r>
    </w:p>
    <w:bookmarkEnd w:id="95"/>
    <w:bookmarkStart w:id="96" w:name="assumptions-and-tbd"/>
    <w:p>
      <w:pPr>
        <w:pStyle w:val="Heading2"/>
      </w:pPr>
      <w:r>
        <w:t xml:space="preserve">Assumptions and TBD</w:t>
      </w:r>
    </w:p>
    <w:p>
      <w:pPr>
        <w:pStyle w:val="Compact"/>
        <w:numPr>
          <w:ilvl w:val="0"/>
          <w:numId w:val="1020"/>
        </w:numPr>
      </w:pPr>
      <w:r>
        <w:t xml:space="preserve">ASSUME-001: Verification environments include controllable stimulus for all listed operating modes.</w:t>
      </w:r>
    </w:p>
    <w:p>
      <w:pPr>
        <w:pStyle w:val="Compact"/>
        <w:numPr>
          <w:ilvl w:val="0"/>
          <w:numId w:val="1020"/>
        </w:numPr>
      </w:pPr>
      <w:r>
        <w:t xml:space="preserve">TBD-001: Unassigned requirements in traceability matrix need architectural owner review.</w:t>
      </w:r>
    </w:p>
    <w:bookmarkEnd w:id="96"/>
    <w:bookmarkStart w:id="97" w:name="X795f7dcc139c07128ade036cddb2c6e557b47f2"/>
    <w:p>
      <w:pPr>
        <w:pStyle w:val="Heading2"/>
      </w:pPr>
      <w:r>
        <w:t xml:space="preserve">10. Missing Inputs</w:t>
      </w:r>
    </w:p>
    <w:p>
      <w:pPr>
        <w:pStyle w:val="Compact"/>
        <w:numPr>
          <w:ilvl w:val="0"/>
          <w:numId w:val="1021"/>
        </w:numPr>
      </w:pPr>
      <w:r>
        <w:t xml:space="preserve">None</w:t>
      </w:r>
    </w:p>
    <w:bookmarkEnd w:id="97"/>
    <w:bookmarkEnd w:id="98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2026-10-01T15:44:08Z</dcterms:created>
  <dcterms:modified xsi:type="dcterms:W3CDTF">2026-10-01T15:44:08Z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