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5.png" ContentType="image/png"/>
  <Override PartName="/word/media/image1.jpeg" ContentType="image/jpeg"/>
  <Override PartName="/word/media/image2.jpeg" ContentType="image/jpeg"/>
  <Override PartName="/word/media/image3.png" ContentType="image/png"/>
  <Override PartName="/word/media/image4.svg" ContentType="image/svg+xml"/>
  <Override PartName="/word/media/image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analog-requirements-specification"/>
    <w:p>
      <w:pPr>
        <w:pStyle w:val="Heading1"/>
      </w:pPr>
      <w:r>
        <w:t xml:space="preserve">Analog Requirements Specification</w:t>
      </w:r>
    </w:p>
    <w:bookmarkStart w:id="26" w:name="stbio"/>
    <w:p>
      <w:pPr>
        <w:pStyle w:val="Heading2"/>
      </w:pPr>
      <w:r>
        <w:t xml:space="preserve">STBIO</w:t>
      </w:r>
    </w:p>
    <w:p>
      <w:pPr>
        <w:pStyle w:val="FirstParagraph"/>
      </w:pPr>
      <w:r>
        <w:t xml:space="preserve">Author: SRS Gen Spec Agent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Date: 2026-08-27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Source specification: C:/Users/iannuzza/LOCAL_PROJ/Github_copilot_proj/STBIO_AI/specs/DDS_STBIO1.pdf</w:t>
      </w:r>
    </w:p>
    <w:p>
      <w:pPr>
        <w:pStyle w:val="BodyText"/>
      </w:pPr>
      <w:r>
        <w:t xml:space="preserve"> </w:t>
      </w:r>
    </w:p>
    <w:bookmarkEnd w:id="26"/>
    <w:bookmarkStart w:id="37" w:name="X00c53f9efd41cb60267e5a6c5d324e4b2a19070"/>
    <w:p>
      <w:pPr>
        <w:pStyle w:val="Heading2"/>
      </w:pPr>
      <w:r>
        <w:t xml:space="preserve">0. Document Navigation</w:t>
      </w:r>
    </w:p>
    <w:bookmarkStart w:id="27" w:name="Xe61ce6208545514043fa20f57335c16343cb42b"/>
    <w:p>
      <w:pPr>
        <w:pStyle w:val="Heading3"/>
      </w:pPr>
      <w:r>
        <w:t xml:space="preserve">0.1 Table of contents</w:t>
      </w:r>
    </w:p>
    <w:p>
      <w:pPr>
        <w:pStyle w:val="Compact"/>
        <w:numPr>
          <w:ilvl w:val="0"/>
          <w:numId w:val="1001"/>
        </w:numPr>
      </w:pPr>
      <w:hyperlink w:anchor="stbio">
        <w:r>
          <w:rPr>
            <w:rStyle w:val="Hyperlink"/>
          </w:rPr>
          <w:t xml:space="preserve">STBIO</w:t>
        </w:r>
      </w:hyperlink>
    </w:p>
    <w:p>
      <w:pPr>
        <w:pStyle w:val="Compact"/>
        <w:numPr>
          <w:ilvl w:val="0"/>
          <w:numId w:val="1001"/>
        </w:numPr>
      </w:pPr>
      <w:hyperlink w:anchor="X00c53f9efd41cb60267e5a6c5d324e4b2a19070">
        <w:r>
          <w:rPr>
            <w:rStyle w:val="Hyperlink"/>
          </w:rPr>
          <w:t xml:space="preserve">0. Document Navigation</w:t>
        </w:r>
      </w:hyperlink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1. Introduction</w:t>
        </w:r>
      </w:hyperlink>
    </w:p>
    <w:p>
      <w:pPr>
        <w:pStyle w:val="Compact"/>
        <w:numPr>
          <w:ilvl w:val="0"/>
          <w:numId w:val="1001"/>
        </w:numPr>
      </w:pPr>
      <w:hyperlink w:anchor="Xe94c4103db6bb764aa3b798144b782dac27f424">
        <w:r>
          <w:rPr>
            <w:rStyle w:val="Hyperlink"/>
          </w:rPr>
          <w:t xml:space="preserve">1.1 Purpose</w:t>
        </w:r>
      </w:hyperlink>
    </w:p>
    <w:p>
      <w:pPr>
        <w:pStyle w:val="Compact"/>
        <w:numPr>
          <w:ilvl w:val="0"/>
          <w:numId w:val="1001"/>
        </w:numPr>
      </w:pPr>
      <w:hyperlink w:anchor="X3378fde8998068a01e48267892e5cd923e9bc15">
        <w:r>
          <w:rPr>
            <w:rStyle w:val="Hyperlink"/>
          </w:rPr>
          <w:t xml:space="preserve">1.2 Scope</w:t>
        </w:r>
      </w:hyperlink>
    </w:p>
    <w:p>
      <w:pPr>
        <w:pStyle w:val="Compact"/>
        <w:numPr>
          <w:ilvl w:val="0"/>
          <w:numId w:val="1001"/>
        </w:numPr>
      </w:pPr>
      <w:hyperlink w:anchor="Xe7c142496eda3f769d9e13f84aad1487c7a2ad9">
        <w:r>
          <w:rPr>
            <w:rStyle w:val="Hyperlink"/>
          </w:rPr>
          <w:t xml:space="preserve">1.3 Intended audience</w:t>
        </w:r>
      </w:hyperlink>
    </w:p>
    <w:p>
      <w:pPr>
        <w:pStyle w:val="Compact"/>
        <w:numPr>
          <w:ilvl w:val="0"/>
          <w:numId w:val="1001"/>
        </w:numPr>
      </w:pPr>
      <w:hyperlink w:anchor="Xf8afe345782cbed00f3c2830abd05d0a5ea4b9a">
        <w:r>
          <w:rPr>
            <w:rStyle w:val="Hyperlink"/>
          </w:rPr>
          <w:t xml:space="preserve">1.4 References</w:t>
        </w:r>
      </w:hyperlink>
    </w:p>
    <w:p>
      <w:pPr>
        <w:pStyle w:val="Compact"/>
        <w:numPr>
          <w:ilvl w:val="0"/>
          <w:numId w:val="1001"/>
        </w:numPr>
      </w:pPr>
      <w:hyperlink w:anchor="X02d8767d2d0a8f1812496a613f2cc9414c1fa47">
        <w:r>
          <w:rPr>
            <w:rStyle w:val="Hyperlink"/>
          </w:rPr>
          <w:t xml:space="preserve">2. Definitions and terminology</w:t>
        </w:r>
      </w:hyperlink>
    </w:p>
    <w:p>
      <w:pPr>
        <w:pStyle w:val="Compact"/>
        <w:numPr>
          <w:ilvl w:val="0"/>
          <w:numId w:val="1001"/>
        </w:numPr>
      </w:pPr>
      <w:hyperlink w:anchor="Xee7f7da69e6adf9ca029503f830f76ba063a68a">
        <w:r>
          <w:rPr>
            <w:rStyle w:val="Hyperlink"/>
          </w:rPr>
          <w:t xml:space="preserve">3. System context for analog behavior</w:t>
        </w:r>
      </w:hyperlink>
    </w:p>
    <w:p>
      <w:pPr>
        <w:pStyle w:val="Compact"/>
        <w:numPr>
          <w:ilvl w:val="0"/>
          <w:numId w:val="1001"/>
        </w:numPr>
      </w:pPr>
      <w:hyperlink w:anchor="Xc82f32e177eb829a66a29305f64453fcbae633d">
        <w:r>
          <w:rPr>
            <w:rStyle w:val="Hyperlink"/>
          </w:rPr>
          <w:t xml:space="preserve">4. Analog requirements</w:t>
        </w:r>
      </w:hyperlink>
    </w:p>
    <w:p>
      <w:pPr>
        <w:pStyle w:val="Compact"/>
        <w:numPr>
          <w:ilvl w:val="0"/>
          <w:numId w:val="1001"/>
        </w:numPr>
      </w:pPr>
      <w:hyperlink w:anchor="X73838ebe4a6fc85f137f6c8bb8c37b9332570dc">
        <w:r>
          <w:rPr>
            <w:rStyle w:val="Hyperlink"/>
          </w:rPr>
          <w:t xml:space="preserve">4.1 Analog block list</w:t>
        </w:r>
      </w:hyperlink>
    </w:p>
    <w:p>
      <w:pPr>
        <w:pStyle w:val="Compact"/>
        <w:numPr>
          <w:ilvl w:val="0"/>
          <w:numId w:val="1001"/>
        </w:numPr>
      </w:pPr>
      <w:hyperlink w:anchor="Xf5c1c06e36c87015dda878782931870eb54048b">
        <w:r>
          <w:rPr>
            <w:rStyle w:val="Hyperlink"/>
          </w:rPr>
          <w:t xml:space="preserve">4.2 Analog I/O characteristics</w:t>
        </w:r>
      </w:hyperlink>
    </w:p>
    <w:p>
      <w:pPr>
        <w:pStyle w:val="Compact"/>
        <w:numPr>
          <w:ilvl w:val="0"/>
          <w:numId w:val="1001"/>
        </w:numPr>
      </w:pPr>
      <w:hyperlink w:anchor="X1bb181e9ad1d87dc68e0a8e55f859ee793a0ed2">
        <w:r>
          <w:rPr>
            <w:rStyle w:val="Hyperlink"/>
          </w:rPr>
          <w:t xml:space="preserve">4.3 Sampling and conversion</w:t>
        </w:r>
      </w:hyperlink>
    </w:p>
    <w:p>
      <w:pPr>
        <w:pStyle w:val="Compact"/>
        <w:numPr>
          <w:ilvl w:val="0"/>
          <w:numId w:val="1001"/>
        </w:numPr>
      </w:pPr>
      <w:hyperlink w:anchor="X0118a4df21ba5575661ffa2467351b029c3a46f">
        <w:r>
          <w:rPr>
            <w:rStyle w:val="Hyperlink"/>
          </w:rPr>
          <w:t xml:space="preserve">4.4 Analog operating modes</w:t>
        </w:r>
      </w:hyperlink>
    </w:p>
    <w:p>
      <w:pPr>
        <w:pStyle w:val="Compact"/>
        <w:numPr>
          <w:ilvl w:val="0"/>
          <w:numId w:val="1001"/>
        </w:numPr>
      </w:pPr>
      <w:hyperlink w:anchor="Xf7f252356e62931665b9e8ee4fed50e7ff5b9ee">
        <w:r>
          <w:rPr>
            <w:rStyle w:val="Hyperlink"/>
          </w:rPr>
          <w:t xml:space="preserve">4.5 Analog calibration and test requirements</w:t>
        </w:r>
      </w:hyperlink>
    </w:p>
    <w:p>
      <w:pPr>
        <w:pStyle w:val="Compact"/>
        <w:numPr>
          <w:ilvl w:val="0"/>
          <w:numId w:val="1001"/>
        </w:numPr>
      </w:pPr>
      <w:hyperlink w:anchor="X418b4d8dd7527d4141a381ca7f2d748c3e7edde">
        <w:r>
          <w:rPr>
            <w:rStyle w:val="Hyperlink"/>
          </w:rPr>
          <w:t xml:space="preserve">4.6 Analog performance requirements</w:t>
        </w:r>
      </w:hyperlink>
    </w:p>
    <w:p>
      <w:pPr>
        <w:pStyle w:val="Compact"/>
        <w:numPr>
          <w:ilvl w:val="0"/>
          <w:numId w:val="1001"/>
        </w:numPr>
      </w:pPr>
      <w:hyperlink w:anchor="Xc26db79f3514a016dff58de0917d7f6d8e81fab">
        <w:r>
          <w:rPr>
            <w:rStyle w:val="Hyperlink"/>
          </w:rPr>
          <w:t xml:space="preserve">5. Validation and qualification requirements</w:t>
        </w:r>
      </w:hyperlink>
    </w:p>
    <w:p>
      <w:pPr>
        <w:pStyle w:val="Compact"/>
        <w:numPr>
          <w:ilvl w:val="0"/>
          <w:numId w:val="1001"/>
        </w:numPr>
      </w:pPr>
      <w:hyperlink w:anchor="X045f6730a5caea101ea480f71820b59e27ae49d">
        <w:r>
          <w:rPr>
            <w:rStyle w:val="Hyperlink"/>
          </w:rPr>
          <w:t xml:space="preserve">6. Requirement identification and traceability</w:t>
        </w:r>
      </w:hyperlink>
    </w:p>
    <w:p>
      <w:pPr>
        <w:pStyle w:val="Compact"/>
        <w:numPr>
          <w:ilvl w:val="0"/>
          <w:numId w:val="1001"/>
        </w:numPr>
      </w:pPr>
      <w:hyperlink w:anchor="Xf652d4e185f2f67413a91e7b4dc92936f66c316">
        <w:r>
          <w:rPr>
            <w:rStyle w:val="Hyperlink"/>
          </w:rPr>
          <w:t xml:space="preserve">6.1 Numbering convention</w:t>
        </w:r>
      </w:hyperlink>
    </w:p>
    <w:p>
      <w:pPr>
        <w:pStyle w:val="Compact"/>
        <w:numPr>
          <w:ilvl w:val="0"/>
          <w:numId w:val="1001"/>
        </w:numPr>
      </w:pPr>
      <w:hyperlink w:anchor="X59dcd46a5be5290420312e376adbe926569db05">
        <w:r>
          <w:rPr>
            <w:rStyle w:val="Hyperlink"/>
          </w:rPr>
          <w:t xml:space="preserve">6.2 Traceability contract</w:t>
        </w:r>
      </w:hyperlink>
    </w:p>
    <w:p>
      <w:pPr>
        <w:pStyle w:val="Compact"/>
        <w:numPr>
          <w:ilvl w:val="0"/>
          <w:numId w:val="1001"/>
        </w:numPr>
      </w:pPr>
      <w:hyperlink w:anchor="Xa693d57e6b9ffb687c6c93de5d6eac96e9c5c01">
        <w:r>
          <w:rPr>
            <w:rStyle w:val="Hyperlink"/>
          </w:rPr>
          <w:t xml:space="preserve">6.3 Requirement catalog</w:t>
        </w:r>
      </w:hyperlink>
    </w:p>
    <w:p>
      <w:pPr>
        <w:pStyle w:val="Compact"/>
        <w:numPr>
          <w:ilvl w:val="0"/>
          <w:numId w:val="1001"/>
        </w:numPr>
      </w:pPr>
      <w:hyperlink w:anchor="ispu-integration">
        <w:r>
          <w:rPr>
            <w:rStyle w:val="Hyperlink"/>
          </w:rPr>
          <w:t xml:space="preserve">6.3.1 ISPU integration</w:t>
        </w:r>
      </w:hyperlink>
    </w:p>
    <w:p>
      <w:pPr>
        <w:pStyle w:val="Compact"/>
        <w:numPr>
          <w:ilvl w:val="0"/>
          <w:numId w:val="1001"/>
        </w:numPr>
      </w:pPr>
      <w:hyperlink w:anchor="measurement-cycle-examples">
        <w:r>
          <w:rPr>
            <w:rStyle w:val="Hyperlink"/>
          </w:rPr>
          <w:t xml:space="preserve">6.3.2 Measurement Cycle Examples</w:t>
        </w:r>
      </w:hyperlink>
    </w:p>
    <w:p>
      <w:pPr>
        <w:pStyle w:val="Compact"/>
        <w:numPr>
          <w:ilvl w:val="0"/>
          <w:numId w:val="1001"/>
        </w:numPr>
      </w:pPr>
      <w:hyperlink w:anchor="sensorhub-integration">
        <w:r>
          <w:rPr>
            <w:rStyle w:val="Hyperlink"/>
          </w:rPr>
          <w:t xml:space="preserve">6.3.3 SensorHub integration</w:t>
        </w:r>
      </w:hyperlink>
    </w:p>
    <w:p>
      <w:pPr>
        <w:pStyle w:val="Compact"/>
        <w:numPr>
          <w:ilvl w:val="0"/>
          <w:numId w:val="1001"/>
        </w:numPr>
      </w:pPr>
      <w:hyperlink w:anchor="Xd04b0ebac4947287a71e0b1ca27cf85132dbf00">
        <w:r>
          <w:rPr>
            <w:rStyle w:val="Hyperlink"/>
          </w:rPr>
          <w:t xml:space="preserve">7. Project-specific analog block sections</w:t>
        </w:r>
      </w:hyperlink>
    </w:p>
    <w:p>
      <w:pPr>
        <w:pStyle w:val="Compact"/>
        <w:numPr>
          <w:ilvl w:val="0"/>
          <w:numId w:val="1001"/>
        </w:numPr>
      </w:pPr>
      <w:hyperlink w:anchor="X6588c2fef3e19db11895ab3d240d188b09b14db">
        <w:r>
          <w:rPr>
            <w:rStyle w:val="Hyperlink"/>
          </w:rPr>
          <w:t xml:space="preserve">8. Assumptions and TBD</w:t>
        </w:r>
      </w:hyperlink>
    </w:p>
    <w:p>
      <w:pPr>
        <w:pStyle w:val="Compact"/>
        <w:numPr>
          <w:ilvl w:val="0"/>
          <w:numId w:val="1001"/>
        </w:numPr>
      </w:pPr>
      <w:hyperlink w:anchor="X8c357fd2dcfb3dd969a903b04dbbb605db70ad8">
        <w:r>
          <w:rPr>
            <w:rStyle w:val="Hyperlink"/>
          </w:rPr>
          <w:t xml:space="preserve">9. Missing Inputs</w:t>
        </w:r>
      </w:hyperlink>
    </w:p>
    <w:bookmarkEnd w:id="27"/>
    <w:bookmarkStart w:id="31" w:name="Xada9acd495d2004f5a24849c1630945d91598e3"/>
    <w:p>
      <w:pPr>
        <w:pStyle w:val="Heading3"/>
      </w:pPr>
      <w:r>
        <w:t xml:space="preserve">0.2 Internal index for paragraphs and pages</w:t>
      </w:r>
    </w:p>
    <w:bookmarkStart w:id="28" w:name="table-3-section-navigation-index"/>
    <w:p>
      <w:pPr>
        <w:pStyle w:val="Heading4"/>
      </w:pPr>
      <w:r>
        <w:t xml:space="preserve">Table 3. Section navigation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Paragraph anchor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  <w:tc>
          <w:tcPr/>
          <w:p>
            <w:pPr>
              <w:pStyle w:val="Compact"/>
            </w:pPr>
            <w:r>
              <w:t xml:space="preserve">Page (rendered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STBIO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hyperlink w:anchor="stbio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 Document Navigation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hyperlink w:anchor="X00c53f9efd41cb60267e5a6c5d324e4b2a19070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Introduction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w:anchor="Xe3d0fc0bea9a42ce7605565d0964033d7f6ee47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 Purpose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hyperlink w:anchor="Xe94c4103db6bb764aa3b798144b782dac27f424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 Scope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hyperlink w:anchor="X3378fde8998068a01e48267892e5cd923e9bc15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 Intended audience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hyperlink w:anchor="Xe7c142496eda3f769d9e13f84aad1487c7a2ad9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 References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hyperlink w:anchor="Xf8afe345782cbed00f3c2830abd05d0a5ea4b9a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Definitions and terminology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w:anchor="X02d8767d2d0a8f1812496a613f2cc9414c1fa47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System context for analog behavior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w:anchor="Xee7f7da69e6adf9ca029503f830f76ba063a68a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Analog requirements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w:anchor="Xc82f32e177eb829a66a29305f64453fcbae633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 Analog block list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hyperlink w:anchor="X73838ebe4a6fc85f137f6c8bb8c37b9332570dc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 Analog I/O characteristics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hyperlink w:anchor="Xf5c1c06e36c87015dda878782931870eb54048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 Sampling and conversion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hyperlink w:anchor="X1bb181e9ad1d87dc68e0a8e55f859ee793a0ed2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 Analog operating modes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hyperlink w:anchor="X0118a4df21ba5575661ffa2467351b029c3a46f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 Analog calibration and test requirements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hyperlink w:anchor="Xf7f252356e62931665b9e8ee4fed50e7ff5b9ee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 Analog performance requirements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hyperlink w:anchor="X418b4d8dd7527d4141a381ca7f2d748c3e7edde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Validation and qualification requirements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w:anchor="Xc26db79f3514a016dff58de0917d7f6d8e81fa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Requirement identification and traceability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w:anchor="X045f6730a5caea101ea480f71820b59e27ae49d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 Numbering convention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hyperlink w:anchor="Xf652d4e185f2f67413a91e7b4dc92936f66c316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 Traceability contract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hyperlink w:anchor="X59dcd46a5be5290420312e376adbe926569db05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 Requirement catalog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hyperlink w:anchor="Xa693d57e6b9ffb687c6c93de5d6eac96e9c5c01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6.3.1 ISPU integration</w:t>
            </w:r>
          </w:p>
        </w:tc>
        <w:tc>
          <w:tcPr/>
          <w:p>
            <w:pPr>
              <w:pStyle w:val="Compact"/>
            </w:pPr>
            <w:r>
              <w:t xml:space="preserve">6.3.1</w:t>
            </w:r>
          </w:p>
        </w:tc>
        <w:tc>
          <w:tcPr/>
          <w:p>
            <w:pPr>
              <w:pStyle w:val="Compact"/>
            </w:pPr>
            <w:hyperlink w:anchor="ispu-integration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6.3.2 Measurement Cycle Examples</w:t>
            </w:r>
          </w:p>
        </w:tc>
        <w:tc>
          <w:tcPr/>
          <w:p>
            <w:pPr>
              <w:pStyle w:val="Compact"/>
            </w:pPr>
            <w:r>
              <w:t xml:space="preserve">6.3.2</w:t>
            </w:r>
          </w:p>
        </w:tc>
        <w:tc>
          <w:tcPr/>
          <w:p>
            <w:pPr>
              <w:pStyle w:val="Compact"/>
            </w:pPr>
            <w:hyperlink w:anchor="measurement-cycle-examples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6.3.3 SensorHub integration</w:t>
            </w:r>
          </w:p>
        </w:tc>
        <w:tc>
          <w:tcPr/>
          <w:p>
            <w:pPr>
              <w:pStyle w:val="Compact"/>
            </w:pPr>
            <w:r>
              <w:t xml:space="preserve">6.3.3</w:t>
            </w:r>
          </w:p>
        </w:tc>
        <w:tc>
          <w:tcPr/>
          <w:p>
            <w:pPr>
              <w:pStyle w:val="Compact"/>
            </w:pPr>
            <w:hyperlink w:anchor="sensorhub-integration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Project-specific analog block sections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w:anchor="Xd04b0ebac4947287a71e0b1ca27cf85132dbf00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Assumptions and TBD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w:anchor="X6588c2fef3e19db11895ab3d240d188b09b14db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Missing Inputs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w:anchor="X8c357fd2dcfb3dd969a903b04dbbb605db70ad8">
              <w:r>
                <w:rPr>
                  <w:rStyle w:val="Hyperlink"/>
                </w:rPr>
                <w:t xml:space="preserve">Jump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</w:tbl>
    <w:p>
      <w:pPr>
        <w:pStyle w:val="BodyText"/>
      </w:pPr>
      <w:r>
        <w:t xml:space="preserve"> </w:t>
      </w:r>
    </w:p>
    <w:bookmarkEnd w:id="28"/>
    <w:bookmarkStart w:id="29" w:name="table-4-analog-block-navigation-index"/>
    <w:p>
      <w:pPr>
        <w:pStyle w:val="Heading4"/>
      </w:pPr>
      <w:r>
        <w:t xml:space="preserve">Table 4. Analog block navigation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Paragraph anchor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  <w:tc>
          <w:tcPr/>
          <w:p>
            <w:pPr>
              <w:pStyle w:val="Compact"/>
            </w:pPr>
            <w:r>
              <w:t xml:space="preserve">Requirement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 </w:t>
      </w:r>
    </w:p>
    <w:bookmarkEnd w:id="29"/>
    <w:bookmarkStart w:id="30" w:name="X0a62bb47d824029cf147fe503c789403568bd77"/>
    <w:p>
      <w:pPr>
        <w:pStyle w:val="Heading4"/>
      </w:pPr>
      <w:r>
        <w:t xml:space="preserve">Table 5. Requirement paragraph index by block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</w:pPr>
            <w:r>
              <w:t xml:space="preserve">Paragraph anchor</w:t>
            </w:r>
          </w:p>
        </w:tc>
        <w:tc>
          <w:tcPr/>
          <w:p>
            <w:pPr>
              <w:pStyle w:val="Compact"/>
            </w:pPr>
            <w:r>
              <w:t xml:space="preserve">Internal link</w:t>
            </w:r>
          </w:p>
        </w:tc>
        <w:tc>
          <w:tcPr/>
          <w:p>
            <w:pPr>
              <w:pStyle w:val="Compact"/>
            </w:pPr>
            <w:r>
              <w:t xml:space="preserve">Page (rendered 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 </w:t>
      </w:r>
    </w:p>
    <w:bookmarkEnd w:id="30"/>
    <w:bookmarkEnd w:id="31"/>
    <w:bookmarkStart w:id="35" w:name="Xd8a09cc9971e9ce702acf0e58b3b979fc673068"/>
    <w:p>
      <w:pPr>
        <w:pStyle w:val="Heading3"/>
      </w:pPr>
      <w:r>
        <w:t xml:space="preserve">0.3 Document control</w:t>
      </w:r>
    </w:p>
    <w:bookmarkStart w:id="32" w:name="table-1-version-history"/>
    <w:p>
      <w:pPr>
        <w:pStyle w:val="Heading4"/>
      </w:pPr>
      <w:r>
        <w:t xml:space="preserve">Table 1. 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2026-08-27</w:t>
            </w:r>
          </w:p>
        </w:tc>
        <w:tc>
          <w:tcPr/>
          <w:p>
            <w:pPr>
              <w:pStyle w:val="Compact"/>
            </w:pPr>
            <w:r>
              <w:t xml:space="preserve">Initial ARS baseline generated from Stage 1 and Stage 2 artifacts</w:t>
            </w:r>
          </w:p>
        </w:tc>
        <w:tc>
          <w:tcPr/>
          <w:p>
            <w:pPr>
              <w:pStyle w:val="Compact"/>
            </w:pPr>
            <w:r>
              <w:t xml:space="preserve">ARS Gen Spec Agent</w:t>
            </w:r>
          </w:p>
        </w:tc>
      </w:tr>
    </w:tbl>
    <w:p>
      <w:pPr>
        <w:pStyle w:val="BodyText"/>
      </w:pPr>
      <w:r>
        <w:t xml:space="preserve"> </w:t>
      </w:r>
    </w:p>
    <w:bookmarkEnd w:id="32"/>
    <w:bookmarkStart w:id="33" w:name="table-2-reference-documents"/>
    <w:p>
      <w:pPr>
        <w:pStyle w:val="Heading4"/>
      </w:pPr>
      <w:r>
        <w:t xml:space="preserve">Table 2. 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name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artifacts/stage3_srs/system_requirements_specification.md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SRS Gen Spec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artifacts/stage1_requirements/requirements_summary.csv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Requirements Extraction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artifacts/stage2_mirco_arc/micro_architecture_report.md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Micro-Architectural Analysis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artifacts/stage2_mirco_arc/requirement_to_block_traceability.csv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Micro-Architectural Analysis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templates/ARS_gen_AI_template_prompt.md</w:t>
            </w:r>
          </w:p>
        </w:tc>
        <w:tc>
          <w:tcPr/>
          <w:p>
            <w:pPr>
              <w:pStyle w:val="Compact"/>
            </w:pPr>
            <w:r>
              <w:t xml:space="preserve">Current workspace revision</w:t>
            </w:r>
          </w:p>
        </w:tc>
        <w:tc>
          <w:tcPr/>
          <w:p>
            <w:pPr>
              <w:pStyle w:val="Compact"/>
            </w:pPr>
            <w:r>
              <w:t xml:space="preserve">Project template maintainers</w:t>
            </w:r>
          </w:p>
        </w:tc>
      </w:tr>
    </w:tbl>
    <w:p>
      <w:pPr>
        <w:pStyle w:val="BodyText"/>
      </w:pPr>
      <w:r>
        <w:t xml:space="preserve"> </w:t>
      </w:r>
    </w:p>
    <w:bookmarkEnd w:id="33"/>
    <w:bookmarkStart w:id="34" w:name="table-6-category-convention"/>
    <w:p>
      <w:pPr>
        <w:pStyle w:val="Heading4"/>
      </w:pPr>
      <w:r>
        <w:t xml:space="preserve">Table 6. Category convention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Naming rule / prefix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Notes /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 authored requirement</w:t>
            </w:r>
          </w:p>
        </w:tc>
        <w:tc>
          <w:tcPr/>
          <w:p>
            <w:pPr>
              <w:pStyle w:val="Compact"/>
            </w:pPr>
            <w:r>
              <w:t xml:space="preserve">ARS-REQ-xxx</w:t>
            </w:r>
          </w:p>
        </w:tc>
        <w:tc>
          <w:tcPr/>
          <w:p>
            <w:pPr>
              <w:pStyle w:val="Compact"/>
            </w:pPr>
            <w:r>
              <w:t xml:space="preserve">Project-specific ARS atomic entries</w:t>
            </w:r>
          </w:p>
        </w:tc>
        <w:tc>
          <w:tcPr/>
          <w:p>
            <w:pPr>
              <w:pStyle w:val="Compact"/>
            </w:pPr>
            <w:r>
              <w:t xml:space="preserve">Covers one upstream requirement 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analog/system/cross-domain requirement</w:t>
            </w:r>
          </w:p>
        </w:tc>
        <w:tc>
          <w:tcPr/>
          <w:p>
            <w:pPr>
              <w:pStyle w:val="Compact"/>
            </w:pPr>
            <w:r>
              <w:t xml:space="preserve">source_req_id</w:t>
            </w:r>
          </w:p>
        </w:tc>
        <w:tc>
          <w:tcPr/>
          <w:p>
            <w:pPr>
              <w:pStyle w:val="Compact"/>
            </w:pPr>
            <w:r>
              <w:t xml:space="preserve">Stage 1 source requirement catalog</w:t>
            </w:r>
          </w:p>
        </w:tc>
        <w:tc>
          <w:tcPr/>
          <w:p>
            <w:pPr>
              <w:pStyle w:val="Compact"/>
            </w:pPr>
            <w:r>
              <w:t xml:space="preserve">Linked to authored SRS upstream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ARS upstream reference in Covers</w:t>
            </w:r>
          </w:p>
        </w:tc>
        <w:tc>
          <w:tcPr/>
          <w:p>
            <w:pPr>
              <w:pStyle w:val="Compact"/>
            </w:pPr>
            <w:r>
              <w:t xml:space="preserve">SRS-REQ-xxx</w:t>
            </w:r>
          </w:p>
        </w:tc>
        <w:tc>
          <w:tcPr/>
          <w:p>
            <w:pPr>
              <w:pStyle w:val="Compact"/>
            </w:pPr>
            <w:r>
              <w:t xml:space="preserve">Authored SRS requirement catalog</w:t>
            </w:r>
          </w:p>
        </w:tc>
        <w:tc>
          <w:tcPr/>
          <w:p>
            <w:pPr>
              <w:pStyle w:val="Compact"/>
            </w:pPr>
            <w:r>
              <w:t xml:space="preserve">Required for every ARS authored requirement</w:t>
            </w:r>
          </w:p>
        </w:tc>
      </w:tr>
    </w:tbl>
    <w:p>
      <w:pPr>
        <w:pStyle w:val="BodyText"/>
      </w:pPr>
      <w:r>
        <w:t xml:space="preserve"> </w:t>
      </w:r>
    </w:p>
    <w:bookmarkEnd w:id="34"/>
    <w:bookmarkEnd w:id="35"/>
    <w:bookmarkStart w:id="36" w:name="Xe9c44ea4cb767e7feec2d2bfbe95dff004e260f"/>
    <w:p>
      <w:pPr>
        <w:pStyle w:val="Heading3"/>
      </w:pPr>
      <w:r>
        <w:t xml:space="preserve">0.4 Table of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</w:t>
            </w:r>
          </w:p>
        </w:tc>
        <w:tc>
          <w:tcPr/>
          <w:p>
            <w:pPr>
              <w:pStyle w:val="Compact"/>
            </w:pPr>
            <w:r>
              <w:t xml:space="preserve">Version history</w:t>
            </w:r>
          </w:p>
        </w:tc>
        <w:tc>
          <w:tcPr/>
          <w:p>
            <w:pPr>
              <w:pStyle w:val="Compact"/>
            </w:pPr>
            <w:hyperlink w:anchor="table-1-version-history">
              <w:r>
                <w:rPr>
                  <w:rStyle w:val="Hyperlink"/>
                </w:rPr>
                <w:t xml:space="preserve">Go to Table 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2</w:t>
            </w:r>
          </w:p>
        </w:tc>
        <w:tc>
          <w:tcPr/>
          <w:p>
            <w:pPr>
              <w:pStyle w:val="Compact"/>
            </w:pPr>
            <w:r>
              <w:t xml:space="preserve">Reference documents</w:t>
            </w:r>
          </w:p>
        </w:tc>
        <w:tc>
          <w:tcPr/>
          <w:p>
            <w:pPr>
              <w:pStyle w:val="Compact"/>
            </w:pPr>
            <w:hyperlink w:anchor="table-2-reference-documents">
              <w:r>
                <w:rPr>
                  <w:rStyle w:val="Hyperlink"/>
                </w:rPr>
                <w:t xml:space="preserve">Go to Table 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3</w:t>
            </w:r>
          </w:p>
        </w:tc>
        <w:tc>
          <w:tcPr/>
          <w:p>
            <w:pPr>
              <w:pStyle w:val="Compact"/>
            </w:pPr>
            <w:r>
              <w:t xml:space="preserve">Section navigation index</w:t>
            </w:r>
          </w:p>
        </w:tc>
        <w:tc>
          <w:tcPr/>
          <w:p>
            <w:pPr>
              <w:pStyle w:val="Compact"/>
            </w:pPr>
            <w:hyperlink w:anchor="table-3-section-navigation-index">
              <w:r>
                <w:rPr>
                  <w:rStyle w:val="Hyperlink"/>
                </w:rPr>
                <w:t xml:space="preserve">Go to Table 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4</w:t>
            </w:r>
          </w:p>
        </w:tc>
        <w:tc>
          <w:tcPr/>
          <w:p>
            <w:pPr>
              <w:pStyle w:val="Compact"/>
            </w:pPr>
            <w:r>
              <w:t xml:space="preserve">Analog block navigation index</w:t>
            </w:r>
          </w:p>
        </w:tc>
        <w:tc>
          <w:tcPr/>
          <w:p>
            <w:pPr>
              <w:pStyle w:val="Compact"/>
            </w:pPr>
            <w:hyperlink w:anchor="table-4-analog-block-navigation-index">
              <w:r>
                <w:rPr>
                  <w:rStyle w:val="Hyperlink"/>
                </w:rPr>
                <w:t xml:space="preserve">Go to Table 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5</w:t>
            </w:r>
          </w:p>
        </w:tc>
        <w:tc>
          <w:tcPr/>
          <w:p>
            <w:pPr>
              <w:pStyle w:val="Compact"/>
            </w:pPr>
            <w:r>
              <w:t xml:space="preserve">Requirement paragraph index by block</w:t>
            </w:r>
          </w:p>
        </w:tc>
        <w:tc>
          <w:tcPr/>
          <w:p>
            <w:pPr>
              <w:pStyle w:val="Compact"/>
            </w:pPr>
            <w:hyperlink w:anchor="X0a62bb47d824029cf147fe503c789403568bd77">
              <w:r>
                <w:rPr>
                  <w:rStyle w:val="Hyperlink"/>
                </w:rPr>
                <w:t xml:space="preserve">Go to Table 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Table 6</w:t>
            </w:r>
          </w:p>
        </w:tc>
        <w:tc>
          <w:tcPr/>
          <w:p>
            <w:pPr>
              <w:pStyle w:val="Compact"/>
            </w:pPr>
            <w:r>
              <w:t xml:space="preserve">Category convention</w:t>
            </w:r>
          </w:p>
        </w:tc>
        <w:tc>
          <w:tcPr/>
          <w:p>
            <w:pPr>
              <w:pStyle w:val="Compact"/>
            </w:pPr>
            <w:hyperlink w:anchor="table-6-category-convention">
              <w:r>
                <w:rPr>
                  <w:rStyle w:val="Hyperlink"/>
                </w:rPr>
                <w:t xml:space="preserve">Go to Table 6</w:t>
              </w:r>
            </w:hyperlink>
          </w:p>
        </w:tc>
      </w:tr>
    </w:tbl>
    <w:p>
      <w:pPr>
        <w:pStyle w:val="BodyText"/>
      </w:pPr>
      <w:r>
        <w:t xml:space="preserve"> </w:t>
      </w:r>
    </w:p>
    <w:bookmarkEnd w:id="36"/>
    <w:bookmarkEnd w:id="37"/>
    <w:bookmarkStart w:id="42" w:name="Xe3d0fc0bea9a42ce7605565d0964033d7f6ee47"/>
    <w:p>
      <w:pPr>
        <w:pStyle w:val="Heading2"/>
      </w:pPr>
      <w:r>
        <w:t xml:space="preserve">1. Introduction</w:t>
      </w:r>
    </w:p>
    <w:bookmarkStart w:id="38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defines verifiable analog requirements derived from Stage 1 and micro-architecture artifacts.</w:t>
      </w:r>
    </w:p>
    <w:p>
      <w:pPr>
        <w:pStyle w:val="BodyText"/>
      </w:pPr>
      <w:r>
        <w:t xml:space="preserve"> </w:t>
      </w:r>
    </w:p>
    <w:bookmarkEnd w:id="38"/>
    <w:bookmarkStart w:id="39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ARS covers analog subsystem behavior, analog interfaces, cross-domain dependencies, and verification hooks.</w:t>
      </w:r>
    </w:p>
    <w:p>
      <w:pPr>
        <w:pStyle w:val="BodyText"/>
      </w:pPr>
      <w:r>
        <w:t xml:space="preserve"> </w:t>
      </w:r>
    </w:p>
    <w:bookmarkEnd w:id="39"/>
    <w:bookmarkStart w:id="40" w:name="Xe7c142496eda3f769d9e13f84aad1487c7a2ad9"/>
    <w:p>
      <w:pPr>
        <w:pStyle w:val="Heading3"/>
      </w:pPr>
      <w:r>
        <w:t xml:space="preserve">1.3 Intended audience</w:t>
      </w:r>
    </w:p>
    <w:p>
      <w:pPr>
        <w:pStyle w:val="FirstParagraph"/>
      </w:pPr>
      <w:r>
        <w:t xml:space="preserve">Architecture, analog design, validation, and verification stakeholders.</w:t>
      </w:r>
    </w:p>
    <w:p>
      <w:pPr>
        <w:pStyle w:val="BodyText"/>
      </w:pPr>
      <w:r>
        <w:t xml:space="preserve"> </w:t>
      </w:r>
    </w:p>
    <w:bookmarkEnd w:id="40"/>
    <w:bookmarkStart w:id="41" w:name="Xf8afe345782cbed00f3c2830abd05d0a5ea4b9a"/>
    <w:p>
      <w:pPr>
        <w:pStyle w:val="Heading3"/>
      </w:pPr>
      <w:r>
        <w:t xml:space="preserve">1.4 References</w:t>
      </w:r>
    </w:p>
    <w:p>
      <w:pPr>
        <w:pStyle w:val="FirstParagraph"/>
      </w:pPr>
      <w:r>
        <w:t xml:space="preserve">Reference documents are listed in</w:t>
      </w:r>
      <w:r>
        <w:t xml:space="preserve"> </w:t>
      </w:r>
      <w:hyperlink w:anchor="table-2-reference-documents">
        <w:r>
          <w:rPr>
            <w:rStyle w:val="Hyperlink"/>
          </w:rPr>
          <w:t xml:space="preserve">Table 2. Reference documents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bookmarkEnd w:id="41"/>
    <w:bookmarkEnd w:id="42"/>
    <w:bookmarkStart w:id="43" w:name="X02d8767d2d0a8f1812496a613f2cc9414c1fa47"/>
    <w:p>
      <w:pPr>
        <w:pStyle w:val="Heading2"/>
      </w:pPr>
      <w:r>
        <w:t xml:space="preserve">2. Definitions and terminology</w:t>
      </w:r>
    </w:p>
    <w:p>
      <w:pPr>
        <w:pStyle w:val="Compact"/>
        <w:numPr>
          <w:ilvl w:val="0"/>
          <w:numId w:val="1002"/>
        </w:numPr>
      </w:pPr>
      <w:r>
        <w:t xml:space="preserve">Analog terminology follows source requirements and micro-architecture artifacts.</w:t>
      </w:r>
    </w:p>
    <w:bookmarkEnd w:id="43"/>
    <w:bookmarkStart w:id="44" w:name="Xee7f7da69e6adf9ca029503f830f76ba063a68a"/>
    <w:p>
      <w:pPr>
        <w:pStyle w:val="Heading2"/>
      </w:pPr>
      <w:r>
        <w:t xml:space="preserve">3. System context for analog behavior</w:t>
      </w:r>
    </w:p>
    <w:p>
      <w:pPr>
        <w:pStyle w:val="Compact"/>
        <w:numPr>
          <w:ilvl w:val="0"/>
          <w:numId w:val="1003"/>
        </w:numPr>
      </w:pPr>
      <w:r>
        <w:t xml:space="preserve">System context is summarized to scope analog requirements and mixed-signal interfaces.</w:t>
      </w:r>
    </w:p>
    <w:bookmarkEnd w:id="44"/>
    <w:bookmarkStart w:id="51" w:name="Xc82f32e177eb829a66a29305f64453fcbae633d"/>
    <w:p>
      <w:pPr>
        <w:pStyle w:val="Heading2"/>
      </w:pPr>
      <w:r>
        <w:t xml:space="preserve">4. Analog requirements</w:t>
      </w:r>
    </w:p>
    <w:p>
      <w:pPr>
        <w:pStyle w:val="FirstParagraph"/>
      </w:pPr>
      <w:r>
        <w:t xml:space="preserve">General analog requirements that are not mapped to any included analog block are listed below.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All non-dedicated analog-relevant requirements are mapped to at least one analog block section.</w:t>
      </w:r>
    </w:p>
    <w:p>
      <w:pPr>
        <w:pStyle w:val="BodyText"/>
      </w:pPr>
      <w:r>
        <w:t xml:space="preserve"> </w:t>
      </w:r>
    </w:p>
    <w:bookmarkStart w:id="45" w:name="X73838ebe4a6fc85f137f6c8bb8c37b9332570dc"/>
    <w:p>
      <w:pPr>
        <w:pStyle w:val="Heading3"/>
      </w:pPr>
      <w:r>
        <w:t xml:space="preserve">4.1 Analog block list</w:t>
      </w:r>
    </w:p>
    <w:p>
      <w:pPr>
        <w:pStyle w:val="FirstParagraph"/>
      </w:pPr>
      <w:r>
        <w:t xml:space="preserve">Analog block list shall be derived from block inventory evidence.</w:t>
      </w:r>
    </w:p>
    <w:p>
      <w:pPr>
        <w:pStyle w:val="BodyText"/>
      </w:pPr>
      <w:r>
        <w:t xml:space="preserve"> </w:t>
      </w:r>
    </w:p>
    <w:bookmarkEnd w:id="45"/>
    <w:bookmarkStart w:id="46" w:name="Xf5c1c06e36c87015dda878782931870eb54048b"/>
    <w:p>
      <w:pPr>
        <w:pStyle w:val="Heading3"/>
      </w:pPr>
      <w:r>
        <w:t xml:space="preserve">4.2 Analog I/O characteristics</w:t>
      </w:r>
    </w:p>
    <w:p>
      <w:pPr>
        <w:pStyle w:val="FirstParagraph"/>
      </w:pPr>
      <w:r>
        <w:t xml:space="preserve">Relevant analog interfaces include SENSOR_ANALOG_INPUT.</w:t>
      </w:r>
    </w:p>
    <w:p>
      <w:pPr>
        <w:pStyle w:val="BodyText"/>
      </w:pPr>
      <w:r>
        <w:t xml:space="preserve"> </w:t>
      </w:r>
    </w:p>
    <w:bookmarkEnd w:id="46"/>
    <w:bookmarkStart w:id="47" w:name="X1bb181e9ad1d87dc68e0a8e55f859ee793a0ed2"/>
    <w:p>
      <w:pPr>
        <w:pStyle w:val="Heading3"/>
      </w:pPr>
      <w:r>
        <w:t xml:space="preserve">4.3 Sampling and conversion</w:t>
      </w:r>
    </w:p>
    <w:p>
      <w:pPr>
        <w:pStyle w:val="FirstParagraph"/>
      </w:pPr>
      <w:r>
        <w:t xml:space="preserve">Sampling, conversion, and resolution behavior shall satisfy timing and accuracy constraints from source requirements.</w:t>
      </w:r>
    </w:p>
    <w:p>
      <w:pPr>
        <w:pStyle w:val="BodyText"/>
      </w:pPr>
      <w:r>
        <w:t xml:space="preserve"> </w:t>
      </w:r>
    </w:p>
    <w:bookmarkEnd w:id="47"/>
    <w:bookmarkStart w:id="48" w:name="X0118a4df21ba5575661ffa2467351b029c3a46f"/>
    <w:p>
      <w:pPr>
        <w:pStyle w:val="Heading3"/>
      </w:pPr>
      <w:r>
        <w:t xml:space="preserve">4.4 Analog operating modes</w:t>
      </w:r>
    </w:p>
    <w:p>
      <w:pPr>
        <w:pStyle w:val="FirstParagraph"/>
      </w:pPr>
      <w:r>
        <w:t xml:space="preserve">Analog operating behavior shall remain consistent across manual, schedule, off, and fault-degraded scenarios.</w:t>
      </w:r>
    </w:p>
    <w:p>
      <w:pPr>
        <w:pStyle w:val="BodyText"/>
      </w:pPr>
      <w:r>
        <w:t xml:space="preserve"> </w:t>
      </w:r>
    </w:p>
    <w:bookmarkEnd w:id="48"/>
    <w:bookmarkStart w:id="49" w:name="Xf7f252356e62931665b9e8ee4fed50e7ff5b9ee"/>
    <w:p>
      <w:pPr>
        <w:pStyle w:val="Heading3"/>
      </w:pPr>
      <w:r>
        <w:t xml:space="preserve">4.5 Analog calibration and test requirements</w:t>
      </w:r>
    </w:p>
    <w:p>
      <w:pPr>
        <w:pStyle w:val="FirstParagraph"/>
      </w:pPr>
      <w:r>
        <w:t xml:space="preserve">Calibration and observability requirements shall be defined for offset/gain handling and verification access.</w:t>
      </w:r>
    </w:p>
    <w:p>
      <w:pPr>
        <w:pStyle w:val="BodyText"/>
      </w:pPr>
      <w:r>
        <w:t xml:space="preserve"> </w:t>
      </w:r>
    </w:p>
    <w:bookmarkEnd w:id="49"/>
    <w:bookmarkStart w:id="50" w:name="X418b4d8dd7527d4141a381ca7f2d748c3e7edde"/>
    <w:p>
      <w:pPr>
        <w:pStyle w:val="Heading3"/>
      </w:pPr>
      <w:r>
        <w:t xml:space="preserve">4.6 Analog performance requirements</w:t>
      </w:r>
    </w:p>
    <w:p>
      <w:pPr>
        <w:pStyle w:val="FirstParagraph"/>
      </w:pPr>
      <w:r>
        <w:t xml:space="preserve">Performance requirements shall cover noise, accuracy, range, drift, and response constraints.</w:t>
      </w:r>
    </w:p>
    <w:p>
      <w:pPr>
        <w:pStyle w:val="BodyText"/>
      </w:pPr>
      <w:r>
        <w:t xml:space="preserve"> </w:t>
      </w:r>
    </w:p>
    <w:bookmarkEnd w:id="50"/>
    <w:bookmarkEnd w:id="51"/>
    <w:bookmarkStart w:id="52" w:name="Xc26db79f3514a016dff58de0917d7f6d8e81fab"/>
    <w:p>
      <w:pPr>
        <w:pStyle w:val="Heading2"/>
      </w:pPr>
      <w:r>
        <w:t xml:space="preserve">5. Validation and qualification requirements</w:t>
      </w:r>
    </w:p>
    <w:p>
      <w:pPr>
        <w:pStyle w:val="Compact"/>
        <w:numPr>
          <w:ilvl w:val="0"/>
          <w:numId w:val="1004"/>
        </w:numPr>
      </w:pPr>
      <w:r>
        <w:t xml:space="preserve">Verification shall combine inspection, analysis, and test with measurable acceptance criteria.</w:t>
      </w:r>
    </w:p>
    <w:bookmarkEnd w:id="52"/>
    <w:bookmarkStart w:id="63" w:name="X045f6730a5caea101ea480f71820b59e27ae49d"/>
    <w:p>
      <w:pPr>
        <w:pStyle w:val="Heading2"/>
      </w:pPr>
      <w:r>
        <w:t xml:space="preserve">6. Requirement identification and traceability</w:t>
      </w:r>
    </w:p>
    <w:bookmarkStart w:id="53" w:name="Xf652d4e185f2f67413a91e7b4dc92936f66c316"/>
    <w:p>
      <w:pPr>
        <w:pStyle w:val="Heading3"/>
      </w:pPr>
      <w:r>
        <w:t xml:space="preserve">6.1 Numbering convention</w:t>
      </w:r>
    </w:p>
    <w:p>
      <w:pPr>
        <w:pStyle w:val="FirstParagraph"/>
      </w:pPr>
      <w:r>
        <w:t xml:space="preserve">ARS IDs use domain-prefixed numbering: ANA-RQ-### and XDN-RQ-###. Newly authored requirements in project-specific sub-block requirement paragraphs use ARS-REQ-###.</w:t>
      </w:r>
    </w:p>
    <w:p>
      <w:pPr>
        <w:pStyle w:val="BodyText"/>
      </w:pPr>
      <w:r>
        <w:t xml:space="preserve"> </w:t>
      </w:r>
    </w:p>
    <w:bookmarkEnd w:id="53"/>
    <w:bookmarkStart w:id="54" w:name="X59dcd46a5be5290420312e376adbe926569db05"/>
    <w:p>
      <w:pPr>
        <w:pStyle w:val="Heading3"/>
      </w:pPr>
      <w:r>
        <w:t xml:space="preserve">6.2 Traceability contract</w:t>
      </w:r>
    </w:p>
    <w:p>
      <w:pPr>
        <w:pStyle w:val="FirstParagraph"/>
      </w:pPr>
      <w:r>
        <w:t xml:space="preserve">ARS requirement catalog entries include statement only; full traceability details are maintained in artifacts/stage4_ars/ars_traceability_matrix.csv.</w:t>
      </w:r>
    </w:p>
    <w:p>
      <w:pPr>
        <w:pStyle w:val="BodyText"/>
      </w:pPr>
      <w:r>
        <w:t xml:space="preserve"> </w:t>
      </w:r>
    </w:p>
    <w:bookmarkEnd w:id="54"/>
    <w:bookmarkStart w:id="62" w:name="Xa693d57e6b9ffb687c6c93de5d6eac96e9c5c01"/>
    <w:p>
      <w:pPr>
        <w:pStyle w:val="Heading3"/>
      </w:pPr>
      <w:r>
        <w:t xml:space="preserve">6.3 Requirement catalog</w:t>
      </w:r>
    </w:p>
    <w:bookmarkStart w:id="58" w:name="dedicated-source-sections"/>
    <w:p>
      <w:pPr>
        <w:pStyle w:val="Heading4"/>
      </w:pPr>
      <w:r>
        <w:t xml:space="preserve">Dedicated source sections</w:t>
      </w:r>
    </w:p>
    <w:p>
      <w:pPr>
        <w:pStyle w:val="FirstParagraph"/>
      </w:pPr>
      <w:r>
        <w:t xml:space="preserve"> </w:t>
      </w:r>
    </w:p>
    <w:bookmarkStart w:id="55" w:name="ispu-integration"/>
    <w:p>
      <w:pPr>
        <w:pStyle w:val="Heading5"/>
      </w:pPr>
      <w:r>
        <w:t xml:space="preserve">6.3.1 ISPU integration</w:t>
      </w:r>
    </w:p>
    <w:p>
      <w:pPr>
        <w:pStyle w:val="FirstParagraph"/>
      </w:pPr>
      <w:r>
        <w:t xml:space="preserve">[ARS-REQ-007] Requirement:</w:t>
      </w:r>
    </w:p>
    <w:p>
      <w:pPr>
        <w:pStyle w:val="BodyText"/>
      </w:pPr>
      <w:r>
        <w:t xml:space="preserve">To turn off the ISPU shall be:</w:t>
      </w:r>
    </w:p>
    <w:p>
      <w:pPr>
        <w:pStyle w:val="Compact"/>
        <w:numPr>
          <w:ilvl w:val="0"/>
          <w:numId w:val="1005"/>
        </w:numPr>
      </w:pPr>
      <w:r>
        <w:t xml:space="preserve">Disable the power island by writing to regmap POWER CONFIGURATION REGISTER via AHB interface (ADDRESS=0xCA000, DATA=0x00) [End]</w:t>
      </w:r>
    </w:p>
    <w:p>
      <w:pPr>
        <w:pStyle w:val="FirstParagraph"/>
      </w:pPr>
      <w:r>
        <w:t xml:space="preserve">Covers: SRS-REQ-108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[ARS-REQ-008] Requirement:</w:t>
      </w:r>
    </w:p>
    <w:p>
      <w:pPr>
        <w:pStyle w:val="BodyText"/>
      </w:pPr>
      <w:r>
        <w:t xml:space="preserve">To turn off the ISPU shall be:</w:t>
      </w:r>
    </w:p>
    <w:p>
      <w:pPr>
        <w:pStyle w:val="Compact"/>
        <w:numPr>
          <w:ilvl w:val="0"/>
          <w:numId w:val="1006"/>
        </w:numPr>
      </w:pPr>
      <w:r>
        <w:t xml:space="preserve">Disable the power island by writing to regmap POWER CONFIGURATION REGISTER via AHB interface (ADDRESS=0xCA000, DATA=0x00)</w:t>
      </w:r>
    </w:p>
    <w:p>
      <w:pPr>
        <w:pStyle w:val="FirstParagraph"/>
      </w:pPr>
      <w:r>
        <w:t xml:space="preserve">Covers: SRS-REQ-111</w:t>
      </w:r>
    </w:p>
    <w:p>
      <w:pPr>
        <w:pStyle w:val="BodyText"/>
      </w:pPr>
      <w:r>
        <w:t xml:space="preserve"> </w:t>
      </w:r>
    </w:p>
    <w:bookmarkEnd w:id="55"/>
    <w:bookmarkStart w:id="56" w:name="measurement-cycle-examples"/>
    <w:p>
      <w:pPr>
        <w:pStyle w:val="Heading5"/>
      </w:pPr>
      <w:r>
        <w:t xml:space="preserve">6.3.2 Measurement Cycle Examples</w:t>
      </w:r>
    </w:p>
    <w:p>
      <w:pPr>
        <w:pStyle w:val="FirstParagraph"/>
      </w:pPr>
      <w:r>
        <w:t xml:space="preserve">[ARS-REQ-009] Requirement:</w:t>
      </w:r>
    </w:p>
    <w:p>
      <w:pPr>
        <w:pStyle w:val="BodyText"/>
      </w:pPr>
      <w:r>
        <w:t xml:space="preserve">At the release of the POR signal from the analog domain, the PMU shall manage the turn-on of the LDO1V8 and starts clocks Start-Up Sequence (reported in PMU IPOS) [TO: IPOS_PMU]</w:t>
      </w:r>
    </w:p>
    <w:p>
      <w:pPr>
        <w:pStyle w:val="BodyText"/>
      </w:pPr>
      <w:r>
        <w:t xml:space="preserve">Covers: SRS-REQ-113</w:t>
      </w:r>
    </w:p>
    <w:p>
      <w:pPr>
        <w:pStyle w:val="BodyText"/>
      </w:pPr>
      <w:r>
        <w:t xml:space="preserve"> </w:t>
      </w:r>
    </w:p>
    <w:bookmarkEnd w:id="56"/>
    <w:bookmarkStart w:id="57" w:name="sensorhub-integration"/>
    <w:p>
      <w:pPr>
        <w:pStyle w:val="Heading5"/>
      </w:pPr>
      <w:r>
        <w:t xml:space="preserve">6.3.3 SensorHub integration</w:t>
      </w:r>
    </w:p>
    <w:p>
      <w:pPr>
        <w:pStyle w:val="FirstParagraph"/>
      </w:pPr>
      <w:r>
        <w:t xml:space="preserve">[ARS-REQ-001] Requirement:</w:t>
      </w:r>
    </w:p>
    <w:p>
      <w:pPr>
        <w:pStyle w:val="BodyText"/>
      </w:pPr>
      <w:r>
        <w:t xml:space="preserve">If the sensor hub IP is not enabled, the SCL and SDA pad shall not toggle. [Vpriority High] [TO: IPOS_Senshub_MB_i2c]</w:t>
      </w:r>
    </w:p>
    <w:p>
      <w:pPr>
        <w:pStyle w:val="BodyText"/>
      </w:pPr>
      <w:r>
        <w:t xml:space="preserve">Covers: SRS-REQ-071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[ARS-REQ-002] Requirement:</w:t>
      </w:r>
    </w:p>
    <w:p>
      <w:pPr>
        <w:pStyle w:val="BodyText"/>
      </w:pPr>
      <w:r>
        <w:t xml:space="preserve">Output scl_master_out of sensor hub shall be connected to enable of output buffer of sensor hub’s SCL PAD in case it is a bi-directional PAD). [Vpriority High] [TO: IPOS_Senshub_MB_i2c]</w:t>
      </w:r>
    </w:p>
    <w:p>
      <w:pPr>
        <w:pStyle w:val="BodyText"/>
      </w:pPr>
      <w:r>
        <w:t xml:space="preserve">Covers: SRS-REQ-072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[ARS-REQ-003] Requirement:</w:t>
      </w:r>
    </w:p>
    <w:p>
      <w:pPr>
        <w:pStyle w:val="BodyText"/>
      </w:pPr>
      <w:r>
        <w:t xml:space="preserve">Output sda_master_out of sensor hub shall be connected to enable of output buffer of sensor hub’s SDA PAD. [Vpriority High] [TO: IPOS_Senshub_MB_i2c]</w:t>
      </w:r>
    </w:p>
    <w:p>
      <w:pPr>
        <w:pStyle w:val="BodyText"/>
      </w:pPr>
      <w:r>
        <w:t xml:space="preserve">Covers: SRS-REQ-073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[ARS-REQ-004] Requirement:</w:t>
      </w:r>
    </w:p>
    <w:p>
      <w:pPr>
        <w:pStyle w:val="BodyText"/>
      </w:pPr>
      <w:r>
        <w:t xml:space="preserve">Input scl_master_in of sensor hub shall be connected to input buffer from sensor hub’s SCL PAD. [Vpriority High] [TO: IPOS_Senshub_MB_i2c]</w:t>
      </w:r>
    </w:p>
    <w:p>
      <w:pPr>
        <w:pStyle w:val="BodyText"/>
      </w:pPr>
      <w:r>
        <w:t xml:space="preserve">Covers: SRS-REQ-074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[ARS-REQ-005] Requirement:</w:t>
      </w:r>
    </w:p>
    <w:p>
      <w:pPr>
        <w:pStyle w:val="BodyText"/>
      </w:pPr>
      <w:r>
        <w:t xml:space="preserve">Input sda_master_in of sensor hub shall be connected to input buffer from sensor hub’s SDA PAD. [Vpriority High] [TO: IPOS_Senshub_MB_i2c]</w:t>
      </w:r>
    </w:p>
    <w:p>
      <w:pPr>
        <w:pStyle w:val="BodyText"/>
      </w:pPr>
      <w:r>
        <w:t xml:space="preserve">Covers: SRS-REQ-075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[ARS-REQ-006] Requirement:</w:t>
      </w:r>
    </w:p>
    <w:p>
      <w:pPr>
        <w:pStyle w:val="BodyText"/>
      </w:pPr>
      <w:r>
        <w:t xml:space="preserve">Requirement The trigger of sensor hub shall be possible in both ways, HW via dvalid_masterblaze_ext signal or SW using DVALID_REGISTER.</w:t>
      </w:r>
    </w:p>
    <w:p>
      <w:pPr>
        <w:pStyle w:val="BodyText"/>
      </w:pPr>
      <w:r>
        <w:t xml:space="preserve">Covers: SRS-REQ-077</w:t>
      </w:r>
    </w:p>
    <w:bookmarkEnd w:id="57"/>
    <w:bookmarkEnd w:id="58"/>
    <w:bookmarkStart w:id="59" w:name="analog-requirements"/>
    <w:p>
      <w:pPr>
        <w:pStyle w:val="Heading4"/>
      </w:pPr>
      <w:r>
        <w:t xml:space="preserve">Analog requirements</w:t>
      </w:r>
    </w:p>
    <w:p>
      <w:pPr>
        <w:pStyle w:val="Compact"/>
        <w:numPr>
          <w:ilvl w:val="0"/>
          <w:numId w:val="1007"/>
        </w:numPr>
      </w:pPr>
      <w:r>
        <w:t xml:space="preserve">No residual unmapped requirements for this domain (mapped items are captured in project-specific analog sub-block requirement paragraphs).</w:t>
      </w:r>
    </w:p>
    <w:bookmarkEnd w:id="59"/>
    <w:bookmarkStart w:id="60" w:name="cross-domain-requirements"/>
    <w:p>
      <w:pPr>
        <w:pStyle w:val="Heading4"/>
      </w:pPr>
      <w:r>
        <w:t xml:space="preserve">Cross-domain requirements</w:t>
      </w:r>
    </w:p>
    <w:p>
      <w:pPr>
        <w:pStyle w:val="Compact"/>
        <w:numPr>
          <w:ilvl w:val="0"/>
          <w:numId w:val="1008"/>
        </w:numPr>
      </w:pPr>
      <w:r>
        <w:t xml:space="preserve">No residual unmapped requirements for this domain (mapped items are captured in project-specific analog sub-block requirement paragraphs).</w:t>
      </w:r>
    </w:p>
    <w:bookmarkEnd w:id="60"/>
    <w:bookmarkStart w:id="61" w:name="use-case-user-specific"/>
    <w:p>
      <w:pPr>
        <w:pStyle w:val="Heading4"/>
      </w:pPr>
      <w:r>
        <w:t xml:space="preserve">Use case, user specific</w:t>
      </w:r>
    </w:p>
    <w:p>
      <w:pPr>
        <w:pStyle w:val="Compact"/>
        <w:numPr>
          <w:ilvl w:val="0"/>
          <w:numId w:val="1009"/>
        </w:numPr>
      </w:pPr>
      <w:r>
        <w:t xml:space="preserve">None</w:t>
      </w:r>
    </w:p>
    <w:bookmarkEnd w:id="61"/>
    <w:bookmarkEnd w:id="62"/>
    <w:bookmarkEnd w:id="63"/>
    <w:bookmarkStart w:id="64" w:name="Xd04b0ebac4947287a71e0b1ca27cf85132dbf00"/>
    <w:p>
      <w:pPr>
        <w:pStyle w:val="Heading2"/>
      </w:pPr>
      <w:r>
        <w:t xml:space="preserve">7. Project-specific analog block sections</w:t>
      </w:r>
    </w:p>
    <w:bookmarkEnd w:id="64"/>
    <w:bookmarkStart w:id="65" w:name="X6588c2fef3e19db11895ab3d240d188b09b14db"/>
    <w:p>
      <w:pPr>
        <w:pStyle w:val="Heading2"/>
      </w:pPr>
      <w:r>
        <w:t xml:space="preserve">8. Assumptions and TBD</w:t>
      </w:r>
    </w:p>
    <w:p>
      <w:pPr>
        <w:pStyle w:val="Compact"/>
        <w:numPr>
          <w:ilvl w:val="0"/>
          <w:numId w:val="1010"/>
        </w:numPr>
      </w:pPr>
      <w:r>
        <w:t xml:space="preserve">ASSUME-001: Analog validation environments provide representative sensor and load stimulus.</w:t>
      </w:r>
    </w:p>
    <w:p>
      <w:pPr>
        <w:pStyle w:val="Compact"/>
        <w:numPr>
          <w:ilvl w:val="0"/>
          <w:numId w:val="1010"/>
        </w:numPr>
      </w:pPr>
      <w:r>
        <w:t xml:space="preserve">TBD-001: Unassigned requirements in ARS traceability matrix require architectural owner review.</w:t>
      </w:r>
    </w:p>
    <w:bookmarkEnd w:id="65"/>
    <w:bookmarkStart w:id="66" w:name="X8c357fd2dcfb3dd969a903b04dbbb605db70ad8"/>
    <w:p>
      <w:pPr>
        <w:pStyle w:val="Heading2"/>
      </w:pPr>
      <w:r>
        <w:t xml:space="preserve">9. Missing Inputs</w:t>
      </w:r>
    </w:p>
    <w:p>
      <w:pPr>
        <w:pStyle w:val="Compact"/>
        <w:numPr>
          <w:ilvl w:val="0"/>
          <w:numId w:val="1011"/>
        </w:numPr>
      </w:pPr>
      <w:r>
        <w:t xml:space="preserve">None</w:t>
      </w:r>
    </w:p>
    <w:bookmarkEnd w:id="66"/>
    <w:bookmarkEnd w:id="67"/>
    <w:sectPr w:rsidR="005F4DEF" w:rsidRPr="005F4DEF" w:rsidSect="003E7C51">
      <w:headerReference r:id="rId14" w:type="default"/>
      <w:footerReference r:id="rId15" w:type="default"/>
      <w:headerReference r:id="rId16" w:type="first"/>
      <w:footerReference r:id="rId17" w:type="first"/>
      <w:pgSz w:code="9" w:h="16838" w:w="11906"/>
      <w:pgMar w:bottom="562" w:footer="567" w:gutter="0" w:header="210" w:left="1440" w:right="1008" w:top="2376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C5E7" w14:textId="77777777" w:rsidR="009B2728" w:rsidRPr="00CF2B32" w:rsidRDefault="00F2574E" w:rsidP="003E6738">
    <w:pPr>
      <w:pStyle w:val="Footer"/>
      <w:tabs>
        <w:tab w:val="clear" w:pos="4536"/>
        <w:tab w:val="clear" w:pos="9072"/>
      </w:tabs>
      <w:jc w:val="right"/>
      <w:rPr>
        <w:sz w:val="14"/>
        <w:szCs w:val="14"/>
      </w:rPr>
    </w:pPr>
    <w:r>
      <w:rPr>
        <w:noProof/>
        <w:color w:val="0F2A60"/>
        <w:sz w:val="14"/>
        <w:szCs w:val="14"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52ED2266" wp14:editId="6E4D82CF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4" name="MSIPCM964f4da889e0663bcd121546" descr="{&quot;HashCode&quot;:663358932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8CC2753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ED2266" id="_x0000_t202" coordsize="21600,21600" o:spt="202" path="m,l,21600r21600,l21600,xe">
              <v:stroke joinstyle="miter"/>
              <v:path gradientshapeok="t" o:connecttype="rect"/>
            </v:shapetype>
            <v:shape id="MSIPCM964f4da889e0663bcd121546" o:spid="_x0000_s1028" type="#_x0000_t202" alt="{&quot;HashCode&quot;:663358932,&quot;Height&quot;:841.0,&quot;Width&quot;:595.0,&quot;Placement&quot;:&quot;Footer&quot;,&quot;Index&quot;:&quot;Primary&quot;,&quot;Section&quot;:1,&quot;Top&quot;:0.0,&quot;Left&quot;:0.0}" style="position:absolute;left:0;text-align:left;margin-left:0;margin-top:807.05pt;width:595.3pt;height:19.8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" o:allowincell="f" filled="f" stroked="f" strokeweight=".5pt">
              <v:textbox inset=",0,20pt,0">
                <w:txbxContent>
                  <w:p w14:paraId="48CC2753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B2728">
      <w:rPr>
        <w:color w:val="0F2A60"/>
        <w:sz w:val="14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905D" w14:textId="77777777" w:rsidR="005810EB" w:rsidRDefault="00F2574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389233F6" wp14:editId="5BE048B2">
              <wp:simplePos x="0" y="0"/>
              <wp:positionH relativeFrom="page">
                <wp:posOffset>0</wp:posOffset>
              </wp:positionH>
              <wp:positionV relativeFrom="page">
                <wp:posOffset>10249535</wp:posOffset>
              </wp:positionV>
              <wp:extent cx="7560310" cy="252095"/>
              <wp:effectExtent l="0" t="0" r="0" b="14605"/>
              <wp:wrapNone/>
              <wp:docPr id="6" name="MSIPCM1c324d05959801ed756c7176" descr="{&quot;HashCode&quot;:663358932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C821AA4" w14:textId="77777777" w:rsidR="00F2574E" w:rsidRPr="00BC7F7B" w:rsidRDefault="00BC7F7B" w:rsidP="00BC7F7B">
                          <w:pPr>
                            <w:jc w:val="right"/>
                            <w:rPr>
                              <w:rFonts w:cs="Arial"/>
                              <w:color w:val="FF0000"/>
                              <w:sz w:val="24"/>
                            </w:rPr>
                          </w:pPr>
                          <w:r w:rsidRPr="00BC7F7B">
                            <w:rPr>
                              <w:rFonts w:cs="Arial"/>
                              <w:color w:val="FF0000"/>
                              <w:sz w:val="24"/>
                            </w:rPr>
                            <w:t>ST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3F6" id="_x0000_t202" coordsize="21600,21600" o:spt="202" path="m,l,21600r21600,l21600,xe">
              <v:stroke joinstyle="miter"/>
              <v:path gradientshapeok="t" o:connecttype="rect"/>
            </v:shapetype>
            <v:shape id="MSIPCM1c324d05959801ed756c7176" o:spid="_x0000_s1029" type="#_x0000_t202" alt="{&quot;HashCode&quot;:663358932,&quot;Height&quot;:841.0,&quot;Width&quot;:595.0,&quot;Placement&quot;:&quot;Footer&quot;,&quot;Index&quot;:&quot;FirstPage&quot;,&quot;Section&quot;:1,&quot;Top&quot;:0.0,&quot;Left&quot;:0.0}" style="position:absolute;margin-left:0;margin-top:807.05pt;width:595.3pt;height:19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" o:allowincell="f" filled="f" stroked="f" strokeweight=".5pt">
              <v:textbox inset=",0,20pt,0">
                <w:txbxContent>
                  <w:p w14:paraId="2C821AA4" w14:textId="77777777" w:rsidR="00F2574E" w:rsidRPr="00BC7F7B" w:rsidRDefault="00BC7F7B" w:rsidP="00BC7F7B">
                    <w:pPr>
                      <w:jc w:val="right"/>
                      <w:rPr>
                        <w:rFonts w:cs="Arial"/>
                        <w:color w:val="FF0000"/>
                        <w:sz w:val="24"/>
                      </w:rPr>
                    </w:pPr>
                    <w:r w:rsidRPr="00BC7F7B">
                      <w:rPr>
                        <w:rFonts w:cs="Arial"/>
                        <w:color w:val="FF0000"/>
                        <w:sz w:val="24"/>
                      </w:rPr>
                      <w:t>ST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9106" w14:textId="77777777" w:rsidR="00A72469" w:rsidRDefault="00D74C42" w:rsidP="003E6738">
    <w:pPr>
      <w:pStyle w:val="Header"/>
      <w:tabs>
        <w:tab w:val="clear" w:pos="4536"/>
        <w:tab w:val="clear" w:pos="9072"/>
      </w:tabs>
    </w:pPr>
    <w:r>
      <w:rPr>
        <w:noProof/>
        <w:lang w:val="en-US" w:eastAsia="zh-CN"/>
      </w:rPr>
      <w:drawing>
        <wp:anchor distT="0" distB="0" distL="114300" distR="114300" simplePos="0" relativeHeight="251661312" behindDoc="1" locked="0" layoutInCell="1" allowOverlap="1" wp14:anchorId="6F118268" wp14:editId="0DC4D35C">
          <wp:simplePos x="0" y="0"/>
          <wp:positionH relativeFrom="page">
            <wp:posOffset>5862640</wp:posOffset>
          </wp:positionH>
          <wp:positionV relativeFrom="page">
            <wp:posOffset>428129</wp:posOffset>
          </wp:positionV>
          <wp:extent cx="1040484" cy="731520"/>
          <wp:effectExtent l="0" t="0" r="7620" b="0"/>
          <wp:wrapNone/>
          <wp:docPr id="3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0484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D9C9" w14:textId="77777777" w:rsidR="00D74C42" w:rsidRDefault="00D74C42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3360" behindDoc="1" locked="0" layoutInCell="1" allowOverlap="1" wp14:anchorId="2EA044A6" wp14:editId="55765B1C">
          <wp:simplePos x="0" y="0"/>
          <wp:positionH relativeFrom="page">
            <wp:posOffset>648335</wp:posOffset>
          </wp:positionH>
          <wp:positionV relativeFrom="page">
            <wp:posOffset>431321</wp:posOffset>
          </wp:positionV>
          <wp:extent cx="2383200" cy="612000"/>
          <wp:effectExtent l="0" t="0" r="0" b="0"/>
          <wp:wrapNone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383200" cy="612000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95132"/>
    <w:multiLevelType w:val="multilevel"/>
    <w:tmpl w:val="A76C760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"/>
      <w:lvlJc w:val="left"/>
      <w:pPr>
        <w:ind w:hanging="720" w:left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1080" w:left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440" w:left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800" w:left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800" w:left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2160" w:left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2520" w:left="2880"/>
      </w:pPr>
      <w:rPr>
        <w:rFonts w:hint="default"/>
      </w:rPr>
    </w:lvl>
  </w:abstractNum>
  <w:abstractNum w15:restartNumberingAfterBreak="0" w:abstractNumId="1">
    <w:nsid w:val="0E405EDC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">
    <w:nsid w:val="114F485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3">
    <w:nsid w:val="17E261E4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4">
    <w:nsid w:val="34F9733F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5">
    <w:nsid w:val="3B3D58A6"/>
    <w:multiLevelType w:val="hybridMultilevel"/>
    <w:tmpl w:val="457C170C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entative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3C3167BB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7">
    <w:nsid w:val="3C60010B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8">
    <w:nsid w:val="45273DF7"/>
    <w:multiLevelType w:val="multilevel"/>
    <w:tmpl w:val="C81A3A7A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9">
    <w:nsid w:val="4BB109F9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0">
    <w:nsid w:val="4FE30D5A"/>
    <w:multiLevelType w:val="hybridMultilevel"/>
    <w:tmpl w:val="26DC2362"/>
    <w:lvl w:ilvl="0" w:tplc="0410000F">
      <w:start w:val="1"/>
      <w:numFmt w:val="decimal"/>
      <w:lvlText w:val="%1."/>
      <w:lvlJc w:val="left"/>
      <w:pPr>
        <w:ind w:hanging="360" w:left="360"/>
      </w:pPr>
    </w:lvl>
    <w:lvl w:ilvl="1" w:tplc="04100019">
      <w:start w:val="1"/>
      <w:numFmt w:val="lowerLetter"/>
      <w:lvlText w:val="%2."/>
      <w:lvlJc w:val="left"/>
      <w:pPr>
        <w:ind w:hanging="360" w:left="1080"/>
      </w:pPr>
    </w:lvl>
    <w:lvl w:ilvl="2" w:tentative="1" w:tplc="0410001B">
      <w:start w:val="1"/>
      <w:numFmt w:val="lowerRoman"/>
      <w:lvlText w:val="%3."/>
      <w:lvlJc w:val="right"/>
      <w:pPr>
        <w:ind w:hanging="180" w:left="1800"/>
      </w:pPr>
    </w:lvl>
    <w:lvl w:ilvl="3" w:tentative="1" w:tplc="0410000F">
      <w:start w:val="1"/>
      <w:numFmt w:val="decimal"/>
      <w:lvlText w:val="%4."/>
      <w:lvlJc w:val="left"/>
      <w:pPr>
        <w:ind w:hanging="360" w:left="2520"/>
      </w:pPr>
    </w:lvl>
    <w:lvl w:ilvl="4" w:tentative="1" w:tplc="04100019">
      <w:start w:val="1"/>
      <w:numFmt w:val="lowerLetter"/>
      <w:lvlText w:val="%5."/>
      <w:lvlJc w:val="left"/>
      <w:pPr>
        <w:ind w:hanging="360" w:left="3240"/>
      </w:pPr>
    </w:lvl>
    <w:lvl w:ilvl="5" w:tentative="1" w:tplc="0410001B">
      <w:start w:val="1"/>
      <w:numFmt w:val="lowerRoman"/>
      <w:lvlText w:val="%6."/>
      <w:lvlJc w:val="right"/>
      <w:pPr>
        <w:ind w:hanging="180" w:left="3960"/>
      </w:pPr>
    </w:lvl>
    <w:lvl w:ilvl="6" w:tentative="1" w:tplc="0410000F">
      <w:start w:val="1"/>
      <w:numFmt w:val="decimal"/>
      <w:lvlText w:val="%7."/>
      <w:lvlJc w:val="left"/>
      <w:pPr>
        <w:ind w:hanging="360" w:left="4680"/>
      </w:pPr>
    </w:lvl>
    <w:lvl w:ilvl="7" w:tentative="1" w:tplc="04100019">
      <w:start w:val="1"/>
      <w:numFmt w:val="lowerLetter"/>
      <w:lvlText w:val="%8."/>
      <w:lvlJc w:val="left"/>
      <w:pPr>
        <w:ind w:hanging="360" w:left="5400"/>
      </w:pPr>
    </w:lvl>
    <w:lvl w:ilvl="8" w:tentative="1" w:tplc="0410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1">
    <w:nsid w:val="510C129D"/>
    <w:multiLevelType w:val="hybridMultilevel"/>
    <w:tmpl w:val="1686801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51377E08"/>
    <w:multiLevelType w:val="multilevel"/>
    <w:tmpl w:val="0409001F"/>
    <w:lvl w:ilvl="0">
      <w:start w:val="1"/>
      <w:numFmt w:val="decimal"/>
      <w:lvlText w:val="%1."/>
      <w:lvlJc w:val="left"/>
      <w:pPr>
        <w:ind w:hanging="360" w:left="1068"/>
      </w:pPr>
    </w:lvl>
    <w:lvl w:ilvl="1">
      <w:start w:val="1"/>
      <w:numFmt w:val="decimal"/>
      <w:lvlText w:val="%1.%2."/>
      <w:lvlJc w:val="left"/>
      <w:pPr>
        <w:ind w:hanging="432" w:left="1500"/>
      </w:pPr>
    </w:lvl>
    <w:lvl w:ilvl="2">
      <w:start w:val="1"/>
      <w:numFmt w:val="decimal"/>
      <w:lvlText w:val="%1.%2.%3."/>
      <w:lvlJc w:val="left"/>
      <w:pPr>
        <w:ind w:hanging="504" w:left="1932"/>
      </w:pPr>
    </w:lvl>
    <w:lvl w:ilvl="3">
      <w:start w:val="1"/>
      <w:numFmt w:val="decimal"/>
      <w:lvlText w:val="%1.%2.%3.%4."/>
      <w:lvlJc w:val="left"/>
      <w:pPr>
        <w:ind w:hanging="648" w:left="2436"/>
      </w:pPr>
    </w:lvl>
    <w:lvl w:ilvl="4">
      <w:start w:val="1"/>
      <w:numFmt w:val="decimal"/>
      <w:lvlText w:val="%1.%2.%3.%4.%5."/>
      <w:lvlJc w:val="left"/>
      <w:pPr>
        <w:ind w:hanging="792" w:left="2940"/>
      </w:pPr>
    </w:lvl>
    <w:lvl w:ilvl="5">
      <w:start w:val="1"/>
      <w:numFmt w:val="decimal"/>
      <w:lvlText w:val="%1.%2.%3.%4.%5.%6."/>
      <w:lvlJc w:val="left"/>
      <w:pPr>
        <w:ind w:hanging="936" w:left="3444"/>
      </w:pPr>
    </w:lvl>
    <w:lvl w:ilvl="6">
      <w:start w:val="1"/>
      <w:numFmt w:val="decimal"/>
      <w:lvlText w:val="%1.%2.%3.%4.%5.%6.%7."/>
      <w:lvlJc w:val="left"/>
      <w:pPr>
        <w:ind w:hanging="1080" w:left="3948"/>
      </w:pPr>
    </w:lvl>
    <w:lvl w:ilvl="7">
      <w:start w:val="1"/>
      <w:numFmt w:val="decimal"/>
      <w:lvlText w:val="%1.%2.%3.%4.%5.%6.%7.%8."/>
      <w:lvlJc w:val="left"/>
      <w:pPr>
        <w:ind w:hanging="1224" w:left="4452"/>
      </w:pPr>
    </w:lvl>
    <w:lvl w:ilvl="8">
      <w:start w:val="1"/>
      <w:numFmt w:val="decimal"/>
      <w:lvlText w:val="%1.%2.%3.%4.%5.%6.%7.%8.%9."/>
      <w:lvlJc w:val="left"/>
      <w:pPr>
        <w:ind w:hanging="1440" w:left="5028"/>
      </w:pPr>
    </w:lvl>
  </w:abstractNum>
  <w:abstractNum w15:restartNumberingAfterBreak="0" w:abstractNumId="13">
    <w:nsid w:val="5E605977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6E4F2D6B"/>
    <w:multiLevelType w:val="hybridMultilevel"/>
    <w:tmpl w:val="195C29D4"/>
    <w:lvl w:ilvl="0" w:tplc="0410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0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0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0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0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0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0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0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75AF17A3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6">
    <w:nsid w:val="7AD47592"/>
    <w:multiLevelType w:val="multilevel"/>
    <w:tmpl w:val="0409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7">
    <w:nsid w:val="7EC1760E"/>
    <w:multiLevelType w:val="multilevel"/>
    <w:tmpl w:val="62501BB2"/>
    <w:lvl w:ilvl="0">
      <w:start w:val="1"/>
      <w:numFmt w:val="decimal"/>
      <w:pStyle w:val="MKSHeading1"/>
      <w:lvlText w:val="%1"/>
      <w:lvlJc w:val="left"/>
      <w:pPr>
        <w:tabs>
          <w:tab w:pos="567" w:val="num"/>
        </w:tabs>
        <w:ind w:hanging="567" w:left="567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MKSHeading2"/>
      <w:lvlText w:val="%1.%2"/>
      <w:lvlJc w:val="left"/>
      <w:pPr>
        <w:tabs>
          <w:tab w:pos="851" w:val="num"/>
        </w:tabs>
        <w:ind w:hanging="851" w:left="851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MKSHeading3"/>
      <w:lvlText w:val="%1.%2.%3"/>
      <w:lvlJc w:val="left"/>
      <w:pPr>
        <w:tabs>
          <w:tab w:pos="992" w:val="num"/>
        </w:tabs>
        <w:ind w:hanging="992" w:left="992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MKSHeading4"/>
      <w:lvlText w:val="%1.%2.%3.%4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MKSHeading5"/>
      <w:lvlText w:val="%1.%5.%2.%3.%4.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MKSHeading6"/>
      <w:lvlText w:val="%1.%2.%3.%4.%5.%6"/>
      <w:lvlJc w:val="left"/>
      <w:pPr>
        <w:tabs>
          <w:tab w:pos="1134" w:val="num"/>
        </w:tabs>
        <w:ind w:hanging="1134" w:left="1134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648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14760305" w:numId="1">
    <w:abstractNumId w:val="10"/>
  </w:num>
  <w:num w16cid:durableId="748893062" w:numId="2">
    <w:abstractNumId w:val="3"/>
  </w:num>
  <w:num w16cid:durableId="1701083744" w:numId="3">
    <w:abstractNumId w:val="16"/>
  </w:num>
  <w:num w16cid:durableId="1051072520" w:numId="4">
    <w:abstractNumId w:val="9"/>
  </w:num>
  <w:num w16cid:durableId="41102244" w:numId="5">
    <w:abstractNumId w:val="4"/>
  </w:num>
  <w:num w16cid:durableId="829248808" w:numId="6">
    <w:abstractNumId w:val="12"/>
  </w:num>
  <w:num w16cid:durableId="120199005" w:numId="7">
    <w:abstractNumId w:val="13"/>
  </w:num>
  <w:num w16cid:durableId="1090201274" w:numId="8">
    <w:abstractNumId w:val="1"/>
  </w:num>
  <w:num w16cid:durableId="439491176" w:numId="9">
    <w:abstractNumId w:val="15"/>
  </w:num>
  <w:num w16cid:durableId="1105881603" w:numId="10">
    <w:abstractNumId w:val="2"/>
  </w:num>
  <w:num w16cid:durableId="96407576" w:numId="11">
    <w:abstractNumId w:val="8"/>
  </w:num>
  <w:num w16cid:durableId="1943755665" w:numId="12">
    <w:abstractNumId w:val="6"/>
  </w:num>
  <w:num w16cid:durableId="752360303" w:numId="13">
    <w:abstractNumId w:val="7"/>
  </w:num>
  <w:num w16cid:durableId="2124886220" w:numId="14">
    <w:abstractNumId w:val="17"/>
  </w:num>
  <w:num w16cid:durableId="652180558" w:numId="15">
    <w:abstractNumId w:val="0"/>
  </w:num>
  <w:num w16cid:durableId="153188364" w:numId="16">
    <w:abstractNumId w:val="14"/>
  </w:num>
  <w:num w16cid:durableId="736443011" w:numId="17">
    <w:abstractNumId w:val="11"/>
  </w:num>
  <w:num w16cid:durableId="802579858" w:numId="18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proofState w:grammar="clean" w:spelling="clean"/>
  <w:attachedTemplate r:id="rId1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Ver" w:val="ቂሽሿ"/>
    <w:docVar w:name="CheckSum" w:val="ቃቂቁቆ!ቃቀቃቀ!ቅሿቃቃ"/>
    <w:docVar w:name="CLIName" w:val="ቤችቒቻተኂኂቸትቸቴታ!ቢባሯቒቾችትቸታቴችኃቸተቻ!ቤችቒቻተኂኂቸትቸቴታ"/>
    <w:docVar w:name="DateTime" w:val="ቀሾቁቈሾቁሿቁሿሯሯቀቅ቉ሿቄሯሷቖቜባሺቀ቉ሿሸ!ቅሾቃሾቁሿቁሿሯሯቀቃ቉ቄቂሯሷቖቜባሺቁ቉ሿሸ!ቃሾቀቂሾቁሿቁቀሯሯቀቀ቉ቀቆሯሷቖቜባሺቁ቉ሿሸ"/>
    <w:docVar w:name="DoneBy" w:val="ቢባቫኃተኄትቾኄኁኅ!ቢባቫቼተኁተት!ቪቢባሯቒቾችትቸታቴችኃቸተቻቬሯቍሯቐቘ቟ሯቷተችታቾኅቴኁ"/>
    <w:docVar w:name="IPAddress" w:val="ቖቝቑቒቦቛቀቈቃሿ!ቒባቝቒቦቛቃቂሿቆ!ቒባቝቒቦቛቑቀቃቂ"/>
    <w:docVar w:name="Random" w:val="15"/>
  </w:docVars>
  <w:rsids>
    <w:rsidRoot w:val="00055044"/>
    <w:rsid w:val="0000484D"/>
    <w:rsid w:val="000458AE"/>
    <w:rsid w:val="000473BB"/>
    <w:rsid w:val="00054E86"/>
    <w:rsid w:val="00055044"/>
    <w:rsid w:val="0007210F"/>
    <w:rsid w:val="000870F2"/>
    <w:rsid w:val="00091ACD"/>
    <w:rsid w:val="000A200A"/>
    <w:rsid w:val="000C7E90"/>
    <w:rsid w:val="000F4AE2"/>
    <w:rsid w:val="000F701A"/>
    <w:rsid w:val="0010038C"/>
    <w:rsid w:val="00100D7D"/>
    <w:rsid w:val="001034E6"/>
    <w:rsid w:val="00106003"/>
    <w:rsid w:val="00113C0A"/>
    <w:rsid w:val="00121CAF"/>
    <w:rsid w:val="00130FC2"/>
    <w:rsid w:val="00143B2F"/>
    <w:rsid w:val="00150604"/>
    <w:rsid w:val="00174410"/>
    <w:rsid w:val="0018268C"/>
    <w:rsid w:val="001B5381"/>
    <w:rsid w:val="001C2E68"/>
    <w:rsid w:val="001E600E"/>
    <w:rsid w:val="00201A30"/>
    <w:rsid w:val="00204D85"/>
    <w:rsid w:val="002169C8"/>
    <w:rsid w:val="00227D9E"/>
    <w:rsid w:val="00232ECE"/>
    <w:rsid w:val="00255F37"/>
    <w:rsid w:val="00256C33"/>
    <w:rsid w:val="00272AE8"/>
    <w:rsid w:val="00282AB5"/>
    <w:rsid w:val="002861C6"/>
    <w:rsid w:val="002B2BF9"/>
    <w:rsid w:val="002B7384"/>
    <w:rsid w:val="002F449D"/>
    <w:rsid w:val="002F5A6E"/>
    <w:rsid w:val="002F5F4E"/>
    <w:rsid w:val="00304C9F"/>
    <w:rsid w:val="00311443"/>
    <w:rsid w:val="003212BE"/>
    <w:rsid w:val="00327ABE"/>
    <w:rsid w:val="00355CD2"/>
    <w:rsid w:val="0037686A"/>
    <w:rsid w:val="0038462B"/>
    <w:rsid w:val="003A331D"/>
    <w:rsid w:val="003B0A10"/>
    <w:rsid w:val="003C5B2D"/>
    <w:rsid w:val="003D163D"/>
    <w:rsid w:val="003D6C48"/>
    <w:rsid w:val="003D7C94"/>
    <w:rsid w:val="003E29CC"/>
    <w:rsid w:val="003E6738"/>
    <w:rsid w:val="003E7C51"/>
    <w:rsid w:val="003F0CB6"/>
    <w:rsid w:val="00402867"/>
    <w:rsid w:val="00402F85"/>
    <w:rsid w:val="004032B0"/>
    <w:rsid w:val="00407320"/>
    <w:rsid w:val="0041023F"/>
    <w:rsid w:val="004110DC"/>
    <w:rsid w:val="0042278D"/>
    <w:rsid w:val="00425045"/>
    <w:rsid w:val="00441D39"/>
    <w:rsid w:val="00450E68"/>
    <w:rsid w:val="00461884"/>
    <w:rsid w:val="00482F74"/>
    <w:rsid w:val="004C78CF"/>
    <w:rsid w:val="004D41C6"/>
    <w:rsid w:val="004E2510"/>
    <w:rsid w:val="00524B12"/>
    <w:rsid w:val="005267DD"/>
    <w:rsid w:val="00541D75"/>
    <w:rsid w:val="00551F26"/>
    <w:rsid w:val="005538BA"/>
    <w:rsid w:val="00557B37"/>
    <w:rsid w:val="00577640"/>
    <w:rsid w:val="00580B4A"/>
    <w:rsid w:val="005810EB"/>
    <w:rsid w:val="00592BA2"/>
    <w:rsid w:val="00595851"/>
    <w:rsid w:val="005A0360"/>
    <w:rsid w:val="005A4E23"/>
    <w:rsid w:val="005A7229"/>
    <w:rsid w:val="005C3615"/>
    <w:rsid w:val="005C632B"/>
    <w:rsid w:val="005D0825"/>
    <w:rsid w:val="005D496C"/>
    <w:rsid w:val="005D712D"/>
    <w:rsid w:val="005F4DEF"/>
    <w:rsid w:val="005F7D90"/>
    <w:rsid w:val="00616B68"/>
    <w:rsid w:val="006333C7"/>
    <w:rsid w:val="006442F2"/>
    <w:rsid w:val="00653E86"/>
    <w:rsid w:val="00664D33"/>
    <w:rsid w:val="00673EE7"/>
    <w:rsid w:val="006A7305"/>
    <w:rsid w:val="006F2D26"/>
    <w:rsid w:val="00721075"/>
    <w:rsid w:val="00724111"/>
    <w:rsid w:val="007571EB"/>
    <w:rsid w:val="00787FC7"/>
    <w:rsid w:val="00790A43"/>
    <w:rsid w:val="007B5CB2"/>
    <w:rsid w:val="007C4069"/>
    <w:rsid w:val="007D76F8"/>
    <w:rsid w:val="007E140E"/>
    <w:rsid w:val="007E3E97"/>
    <w:rsid w:val="007F12E0"/>
    <w:rsid w:val="007F67DC"/>
    <w:rsid w:val="007F6FE7"/>
    <w:rsid w:val="00810ACA"/>
    <w:rsid w:val="00833413"/>
    <w:rsid w:val="00841500"/>
    <w:rsid w:val="00872FE2"/>
    <w:rsid w:val="00875A7A"/>
    <w:rsid w:val="008870F8"/>
    <w:rsid w:val="008A3B8D"/>
    <w:rsid w:val="008A427B"/>
    <w:rsid w:val="008C493F"/>
    <w:rsid w:val="008D426F"/>
    <w:rsid w:val="008E2CC2"/>
    <w:rsid w:val="00920B06"/>
    <w:rsid w:val="009310CB"/>
    <w:rsid w:val="00935FB1"/>
    <w:rsid w:val="00937B6B"/>
    <w:rsid w:val="0095053C"/>
    <w:rsid w:val="00953DC0"/>
    <w:rsid w:val="009550F0"/>
    <w:rsid w:val="00955AB6"/>
    <w:rsid w:val="0095642C"/>
    <w:rsid w:val="00966B1E"/>
    <w:rsid w:val="009741B4"/>
    <w:rsid w:val="00986C25"/>
    <w:rsid w:val="009B1429"/>
    <w:rsid w:val="009B2728"/>
    <w:rsid w:val="009C1663"/>
    <w:rsid w:val="009C7141"/>
    <w:rsid w:val="009E017F"/>
    <w:rsid w:val="009F766C"/>
    <w:rsid w:val="00A025CE"/>
    <w:rsid w:val="00A26760"/>
    <w:rsid w:val="00A32BFB"/>
    <w:rsid w:val="00A33DBF"/>
    <w:rsid w:val="00A5224C"/>
    <w:rsid w:val="00A72469"/>
    <w:rsid w:val="00A97271"/>
    <w:rsid w:val="00AA378A"/>
    <w:rsid w:val="00AA4F3F"/>
    <w:rsid w:val="00AB7CD0"/>
    <w:rsid w:val="00AD7486"/>
    <w:rsid w:val="00AE36F2"/>
    <w:rsid w:val="00B040B2"/>
    <w:rsid w:val="00B22693"/>
    <w:rsid w:val="00B22EC4"/>
    <w:rsid w:val="00B4149E"/>
    <w:rsid w:val="00B42EE1"/>
    <w:rsid w:val="00B4642D"/>
    <w:rsid w:val="00B75AB9"/>
    <w:rsid w:val="00B75C33"/>
    <w:rsid w:val="00B84305"/>
    <w:rsid w:val="00BA7556"/>
    <w:rsid w:val="00BB596B"/>
    <w:rsid w:val="00BC7F7B"/>
    <w:rsid w:val="00BD0E83"/>
    <w:rsid w:val="00BE1EDD"/>
    <w:rsid w:val="00C408DE"/>
    <w:rsid w:val="00C410B0"/>
    <w:rsid w:val="00C42079"/>
    <w:rsid w:val="00C43BFA"/>
    <w:rsid w:val="00C57785"/>
    <w:rsid w:val="00C650B8"/>
    <w:rsid w:val="00C740AA"/>
    <w:rsid w:val="00C74A94"/>
    <w:rsid w:val="00C75C3F"/>
    <w:rsid w:val="00C804C7"/>
    <w:rsid w:val="00C842D2"/>
    <w:rsid w:val="00C93D49"/>
    <w:rsid w:val="00C93F35"/>
    <w:rsid w:val="00CA23DE"/>
    <w:rsid w:val="00CC3FC8"/>
    <w:rsid w:val="00CD128D"/>
    <w:rsid w:val="00CD2594"/>
    <w:rsid w:val="00CE5F59"/>
    <w:rsid w:val="00CF2B32"/>
    <w:rsid w:val="00CF37B8"/>
    <w:rsid w:val="00CF5C21"/>
    <w:rsid w:val="00D017A4"/>
    <w:rsid w:val="00D1533B"/>
    <w:rsid w:val="00D16DDA"/>
    <w:rsid w:val="00D74C42"/>
    <w:rsid w:val="00D941FF"/>
    <w:rsid w:val="00DB602A"/>
    <w:rsid w:val="00DE4338"/>
    <w:rsid w:val="00DF28F0"/>
    <w:rsid w:val="00E1179F"/>
    <w:rsid w:val="00E15F6D"/>
    <w:rsid w:val="00E65920"/>
    <w:rsid w:val="00EA0C7C"/>
    <w:rsid w:val="00EC39FF"/>
    <w:rsid w:val="00ED28D6"/>
    <w:rsid w:val="00EE28CA"/>
    <w:rsid w:val="00EE40F9"/>
    <w:rsid w:val="00F07DB6"/>
    <w:rsid w:val="00F24E5F"/>
    <w:rsid w:val="00F2574E"/>
    <w:rsid w:val="00F35BC0"/>
    <w:rsid w:val="00F7113C"/>
    <w:rsid w:val="00F75D7B"/>
    <w:rsid w:val="00F80F6D"/>
    <w:rsid w:val="00F964E5"/>
    <w:rsid w:val="00FB79C7"/>
    <w:rsid w:val="00FE014A"/>
  </w:rsids>
  <w:themeFontLang w:eastAsia="zh-CN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theme="minorBidi" w:eastAsiaTheme="minorHAnsi" w:hAnsi="Arial"/>
        <w:color w:val="002052"/>
        <w:sz w:val="22"/>
        <w:szCs w:val="22"/>
        <w:lang w:bidi="ar-SA" w:eastAsia="en-US" w:val="fr-FR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ST Body text"/>
    <w:rsid w:val="004D41C6"/>
  </w:style>
  <w:style w:styleId="Heading1" w:type="paragraph">
    <w:name w:val="heading 1"/>
    <w:basedOn w:val="Normal"/>
    <w:next w:val="Normal"/>
    <w:link w:val="Heading1Char"/>
    <w:uiPriority w:val="9"/>
    <w:qFormat/>
    <w:rsid w:val="002F5A6E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F5A6E"/>
    <w:pPr>
      <w:keepNext/>
      <w:keepLines/>
      <w:spacing w:before="40"/>
      <w:outlineLvl w:val="1"/>
    </w:pPr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CE5F59"/>
    <w:pPr>
      <w:keepNext/>
      <w:keepLines/>
      <w:spacing w:before="40"/>
      <w:outlineLvl w:val="2"/>
    </w:pPr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alloonText" w:type="paragraph">
    <w:name w:val="Balloon Text"/>
    <w:basedOn w:val="Normal"/>
    <w:link w:val="BalloonTextChar"/>
    <w:uiPriority w:val="99"/>
    <w:semiHidden/>
    <w:unhideWhenUsed/>
    <w:rsid w:val="00A72469"/>
    <w:pPr>
      <w:spacing w:line="240" w:lineRule="auto"/>
    </w:pPr>
    <w:rPr>
      <w:rFonts w:ascii="Tahoma" w:cs="Tahoma" w:hAnsi="Tahoma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72469"/>
    <w:rPr>
      <w:rFonts w:ascii="Tahoma" w:cs="Tahoma" w:hAnsi="Tahoma"/>
      <w:sz w:val="16"/>
      <w:szCs w:val="16"/>
    </w:rPr>
  </w:style>
  <w:style w:styleId="Header" w:type="paragraph">
    <w:name w:val="header"/>
    <w:basedOn w:val="Normal"/>
    <w:link w:val="Head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72469"/>
  </w:style>
  <w:style w:styleId="Footer" w:type="paragraph">
    <w:name w:val="footer"/>
    <w:basedOn w:val="Normal"/>
    <w:link w:val="FooterChar"/>
    <w:uiPriority w:val="99"/>
    <w:unhideWhenUsed/>
    <w:rsid w:val="00A72469"/>
    <w:pPr>
      <w:tabs>
        <w:tab w:pos="4536" w:val="center"/>
        <w:tab w:pos="9072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A72469"/>
  </w:style>
  <w:style w:styleId="NoSpacing" w:type="paragraph">
    <w:name w:val="No Spacing"/>
    <w:aliases w:val="ST body"/>
    <w:next w:val="Normal"/>
    <w:link w:val="NoSpacingChar"/>
    <w:autoRedefine/>
    <w:uiPriority w:val="1"/>
    <w:qFormat/>
    <w:rsid w:val="00B4642D"/>
    <w:rPr>
      <w:iCs/>
      <w:color w:themeColor="text1" w:val="03234B"/>
      <w:lang w:val="en-US"/>
    </w:rPr>
  </w:style>
  <w:style w:customStyle="1" w:styleId="Heading1Char" w:type="character">
    <w:name w:val="Heading 1 Char"/>
    <w:basedOn w:val="DefaultParagraphFont"/>
    <w:link w:val="Heading1"/>
    <w:uiPriority w:val="9"/>
    <w:rsid w:val="002F5A6E"/>
    <w:rPr>
      <w:rFonts w:asciiTheme="majorHAnsi" w:cstheme="majorBidi" w:eastAsiaTheme="majorEastAsia" w:hAnsiTheme="majorHAnsi"/>
      <w:color w:themeColor="text1" w:val="03234B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2F5A6E"/>
    <w:rPr>
      <w:rFonts w:asciiTheme="majorHAnsi" w:cstheme="majorBidi" w:eastAsiaTheme="majorEastAsia" w:hAnsiTheme="majorHAnsi"/>
      <w:color w:themeColor="text1" w:val="03234B"/>
      <w:sz w:val="26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2F5A6E"/>
    <w:pPr>
      <w:spacing w:line="240" w:lineRule="auto"/>
      <w:contextualSpacing/>
    </w:pPr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2F5A6E"/>
    <w:rPr>
      <w:rFonts w:asciiTheme="majorHAnsi" w:cstheme="majorBidi" w:eastAsiaTheme="majorEastAsia" w:hAnsiTheme="majorHAnsi"/>
      <w:color w:themeColor="text1" w:val="03234B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2F5A6E"/>
    <w:pPr>
      <w:numPr>
        <w:ilvl w:val="1"/>
      </w:numPr>
      <w:spacing w:after="160"/>
    </w:pPr>
    <w:rPr>
      <w:rFonts w:asciiTheme="minorHAnsi" w:eastAsiaTheme="minorEastAsia" w:hAnsiTheme="minorHAnsi"/>
      <w:color w:themeColor="text1" w:val="03234B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2F5A6E"/>
    <w:rPr>
      <w:rFonts w:asciiTheme="minorHAnsi" w:eastAsiaTheme="minorEastAsia" w:hAnsiTheme="minorHAnsi"/>
      <w:color w:themeColor="text1" w:val="03234B"/>
      <w:spacing w:val="15"/>
    </w:rPr>
  </w:style>
  <w:style w:styleId="SubtleEmphasis" w:type="character">
    <w:name w:val="Subtle Emphasis"/>
    <w:basedOn w:val="DefaultParagraphFont"/>
    <w:uiPriority w:val="19"/>
    <w:qFormat/>
    <w:rsid w:val="002F5A6E"/>
    <w:rPr>
      <w:i/>
      <w:iCs/>
      <w:color w:themeColor="accent3" w:val="3CB4E6"/>
    </w:rPr>
  </w:style>
  <w:style w:styleId="Emphasis" w:type="character">
    <w:name w:val="Emphasis"/>
    <w:basedOn w:val="DefaultParagraphFont"/>
    <w:uiPriority w:val="20"/>
    <w:qFormat/>
    <w:rsid w:val="002F5A6E"/>
    <w:rPr>
      <w:i/>
      <w:iCs/>
      <w:color w:themeColor="accent2" w:val="E6007E"/>
    </w:rPr>
  </w:style>
  <w:style w:styleId="IntenseEmphasis" w:type="character">
    <w:name w:val="Intense Emphasis"/>
    <w:basedOn w:val="DefaultParagraphFont"/>
    <w:uiPriority w:val="21"/>
    <w:qFormat/>
    <w:rsid w:val="002F5A6E"/>
    <w:rPr>
      <w:i/>
      <w:iCs/>
      <w:color w:themeColor="text1" w:val="03234B"/>
    </w:rPr>
  </w:style>
  <w:style w:styleId="Strong" w:type="character">
    <w:name w:val="Strong"/>
    <w:basedOn w:val="DefaultParagraphFont"/>
    <w:uiPriority w:val="22"/>
    <w:qFormat/>
    <w:rsid w:val="002F5A6E"/>
    <w:rPr>
      <w:b/>
      <w:bCs/>
      <w:color w:themeColor="text1" w:val="03234B"/>
    </w:rPr>
  </w:style>
  <w:style w:styleId="Quote" w:type="paragraph">
    <w:name w:val="Quote"/>
    <w:basedOn w:val="Normal"/>
    <w:next w:val="Normal"/>
    <w:link w:val="QuoteChar"/>
    <w:uiPriority w:val="29"/>
    <w:qFormat/>
    <w:rsid w:val="002F5A6E"/>
    <w:pPr>
      <w:spacing w:after="160" w:before="200"/>
      <w:ind w:left="864" w:right="864"/>
      <w:jc w:val="center"/>
    </w:pPr>
    <w:rPr>
      <w:i/>
      <w:iCs/>
      <w:color w:themeColor="accent3" w:val="3CB4E6"/>
    </w:rPr>
  </w:style>
  <w:style w:customStyle="1" w:styleId="QuoteChar" w:type="character">
    <w:name w:val="Quote Char"/>
    <w:basedOn w:val="DefaultParagraphFont"/>
    <w:link w:val="Quote"/>
    <w:uiPriority w:val="29"/>
    <w:rsid w:val="002F5A6E"/>
    <w:rPr>
      <w:i/>
      <w:iCs/>
      <w:color w:themeColor="accent3" w:val="3CB4E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2F5A6E"/>
    <w:pPr>
      <w:pBdr>
        <w:top w:color="03234B" w:space="10" w:sz="4" w:themeColor="accent1" w:val="single"/>
        <w:bottom w:color="03234B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val="03234B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2F5A6E"/>
    <w:rPr>
      <w:i/>
      <w:iCs/>
      <w:color w:themeColor="text1" w:val="03234B"/>
    </w:rPr>
  </w:style>
  <w:style w:styleId="SubtleReference" w:type="character">
    <w:name w:val="Subtle Reference"/>
    <w:basedOn w:val="DefaultParagraphFont"/>
    <w:uiPriority w:val="31"/>
    <w:qFormat/>
    <w:rsid w:val="002F5A6E"/>
    <w:rPr>
      <w:smallCaps/>
      <w:color w:themeColor="accent3" w:val="3CB4E6"/>
    </w:rPr>
  </w:style>
  <w:style w:styleId="IntenseReference" w:type="character">
    <w:name w:val="Intense Reference"/>
    <w:basedOn w:val="DefaultParagraphFont"/>
    <w:uiPriority w:val="32"/>
    <w:qFormat/>
    <w:rsid w:val="002F5A6E"/>
    <w:rPr>
      <w:b/>
      <w:bCs/>
      <w:smallCaps/>
      <w:color w:themeColor="text1" w:val="03234B"/>
      <w:spacing w:val="5"/>
    </w:rPr>
  </w:style>
  <w:style w:styleId="BookTitle" w:type="character">
    <w:name w:val="Book Title"/>
    <w:basedOn w:val="DefaultParagraphFont"/>
    <w:uiPriority w:val="33"/>
    <w:qFormat/>
    <w:rsid w:val="002F5A6E"/>
    <w:rPr>
      <w:b/>
      <w:bCs/>
      <w:i/>
      <w:iCs/>
      <w:color w:themeColor="text1" w:val="03234B"/>
      <w:spacing w:val="5"/>
    </w:rPr>
  </w:style>
  <w:style w:styleId="ListParagraph" w:type="paragraph">
    <w:name w:val="List Paragraph"/>
    <w:basedOn w:val="Normal"/>
    <w:uiPriority w:val="34"/>
    <w:qFormat/>
    <w:rsid w:val="002F5A6E"/>
    <w:pPr>
      <w:ind w:left="720"/>
      <w:contextualSpacing/>
    </w:pPr>
    <w:rPr>
      <w:color w:themeColor="text1" w:val="03234B"/>
    </w:rPr>
  </w:style>
  <w:style w:customStyle="1" w:styleId="Heading3Char" w:type="character">
    <w:name w:val="Heading 3 Char"/>
    <w:basedOn w:val="DefaultParagraphFont"/>
    <w:link w:val="Heading3"/>
    <w:uiPriority w:val="9"/>
    <w:rsid w:val="00CE5F59"/>
    <w:rPr>
      <w:rFonts w:asciiTheme="majorHAnsi" w:cstheme="majorBidi" w:eastAsiaTheme="majorEastAsia" w:hAnsiTheme="majorHAnsi"/>
      <w:color w:themeColor="accent1" w:themeShade="7F" w:val="011125"/>
      <w:sz w:val="24"/>
      <w:szCs w:val="24"/>
    </w:rPr>
  </w:style>
  <w:style w:customStyle="1" w:styleId="NoSpacingChar" w:type="character">
    <w:name w:val="No Spacing Char"/>
    <w:aliases w:val="ST body Char"/>
    <w:basedOn w:val="DefaultParagraphFont"/>
    <w:link w:val="NoSpacing"/>
    <w:uiPriority w:val="1"/>
    <w:rsid w:val="00B4642D"/>
    <w:rPr>
      <w:iCs/>
      <w:color w:themeColor="text1" w:val="03234B"/>
      <w:lang w:val="en-US"/>
    </w:rPr>
  </w:style>
  <w:style w:styleId="TableGrid" w:type="table">
    <w:name w:val="Table Grid"/>
    <w:basedOn w:val="TableNormal"/>
    <w:uiPriority w:val="59"/>
    <w:rsid w:val="000F4AE2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GridTable4" w:type="table">
    <w:name w:val="Grid Table 4"/>
    <w:basedOn w:val="TableNormal"/>
    <w:uiPriority w:val="49"/>
    <w:rsid w:val="000F4AE2"/>
    <w:pPr>
      <w:spacing w:line="240" w:lineRule="auto"/>
    </w:pPr>
    <w:tblPr>
      <w:tblStyleRowBandSize w:val="1"/>
      <w:tblStyleColBandSize w:val="1"/>
      <w:tblBorders>
        <w:top w:color="0970F1" w:space="0" w:sz="4" w:themeColor="text1" w:themeTint="99" w:val="single"/>
        <w:left w:color="0970F1" w:space="0" w:sz="4" w:themeColor="text1" w:themeTint="99" w:val="single"/>
        <w:bottom w:color="0970F1" w:space="0" w:sz="4" w:themeColor="text1" w:themeTint="99" w:val="single"/>
        <w:right w:color="0970F1" w:space="0" w:sz="4" w:themeColor="text1" w:themeTint="99" w:val="single"/>
        <w:insideH w:color="0970F1" w:space="0" w:sz="4" w:themeColor="text1" w:themeTint="99" w:val="single"/>
        <w:insideV w:color="0970F1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3234B" w:space="0" w:sz="4" w:themeColor="text1" w:val="single"/>
          <w:left w:color="03234B" w:space="0" w:sz="4" w:themeColor="text1" w:val="single"/>
          <w:bottom w:color="03234B" w:space="0" w:sz="4" w:themeColor="text1" w:val="single"/>
          <w:right w:color="03234B" w:space="0" w:sz="4" w:themeColor="text1" w:val="single"/>
          <w:insideH w:val="nil"/>
          <w:insideV w:val="nil"/>
        </w:tcBorders>
        <w:shd w:color="auto" w:fill="03234B" w:themeFill="text1" w:val="clear"/>
      </w:tcPr>
    </w:tblStylePr>
    <w:tblStylePr w:type="lastRow">
      <w:rPr>
        <w:b/>
        <w:bCs/>
      </w:rPr>
      <w:tblPr/>
      <w:tcPr>
        <w:tcBorders>
          <w:top w:color="03234B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BCFFB" w:themeFill="text1" w:themeFillTint="33" w:val="clear"/>
      </w:tcPr>
    </w:tblStylePr>
    <w:tblStylePr w:type="band1Horz">
      <w:tblPr/>
      <w:tcPr>
        <w:shd w:color="auto" w:fill="ABCFFB" w:themeFill="text1" w:themeFillTint="33" w:val="clear"/>
      </w:tcPr>
    </w:tblStylePr>
  </w:style>
  <w:style w:styleId="TOCHeading" w:type="paragraph">
    <w:name w:val="TOC Heading"/>
    <w:basedOn w:val="Heading1"/>
    <w:next w:val="Normal"/>
    <w:uiPriority w:val="39"/>
    <w:unhideWhenUsed/>
    <w:qFormat/>
    <w:rsid w:val="00790A43"/>
    <w:pPr>
      <w:spacing w:line="259" w:lineRule="auto"/>
      <w:outlineLvl w:val="9"/>
    </w:pPr>
    <w:rPr>
      <w:color w:themeColor="accent1" w:themeShade="BF" w:val="021A38"/>
      <w:lang w:val="en-US"/>
    </w:rPr>
  </w:style>
  <w:style w:styleId="TOC1" w:type="paragraph">
    <w:name w:val="toc 1"/>
    <w:basedOn w:val="Normal"/>
    <w:next w:val="Normal"/>
    <w:autoRedefine/>
    <w:uiPriority w:val="39"/>
    <w:unhideWhenUsed/>
    <w:rsid w:val="00790A43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790A43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790A43"/>
    <w:rPr>
      <w:color w:themeColor="hyperlink" w:val="03234B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1E600E"/>
    <w:pPr>
      <w:spacing w:after="200" w:line="240" w:lineRule="auto"/>
    </w:pPr>
    <w:rPr>
      <w:i/>
      <w:iCs/>
      <w:color w:themeColor="text2" w:val="464650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07210F"/>
  </w:style>
  <w:style w:customStyle="1" w:styleId="MKSHeading1" w:type="paragraph">
    <w:name w:val="MKS Heading 1"/>
    <w:basedOn w:val="Normal"/>
    <w:next w:val="Normal"/>
    <w:uiPriority w:val="10"/>
    <w:qFormat/>
    <w:rsid w:val="008D426F"/>
    <w:pPr>
      <w:keepNext/>
      <w:pageBreakBefore/>
      <w:numPr>
        <w:numId w:val="14"/>
      </w:numPr>
      <w:tabs>
        <w:tab w:pos="3430" w:val="left"/>
        <w:tab w:pos="4876" w:val="left"/>
        <w:tab w:pos="6861" w:val="left"/>
      </w:tabs>
      <w:spacing w:after="360" w:line="240" w:lineRule="auto"/>
      <w:jc w:val="both"/>
      <w:outlineLvl w:val="0"/>
    </w:pPr>
    <w:rPr>
      <w:rFonts w:cstheme="majorBidi" w:eastAsiaTheme="majorEastAsia"/>
      <w:b/>
      <w:bCs/>
      <w:caps/>
      <w:color w:val="auto"/>
      <w:sz w:val="32"/>
      <w:szCs w:val="28"/>
      <w:lang w:val="en-US"/>
    </w:rPr>
  </w:style>
  <w:style w:customStyle="1" w:styleId="MKSHeading2" w:type="paragraph">
    <w:name w:val="MKS Heading 2"/>
    <w:basedOn w:val="MKSHeading1"/>
    <w:next w:val="Normal"/>
    <w:link w:val="MKSHeading2Char"/>
    <w:uiPriority w:val="10"/>
    <w:qFormat/>
    <w:rsid w:val="008D426F"/>
    <w:pPr>
      <w:pageBreakBefore w:val="0"/>
      <w:numPr>
        <w:ilvl w:val="1"/>
      </w:numPr>
      <w:spacing w:after="240"/>
      <w:outlineLvl w:val="1"/>
    </w:pPr>
    <w:rPr>
      <w:b w:val="0"/>
      <w:bCs w:val="0"/>
      <w:caps w:val="0"/>
      <w:sz w:val="28"/>
      <w:szCs w:val="26"/>
    </w:rPr>
  </w:style>
  <w:style w:customStyle="1" w:styleId="MKSHeading2Char" w:type="character">
    <w:name w:val="MKS Heading 2 Char"/>
    <w:basedOn w:val="DefaultParagraphFont"/>
    <w:link w:val="MKSHeading2"/>
    <w:uiPriority w:val="10"/>
    <w:rsid w:val="008D426F"/>
    <w:rPr>
      <w:rFonts w:cstheme="majorBidi" w:eastAsiaTheme="majorEastAsia"/>
      <w:color w:val="auto"/>
      <w:sz w:val="28"/>
      <w:szCs w:val="26"/>
      <w:lang w:val="en-US"/>
    </w:rPr>
  </w:style>
  <w:style w:customStyle="1" w:styleId="MKSHeading3" w:type="paragraph">
    <w:name w:val="MKS Heading 3"/>
    <w:basedOn w:val="Normal"/>
    <w:next w:val="Normal"/>
    <w:link w:val="MKSHeading3Char"/>
    <w:uiPriority w:val="10"/>
    <w:qFormat/>
    <w:rsid w:val="008D426F"/>
    <w:pPr>
      <w:keepNext/>
      <w:keepLines/>
      <w:numPr>
        <w:ilvl w:val="2"/>
        <w:numId w:val="14"/>
      </w:numPr>
      <w:tabs>
        <w:tab w:pos="3430" w:val="left"/>
        <w:tab w:pos="4876" w:val="left"/>
        <w:tab w:pos="6861" w:val="left"/>
      </w:tabs>
      <w:spacing w:after="120" w:before="120" w:line="240" w:lineRule="auto"/>
      <w:jc w:val="both"/>
      <w:outlineLvl w:val="2"/>
    </w:pPr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3Char" w:type="character">
    <w:name w:val="MKS Heading 3 Char"/>
    <w:basedOn w:val="DefaultParagraphFont"/>
    <w:link w:val="MKSHeading3"/>
    <w:uiPriority w:val="10"/>
    <w:rsid w:val="008D426F"/>
    <w:rPr>
      <w:rFonts w:cstheme="majorBidi" w:eastAsiaTheme="majorEastAsia"/>
      <w:b/>
      <w:bCs/>
      <w:color w:val="auto"/>
      <w:sz w:val="24"/>
      <w:szCs w:val="24"/>
      <w:lang w:val="en-US"/>
    </w:rPr>
  </w:style>
  <w:style w:customStyle="1" w:styleId="MKSHeading4" w:type="paragraph">
    <w:name w:val="MKS Heading 4"/>
    <w:basedOn w:val="Normal"/>
    <w:next w:val="Normal"/>
    <w:uiPriority w:val="10"/>
    <w:qFormat/>
    <w:rsid w:val="008D426F"/>
    <w:pPr>
      <w:keepNext/>
      <w:keepLines/>
      <w:numPr>
        <w:ilvl w:val="3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3"/>
    </w:pPr>
    <w:rPr>
      <w:rFonts w:cstheme="majorBidi" w:eastAsiaTheme="majorEastAsia"/>
      <w:b/>
      <w:bCs/>
      <w:color w:val="auto"/>
      <w:sz w:val="24"/>
      <w:lang w:val="en-US"/>
    </w:rPr>
  </w:style>
  <w:style w:customStyle="1" w:styleId="MKSHeading5" w:type="paragraph">
    <w:name w:val="MKS Heading 5"/>
    <w:basedOn w:val="Normal"/>
    <w:next w:val="Normal"/>
    <w:uiPriority w:val="10"/>
    <w:qFormat/>
    <w:rsid w:val="008D426F"/>
    <w:pPr>
      <w:keepNext/>
      <w:keepLines/>
      <w:numPr>
        <w:ilvl w:val="4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4"/>
    </w:pPr>
    <w:rPr>
      <w:rFonts w:cstheme="majorBidi" w:eastAsiaTheme="majorEastAsia"/>
      <w:b/>
      <w:bCs/>
      <w:color w:val="auto"/>
      <w:sz w:val="24"/>
      <w:szCs w:val="20"/>
      <w:lang w:val="en-US"/>
    </w:rPr>
  </w:style>
  <w:style w:customStyle="1" w:styleId="MKSHeading6" w:type="paragraph">
    <w:name w:val="MKS Heading 6"/>
    <w:basedOn w:val="Normal"/>
    <w:next w:val="Normal"/>
    <w:uiPriority w:val="10"/>
    <w:qFormat/>
    <w:rsid w:val="008D426F"/>
    <w:pPr>
      <w:keepNext/>
      <w:keepLines/>
      <w:numPr>
        <w:ilvl w:val="5"/>
        <w:numId w:val="14"/>
      </w:numPr>
      <w:tabs>
        <w:tab w:pos="3430" w:val="left"/>
        <w:tab w:pos="4876" w:val="left"/>
        <w:tab w:pos="6861" w:val="left"/>
      </w:tabs>
      <w:spacing w:after="120" w:line="240" w:lineRule="auto"/>
      <w:jc w:val="both"/>
      <w:outlineLvl w:val="5"/>
    </w:pPr>
    <w:rPr>
      <w:rFonts w:cstheme="majorBidi" w:eastAsiaTheme="majorEastAsia"/>
      <w:b/>
      <w:bCs/>
      <w:color w:val="auto"/>
      <w:sz w:val="24"/>
      <w:szCs w:val="18"/>
      <w:lang w:val="en-US"/>
    </w:rPr>
  </w:style>
  <w:style w:customStyle="1" w:styleId="STnote" w:type="paragraph">
    <w:name w:val="ST note"/>
    <w:basedOn w:val="NoSpacing"/>
    <w:link w:val="STnoteChar"/>
    <w:qFormat/>
    <w:rsid w:val="00282AB5"/>
  </w:style>
  <w:style w:customStyle="1" w:styleId="STReq" w:type="paragraph">
    <w:name w:val="ST Req"/>
    <w:basedOn w:val="NoSpacing"/>
    <w:link w:val="STReqChar"/>
    <w:qFormat/>
    <w:rsid w:val="00D1533B"/>
    <w:rPr>
      <w:color w:themeColor="text1" w:themeTint="BF" w:val="0753B3"/>
    </w:rPr>
  </w:style>
  <w:style w:customStyle="1" w:styleId="STnoteChar" w:type="character">
    <w:name w:val="ST note Char"/>
    <w:basedOn w:val="NoSpacingChar"/>
    <w:link w:val="STnote"/>
    <w:rsid w:val="00282AB5"/>
    <w:rPr>
      <w:iCs/>
      <w:color w:themeColor="text1" w:val="03234B"/>
      <w:lang w:val="en-US"/>
    </w:rPr>
  </w:style>
  <w:style w:styleId="TableGridLight" w:type="table">
    <w:name w:val="Grid Table Light"/>
    <w:basedOn w:val="TableNormal"/>
    <w:uiPriority w:val="40"/>
    <w:rsid w:val="00D1533B"/>
    <w:pPr>
      <w:spacing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STReqChar" w:type="character">
    <w:name w:val="ST Req Char"/>
    <w:basedOn w:val="NoSpacingChar"/>
    <w:link w:val="STReq"/>
    <w:rsid w:val="00D1533B"/>
    <w:rPr>
      <w:iCs/>
      <w:color w:themeColor="text1" w:themeTint="BF" w:val="0753B3"/>
      <w:lang w:val="en-US"/>
    </w:rPr>
  </w:style>
  <w:style w:customStyle="1" w:styleId="STMacroReq" w:type="paragraph">
    <w:name w:val="ST Macro Req"/>
    <w:basedOn w:val="STReq"/>
    <w:link w:val="STMacroReqChar"/>
    <w:qFormat/>
    <w:rsid w:val="00150604"/>
  </w:style>
  <w:style w:customStyle="1" w:styleId="STMacroReqChar" w:type="character">
    <w:name w:val="ST Macro Req Char"/>
    <w:basedOn w:val="STReqChar"/>
    <w:link w:val="STMacroReq"/>
    <w:rsid w:val="00150604"/>
    <w:rPr>
      <w:iCs/>
      <w:color w:themeColor="text1" w:themeTint="BF" w:val="0753B3"/>
      <w:lang w:val="en-US"/>
    </w:rPr>
  </w:style>
  <w:style w:styleId="PlaceholderText" w:type="character">
    <w:name w:val="Placeholder Text"/>
    <w:basedOn w:val="DefaultParagraphFont"/>
    <w:uiPriority w:val="99"/>
    <w:semiHidden/>
    <w:rsid w:val="00BC7F7B"/>
    <w:rPr>
      <w:color w:val="808080"/>
    </w:rPr>
  </w:style>
  <w:style w:customStyle="1" w:styleId="Default" w:type="paragraph">
    <w:name w:val="Default"/>
    <w:rsid w:val="00664D33"/>
    <w:pPr>
      <w:autoSpaceDE w:val="0"/>
      <w:autoSpaceDN w:val="0"/>
      <w:adjustRightInd w:val="0"/>
      <w:spacing w:line="240" w:lineRule="auto"/>
    </w:pPr>
    <w:rPr>
      <w:rFonts w:ascii="Verdana" w:cs="Verdana" w:hAnsi="Verdana"/>
      <w:color w:val="000000"/>
      <w:sz w:val="24"/>
      <w:szCs w:val="24"/>
      <w:lang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13" Target="media/image2.jpeg" Type="http://schemas.openxmlformats.org/officeDocument/2006/relationships/image" /><Relationship Id="rId12" Target="media/image1.jpeg" Type="http://schemas.openxmlformats.org/officeDocument/2006/relationships/image" /><Relationship Id="rId17" Target="footer2.xml" Type="http://schemas.openxmlformats.org/officeDocument/2006/relationships/footer" /><Relationship Id="rId16" Target="header2.xml" Type="http://schemas.openxmlformats.org/officeDocument/2006/relationships/header" /><Relationship Id="rId15" Target="footer1.xml" Type="http://schemas.openxmlformats.org/officeDocument/2006/relationships/footer" /><Relationship Id="rId14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annuzza\Downloads\MPT_IPOS.dotx" TargetMode="External"/></Relationships>
</file>

<file path=word/theme/theme1.xml><?xml version="1.0" encoding="utf-8"?>
<a:theme xmlns:a="http://schemas.openxmlformats.org/drawingml/2006/main" name="Theme1">
  <a:themeElements>
    <a:clrScheme name="STMicroelectronics 2020">
      <a:dk1>
        <a:srgbClr val="03234B"/>
      </a:dk1>
      <a:lt1>
        <a:srgbClr val="FFFFFF"/>
      </a:lt1>
      <a:dk2>
        <a:srgbClr val="464650"/>
      </a:dk2>
      <a:lt2>
        <a:srgbClr val="E8E8E9"/>
      </a:lt2>
      <a:accent1>
        <a:srgbClr val="03234B"/>
      </a:accent1>
      <a:accent2>
        <a:srgbClr val="E6007E"/>
      </a:accent2>
      <a:accent3>
        <a:srgbClr val="3CB4E6"/>
      </a:accent3>
      <a:accent4>
        <a:srgbClr val="FFD200"/>
      </a:accent4>
      <a:accent5>
        <a:srgbClr val="49B170"/>
      </a:accent5>
      <a:accent6>
        <a:srgbClr val="8C0078"/>
      </a:accent6>
      <a:hlink>
        <a:srgbClr val="03234B"/>
      </a:hlink>
      <a:folHlink>
        <a:srgbClr val="03234B"/>
      </a:folHlink>
    </a:clrScheme>
    <a:fontScheme name="STMicroelectronics 2020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MPT_IPOS.dotx</Template>
  <TotalTime>5</TotalTime>
  <Pages>9</Pages>
  <Words>930</Words>
  <Characters>5305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IP Objective Specification</vt:lpstr>
      <vt:lpstr/>
    </vt:vector>
  </TitlesOfParts>
  <Company>ST Microelectronics</Company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2026-08-27T08:31:01Z</dcterms:created>
  <dcterms:modified xsi:type="dcterms:W3CDTF">2026-08-27T08:31:01Z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