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KOL and Treatment-Centre Mapping: Model Comparison and Decisions Needed</w:t>
      </w:r>
    </w:p>
    <w:p>
      <w:pPr>
        <w:pStyle w:val="Heading1"/>
      </w:pPr>
      <w:r>
        <w:t xml:space="preserve">Summary</w:t>
      </w:r>
    </w:p>
    <w:p>
      <w:pPr>
        <w:spacing w:after="120"/>
      </w:pPr>
      <w:r>
        <w:t xml:space="preserve">The same mapping prompt (v2) was run three times for obudanersen (ION582) in Angelman syndrome across Germany, France, Italy, Spain and the UK: in Copilot with Claude Opus 5.5, in Copilot with Claude Sonnet 5.5, and in Cowork (Auto, high effort). The three workbooks differ substantially in which centres and KOLs they list and how they tier them.</w:t>
      </w:r>
    </w:p>
    <w:p>
      <w:pPr>
        <w:pStyle w:val="ListParagraph"/>
        <w:numPr>
          <w:ilvl w:val="0"/>
          <w:numId w:val="2"/>
        </w:numPr>
        <w:spacing w:after="80"/>
      </w:pPr>
      <w:r>
        <w:rPr>
          <w:b/>
          <w:bCs/>
        </w:rPr>
        <w:t xml:space="preserve">The differences are not mainly fabrication. </w:t>
      </w:r>
      <w:r>
        <w:t xml:space="preserve">All three agree on the asset and competitor facts, which are confirmed by public sources, and the clinicians spot-checked are real.</w:t>
      </w:r>
    </w:p>
    <w:p>
      <w:pPr>
        <w:pStyle w:val="ListParagraph"/>
        <w:numPr>
          <w:ilvl w:val="0"/>
          <w:numId w:val="2"/>
        </w:numPr>
        <w:spacing w:after="80"/>
      </w:pPr>
      <w:r>
        <w:rPr>
          <w:b/>
          <w:bCs/>
        </w:rPr>
        <w:t xml:space="preserve">The main causes are fixable. </w:t>
      </w:r>
      <w:r>
        <w:t xml:space="preserve">Publication databases were not reachable from the AI environment, the prompt left several scoring and tiering rules open to interpretation, and each model searched different sources.</w:t>
      </w:r>
    </w:p>
    <w:p>
      <w:pPr>
        <w:pStyle w:val="ListParagraph"/>
        <w:numPr>
          <w:ilvl w:val="0"/>
          <w:numId w:val="2"/>
        </w:numPr>
        <w:spacing w:after="80"/>
      </w:pPr>
      <w:r>
        <w:rPr>
          <w:b/>
          <w:bCs/>
        </w:rPr>
        <w:t xml:space="preserve">None of the three outputs should be used for outreach as it stands. </w:t>
      </w:r>
      <w:r>
        <w:t xml:space="preserve">The Cowork workbook is the most complete and best checked, and is the best interim starting point.</w:t>
      </w:r>
    </w:p>
    <w:p>
      <w:pPr>
        <w:pStyle w:val="ListParagraph"/>
        <w:numPr>
          <w:ilvl w:val="0"/>
          <w:numId w:val="2"/>
        </w:numPr>
        <w:spacing w:after="80"/>
      </w:pPr>
      <w:r>
        <w:rPr>
          <w:b/>
          <w:bCs/>
        </w:rPr>
        <w:t xml:space="preserve">A revised prompt (v3.1) is ready. </w:t>
      </w:r>
      <w:r>
        <w:t xml:space="preserve">It needs Medical Affairs sign-off on thirteen rules that apply to every asset. It works without PubMed access; PubMed exports improve it where they can be provided.</w:t>
      </w:r>
    </w:p>
    <w:p>
      <w:pPr>
        <w:pStyle w:val="ListParagraph"/>
        <w:numPr>
          <w:ilvl w:val="0"/>
          <w:numId w:val="2"/>
        </w:numPr>
        <w:spacing w:after="80"/>
      </w:pPr>
      <w:r>
        <w:rPr>
          <w:b/>
          <w:bCs/>
        </w:rPr>
        <w:t xml:space="preserve">Copilot with Opus is the likely production route, </w:t>
      </w:r>
      <w:r>
        <w:t xml:space="preserve">since unrestricted Cowork access is unlikely. v3.1 is designed for it: smaller runs and one country at a time for KOLs.</w:t>
      </w:r>
    </w:p>
    <w:p>
      <w:pPr>
        <w:pStyle w:val="Heading1"/>
      </w:pPr>
      <w:r>
        <w:t xml:space="preserve">What the three runs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cantSplit/>
          <w:tblHeader/>
        </w:trPr>
        <w:tc>
          <w:tcPr>
            <w:tcW w:type="dxa" w:w="30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
            </w:r>
          </w:p>
        </w:tc>
        <w:tc>
          <w:tcPr>
            <w:tcW w:type="dxa" w:w="20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Copilot Opus 5.5</w:t>
            </w:r>
          </w:p>
        </w:tc>
        <w:tc>
          <w:tcPr>
            <w:tcW w:type="dxa" w:w="20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Copilot Sonnet 5.5</w:t>
            </w:r>
          </w:p>
        </w:tc>
        <w:tc>
          <w:tcPr>
            <w:tcW w:type="dxa" w:w="236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Cowork Auto (high)</w:t>
            </w:r>
          </w:p>
        </w:tc>
      </w:tr>
      <w:tr>
        <w:trPr>
          <w:cantSplit/>
          <w:tblHeader w:val="false"/>
        </w:trPr>
        <w:tc>
          <w:tcPr>
            <w:tcW w:type="dxa" w:w="30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Centres mapped (Tiers 1–3)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41</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95</w:t>
            </w:r>
          </w:p>
        </w:tc>
      </w:tr>
      <w:tr>
        <w:trPr>
          <w:cantSplit/>
          <w:tblHeader w:val="false"/>
        </w:trPr>
        <w:tc>
          <w:tcPr>
            <w:tcW w:type="dxa" w:w="30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Tier 1 centres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r>
      <w:tr>
        <w:trPr>
          <w:cantSplit/>
          <w:tblHeader w:val="false"/>
        </w:trPr>
        <w:tc>
          <w:tcPr>
            <w:tcW w:type="dxa" w:w="30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KOLs listed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75</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97</w:t>
            </w:r>
          </w:p>
        </w:tc>
      </w:tr>
      <w:tr>
        <w:trPr>
          <w:cantSplit/>
          <w:tblHeader w:val="false"/>
        </w:trPr>
        <w:tc>
          <w:tcPr>
            <w:tcW w:type="dxa" w:w="30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KOLs per country (FR / DE / IT / ES / UK)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 10 / 12 / 12 / 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 / 15 / 22 / 15 / 14</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 / 20 / 23 / 18 / 17</w:t>
            </w:r>
          </w:p>
        </w:tc>
      </w:tr>
      <w:tr>
        <w:trPr>
          <w:cantSplit/>
          <w:tblHeader w:val="false"/>
        </w:trPr>
        <w:tc>
          <w:tcPr>
            <w:tcW w:type="dxa" w:w="30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15-per-country KOL target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met (disclosed)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met (disclosed)</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 but UK includes 9 non-physicians</w:t>
            </w:r>
          </w:p>
        </w:tc>
      </w:tr>
      <w:tr>
        <w:trPr>
          <w:cantSplit/>
          <w:tblHeader w:val="false"/>
        </w:trPr>
        <w:tc>
          <w:tcPr>
            <w:tcW w:type="dxa" w:w="30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Highest KOL score (Tier 1 needs 24)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22</w:t>
            </w:r>
          </w:p>
        </w:tc>
      </w:tr>
      <w:tr>
        <w:trPr>
          <w:cantSplit/>
          <w:tblHeader w:val="false"/>
        </w:trPr>
        <w:tc>
          <w:tcPr>
            <w:tcW w:type="dxa" w:w="30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KOLs scored Tier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rPr>
          <w:cantSplit/>
          <w:tblHeader w:val="false"/>
        </w:trPr>
        <w:tc>
          <w:tcPr>
            <w:tcW w:type="dxa" w:w="30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Items raised for human review</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w:t>
            </w:r>
          </w:p>
        </w:tc>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92</w:t>
            </w:r>
          </w:p>
        </w:tc>
      </w:tr>
    </w:tbl>
    <w:p>
      <w:pPr>
        <w:spacing w:after="120"/>
      </w:pPr>
      <w:r>
        <w:t xml:space="preserve"/>
      </w:r>
    </w:p>
    <w:p>
      <w:pPr>
        <w:spacing w:after="120"/>
      </w:pPr>
      <w:r>
        <w:t xml:space="preserve">Across the three files there are 134 distinct KOLs; only 25 appear in all three and 79 appear in only one. The same person is often scored very differently: for example, one German geneticist scores 19, 9 and 8 in the three runs.</w:t>
      </w:r>
    </w:p>
    <w:p>
      <w:pPr>
        <w:pStyle w:val="Heading1"/>
      </w:pPr>
      <w:r>
        <w:t xml:space="preserve">Why the results differ</w:t>
      </w:r>
    </w:p>
    <w:p>
      <w:pPr>
        <w:pStyle w:val="ListParagraph"/>
        <w:numPr>
          <w:ilvl w:val="0"/>
          <w:numId w:val="2"/>
        </w:numPr>
        <w:spacing w:after="80"/>
      </w:pPr>
      <w:r>
        <w:rPr>
          <w:b/>
          <w:bCs/>
        </w:rPr>
        <w:t xml:space="preserve">Publication evidence was not reachable. </w:t>
      </w:r>
      <w:r>
        <w:t xml:space="preserve">PubMed is free to use, but the AI environments block direct queries to it, and ordinary web search returns only fragments. This is likely to remain the case. Publication and speaking scores were therefore kept low, which is why no KOL reached Tier 1. KOL tiers in all three files are understated.</w:t>
      </w:r>
    </w:p>
    <w:p>
      <w:pPr>
        <w:pStyle w:val="ListParagraph"/>
        <w:numPr>
          <w:ilvl w:val="0"/>
          <w:numId w:val="2"/>
        </w:numPr>
        <w:spacing w:after="80"/>
      </w:pPr>
      <w:r>
        <w:rPr>
          <w:b/>
          <w:bCs/>
        </w:rPr>
        <w:t xml:space="preserve">The Tier 1 centre rule cannot be met as written. </w:t>
      </w:r>
      <w:r>
        <w:t xml:space="preserve">No clinician in these five countries authored the 2022 international Angelman consensus, so each model invented its own substitute rule. Three reasonable substitutes gave three different Tier 1 lists, although the core set of about 15 centres is consistent.</w:t>
      </w:r>
    </w:p>
    <w:p>
      <w:pPr>
        <w:pStyle w:val="ListParagraph"/>
        <w:numPr>
          <w:ilvl w:val="0"/>
          <w:numId w:val="2"/>
        </w:numPr>
        <w:spacing w:after="80"/>
      </w:pPr>
      <w:r>
        <w:rPr>
          <w:b/>
          <w:bCs/>
        </w:rPr>
        <w:t xml:space="preserve">The KOL target conflicted with the no-fabrication rule. </w:t>
      </w:r>
      <w:r>
        <w:t xml:space="preserve">Two models stopped short and said so; the third reached the number partly by including psychologists, scientists and allied health staff.</w:t>
      </w:r>
    </w:p>
    <w:p>
      <w:pPr>
        <w:pStyle w:val="ListParagraph"/>
        <w:numPr>
          <w:ilvl w:val="0"/>
          <w:numId w:val="2"/>
        </w:numPr>
        <w:spacing w:after="80"/>
      </w:pPr>
      <w:r>
        <w:rPr>
          <w:b/>
          <w:bCs/>
        </w:rPr>
        <w:t xml:space="preserve">The scoring rules were internally inconsistent. </w:t>
      </w:r>
      <w:r>
        <w:t xml:space="preserve">"Default to 1" conflicted with "do not infer", the awards scale was undefined, and the tier cut-offs did not match the maximum possible score. Each model resolved these differently.</w:t>
      </w:r>
    </w:p>
    <w:p>
      <w:pPr>
        <w:pStyle w:val="ListParagraph"/>
        <w:numPr>
          <w:ilvl w:val="0"/>
          <w:numId w:val="2"/>
        </w:numPr>
        <w:spacing w:after="80"/>
      </w:pPr>
      <w:r>
        <w:rPr>
          <w:b/>
          <w:bCs/>
        </w:rPr>
        <w:t xml:space="preserve">Engagement priority was not tied to the score. </w:t>
      </w:r>
      <w:r>
        <w:t xml:space="preserve">All three models marked the most asset-relevant clinicians as must-engage regardless of their scored tier, using different judgements.</w:t>
      </w:r>
    </w:p>
    <w:p>
      <w:pPr>
        <w:pStyle w:val="ListParagraph"/>
        <w:numPr>
          <w:ilvl w:val="0"/>
          <w:numId w:val="2"/>
        </w:numPr>
        <w:spacing w:after="80"/>
      </w:pPr>
      <w:r>
        <w:rPr>
          <w:b/>
          <w:bCs/>
        </w:rPr>
        <w:t xml:space="preserve">Conference speaking could not be verified </w:t>
      </w:r>
      <w:r>
        <w:t xml:space="preserve">in any run, so that score category was effectively empty.</w:t>
      </w:r>
    </w:p>
    <w:p>
      <w:pPr>
        <w:pStyle w:val="Heading1"/>
      </w:pPr>
      <w:r>
        <w:t xml:space="preserve">Decisions needed from Medical Affairs</w:t>
      </w:r>
    </w:p>
    <w:p>
      <w:pPr>
        <w:spacing w:after="120"/>
      </w:pPr>
      <w:r>
        <w:t xml:space="preserve">These rules apply to every asset and region, not just ION582. D1–D5 come from comparing the three runs; D6–D11 came from a Stage 1 test of the revised prompt on ION582; D12–D13 came from an independent review of the original prompt. All are written into v3.1 as proposed. Please confirm or amend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cantSplit/>
          <w:tblHeader/>
        </w:trPr>
        <w:tc>
          <w:tcPr>
            <w:tcW w:type="dxa" w:w="6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w:t>
            </w:r>
          </w:p>
        </w:tc>
        <w:tc>
          <w:tcPr>
            <w:tcW w:type="dxa" w:w="29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Decision</w:t>
            </w:r>
          </w:p>
        </w:tc>
        <w:tc>
          <w:tcPr>
            <w:tcW w:type="dxa" w:w="586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Proposed rule in v3.1</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Tier 1 centres where no in-scope clinician authored the international guideline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Accept a national guideline author or coordinator, or the named national lead investigator for the asset's or a competitor's trial. Trial-site participation alone stays Tier 2.</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Who counts as a KOL</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Physicians only. Psychologists, scientists and allied health experts go in a separate Wider Experts list: not scored and not counted toward targets. Industry employees are excluded.</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KOL scoring</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Each of seven categories scored 0, 1, 3 or 5, with no evidence scoring 0 and a defined awards scale (maximum 35). Tier 1 = 20–35, Tier 2 = 10–19, Tier 3 = 0–9, reviewed after the first run.</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Engagement priority</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Follows the scored tier, labelled A (must-engage), B (engage) or C (monitor) so it cannot be confused with centre tiers, with four permitted overrides: a role on the asset's trials (A), a competitor-trial lead (at least B), a national anchor (at least B), and a compliance hold.</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KOL minimum per country</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 per country is a search target, not a quota. Shortfalls are reported, never filled with weaker names.</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Diagnostic and laboratory guidelines (e.g. European best-practice guidelines for genetic testing)</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Count toward a KOL's guideline score at their international or national level, but do not make a centre Tier 1. Tier 1 requires a clinical guideline or one of the defined substitutes.</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Countries outside the European Reference Networks (e.g. UK, Switzerland and all non-European regions; Norway is a full member)</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Treat as the network equivalent a tertiary or university hospital with a regional specialist service for the disease area plus either a named disease clinic or a national registry or natural-history study. Without this, the UK can never have a Tier 1 centre.</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D8</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Network membership cannot be confirmed because the member list will not load</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Accept the network list, a network document, the hospital's own page or the national designation as evidence. If none is found, mark the centre "Tier 1 — provisional" and flag it for checking, rather than downgrading it silently.</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registry whose coordinating centre is not named in any source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Its centres count as participating sites (Tier 2 signal) until a source names the coordinator.</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D10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Asset facts and trial-site evidence</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Dose, regimen and regulatory designations are stated only when confirmed by the sponsor or two independent sources. Unofficial copies of trial registries may be used to mark a centre as a trial site, flagged as single-source, but never to name an investigator.</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D11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Sign-off checkpoint after Stage 1</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Each new asset run pauses after Stage 1 with a short list of asset-specific decisions (e.g. which national guidelines exist, which registry counts). Name the Medical Affairs owner who signs these off and the expected turnaround.</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D12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 of the KOL tier for transfer-of-value or fair-market-value fee bands</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prompt's KOL tier measures scientific standing from public evidence. If it is to set transfer-of-value or fee bands, Compliance must approve that use and the scoring rubric, and the organisation's HCP compliance policy takes precedence. The workbook labels the column "KOL Tier (scientific standing)" and says so in its README.</w:t>
            </w:r>
          </w:p>
        </w:tc>
      </w:tr>
      <w:tr>
        <w:trPr>
          <w:cantSplit/>
          <w:tblHeader w:val="false"/>
        </w:trPr>
        <w:tc>
          <w:tcPr>
            <w:tcW w:type="dxa" w:w="6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D13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Evidence time window</w:t>
            </w:r>
          </w:p>
        </w:tc>
        <w:tc>
          <w:tcPr>
            <w:tcW w:type="dxa" w:w="5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window for every time-based criterion: the 7 years up to the run date (publications, trial roles, speaking, centre publication flags).</w:t>
            </w:r>
          </w:p>
        </w:tc>
      </w:tr>
    </w:tbl>
    <w:p>
      <w:pPr>
        <w:spacing w:after="120"/>
      </w:pPr>
      <w:r>
        <w:t xml:space="preserve"/>
      </w:r>
    </w:p>
    <w:p>
      <w:pPr>
        <w:pStyle w:val="Heading1"/>
      </w:pPr>
      <w:r>
        <w:t xml:space="preserve">Actions needed</w:t>
      </w:r>
    </w:p>
    <w:p>
      <w:pPr>
        <w:pStyle w:val="ListParagraph"/>
        <w:numPr>
          <w:ilvl w:val="0"/>
          <w:numId w:val="3"/>
        </w:numPr>
        <w:spacing w:after="80"/>
      </w:pPr>
      <w:r>
        <w:rPr>
          <w:b/>
          <w:bCs/>
        </w:rPr>
        <w:t xml:space="preserve">Confirm decisions D1–D13 </w:t>
      </w:r>
      <w:r>
        <w:t xml:space="preserve">above, or say what should change, and name the D11 sign-off owner.</w:t>
      </w:r>
    </w:p>
    <w:p>
      <w:pPr>
        <w:pStyle w:val="ListParagraph"/>
        <w:numPr>
          <w:ilvl w:val="0"/>
          <w:numId w:val="3"/>
        </w:numPr>
        <w:spacing w:after="80"/>
      </w:pPr>
      <w:r>
        <w:rPr>
          <w:b/>
          <w:bCs/>
        </w:rPr>
        <w:t xml:space="preserve">Accept that KOL tiers are lower bounds unless PubMed data is supplied. </w:t>
      </w:r>
      <w:r>
        <w:t xml:space="preserve">v3.1 does not depend on PubMed: it finds publications through ordinary web search and records, for each KOL, whether the evidence was web-only. Web search under-counts publications, so web-only KOL scores will tend to be low. Engagement priority does not depend on publication scores, so clinicians with roles on the asset's or competitors' trials are still flagged correctly. Where possible, either attach the PubMed exports v3.1 offers, or ask IT to allow PubMed and Europe PMC (eutils.ncbi.nlm.nih.gov and ebi.ac.uk) in the AI environment.</w:t>
      </w:r>
    </w:p>
    <w:p>
      <w:pPr>
        <w:pStyle w:val="ListParagraph"/>
        <w:numPr>
          <w:ilvl w:val="0"/>
          <w:numId w:val="3"/>
        </w:numPr>
        <w:spacing w:after="80"/>
      </w:pPr>
      <w:r>
        <w:rPr>
          <w:b/>
          <w:bCs/>
        </w:rPr>
        <w:t xml:space="preserve">Confirm compliance and data-protection cover. </w:t>
      </w:r>
      <w:r>
        <w:t xml:space="preserve">The workbook profiles and scores named clinicians. Please confirm with Compliance and the DPO that the purpose and lawful basis are documented. v3.1 limits content to public professional information, excludes industry employees, and recommends transfer-of-value disclosure checks for Tier 1 KOLs and anyone flagged for an asset or competitor role.</w:t>
      </w:r>
    </w:p>
    <w:p>
      <w:pPr>
        <w:pStyle w:val="ListParagraph"/>
        <w:numPr>
          <w:ilvl w:val="0"/>
          <w:numId w:val="3"/>
        </w:numPr>
        <w:spacing w:after="80"/>
      </w:pPr>
      <w:r>
        <w:rPr>
          <w:b/>
          <w:bCs/>
        </w:rPr>
        <w:t xml:space="preserve">Treat the current ION582 workbooks as provisional. </w:t>
      </w:r>
      <w:r>
        <w:t xml:space="preserve">If anything is needed before the v3.1 run, use the Cowork workbook (the most complete of the three), review its 65 open verification items, and treat its KOL tiers as lower bounds.</w:t>
      </w:r>
    </w:p>
    <w:p>
      <w:pPr>
        <w:pStyle w:val="Heading1"/>
      </w:pPr>
      <w:r>
        <w:t xml:space="preserve">Running v3.1 in Copilot with Opus</w:t>
      </w:r>
    </w:p>
    <w:p>
      <w:pPr>
        <w:spacing w:after="120"/>
      </w:pPr>
      <w:r>
        <w:t xml:space="preserve">The Opus run was the most cautious of the three: it stopped short rather than pad the list, which is the right behaviour, but it found only five traceable KOLs each in France and the UK. Copilot gives each chat response a limited research and output budget, and covering five countries in one response spreads that budget thinly, so v3.1 splits the work into small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060"/>
        <w:gridCol w:w="1600"/>
      </w:tblGrid>
      <w:tr>
        <w:trPr>
          <w:cantSplit/>
          <w:tblHeader/>
        </w:trPr>
        <w:tc>
          <w:tcPr>
            <w:tcW w:type="dxa" w:w="17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Stage</w:t>
            </w:r>
          </w:p>
        </w:tc>
        <w:tc>
          <w:tcPr>
            <w:tcW w:type="dxa" w:w="606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What it does</w:t>
            </w:r>
          </w:p>
        </w:tc>
        <w:tc>
          <w:tcPr>
            <w:tcW w:type="dxa" w:w="1600"/>
            <w:tcBorders>
              <w:top w:val="single" w:color="BFBFBF" w:sz="4"/>
              <w:left w:val="single" w:color="BFBFBF" w:sz="4"/>
              <w:bottom w:val="single" w:color="BFBFBF" w:sz="4"/>
              <w:right w:val="single" w:color="BFBFBF" w:sz="4"/>
            </w:tcBorders>
            <w:shd w:fill="2E75B6" w:color="auto" w:val="clear"/>
            <w:tcMar>
              <w:top w:type="dxa" w:w="60"/>
              <w:left w:type="dxa" w:w="100"/>
              <w:bottom w:type="dxa" w:w="60"/>
              <w:right w:type="dxa" w:w="100"/>
            </w:tcMar>
          </w:tcPr>
          <w:p>
            <w:r>
              <w:rPr>
                <w:b/>
                <w:bCs/>
                <w:color w:val="FFFFFF"/>
                <w:sz w:val="19"/>
                <w:szCs w:val="19"/>
              </w:rPr>
              <w:t xml:space="preserve">Runs for EU4+UK</w:t>
            </w:r>
          </w:p>
        </w:tc>
      </w:tr>
      <w:tr>
        <w:trPr>
          <w:cantSplit/>
          <w:tblHeader w:val="false"/>
        </w:trPr>
        <w:tc>
          <w:tcPr>
            <w:tcW w:type="dxa" w:w="17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1. Calibrate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Sets the signal pillars and Tier 1 rule, confirms asset facts, and writes optional PubMed searches. Pauses for Medical Affairs sign-off.</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r>
      <w:tr>
        <w:trPr>
          <w:cantSplit/>
          <w:tblHeader w:val="false"/>
        </w:trPr>
        <w:tc>
          <w:tcPr>
            <w:tcW w:type="dxa" w:w="17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2. Centres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Maps and tiers centres, two countries per run.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r>
      <w:tr>
        <w:trPr>
          <w:cantSplit/>
          <w:tblHeader w:val="false"/>
        </w:trPr>
        <w:tc>
          <w:tcPr>
            <w:tcW w:type="dxa" w:w="17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3. KOLs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Finds and scores KOLs, one country per run. A PubMed export can be attached if available.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r>
      <w:tr>
        <w:trPr>
          <w:cantSplit/>
          <w:tblHeader w:val="false"/>
        </w:trPr>
        <w:tc>
          <w:tcPr>
            <w:tcW w:type="dxa" w:w="1700"/>
            <w:tcBorders>
              <w:top w:val="single" w:color="BFBFBF" w:sz="4"/>
              <w:left w:val="single" w:color="BFBFBF" w:sz="4"/>
              <w:bottom w:val="single" w:color="BFBFBF" w:sz="4"/>
              <w:right w:val="single" w:color="BFBFBF" w:sz="4"/>
            </w:tcBorders>
            <w:shd w:fill="EEF3F8" w:color="auto" w:val="clear"/>
            <w:tcMar>
              <w:top w:type="dxa" w:w="60"/>
              <w:left w:type="dxa" w:w="100"/>
              <w:bottom w:type="dxa" w:w="60"/>
              <w:right w:type="dxa" w:w="100"/>
            </w:tcMar>
          </w:tcPr>
          <w:p>
            <w:r>
              <w:rPr>
                <w:b/>
                <w:bCs/>
                <w:sz w:val="19"/>
                <w:szCs w:val="19"/>
              </w:rPr>
              <w:t xml:space="preserve">4. Assemble</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Builds the final workbook, counts and verification pass from the earlier files.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r>
    </w:tbl>
    <w:p>
      <w:pPr>
        <w:spacing w:after="120"/>
      </w:pPr>
      <w:r>
        <w:t xml:space="preserve"/>
      </w:r>
    </w:p>
    <w:p>
      <w:pPr>
        <w:pStyle w:val="ListParagraph"/>
        <w:numPr>
          <w:ilvl w:val="0"/>
          <w:numId w:val="2"/>
        </w:numPr>
        <w:spacing w:after="80"/>
      </w:pPr>
      <w:r>
        <w:rPr>
          <w:b/>
          <w:bCs/>
        </w:rPr>
        <w:t xml:space="preserve">Pin the model. </w:t>
      </w:r>
      <w:r>
        <w:t xml:space="preserve">Select Opus explicitly in Copilot rather than Auto, so every stage runs on the same model.</w:t>
      </w:r>
    </w:p>
    <w:p>
      <w:pPr>
        <w:pStyle w:val="ListParagraph"/>
        <w:numPr>
          <w:ilvl w:val="0"/>
          <w:numId w:val="2"/>
        </w:numPr>
        <w:spacing w:after="80"/>
      </w:pPr>
      <w:r>
        <w:rPr>
          <w:b/>
          <w:bCs/>
        </w:rPr>
        <w:t xml:space="preserve">PubMed is optional. </w:t>
      </w:r>
      <w:r>
        <w:t xml:space="preserve">By default v3.1 works from web search alone and marks each KOL as web-only. If someone can run the five country searches in PubMed and save the results, attaching them is the single biggest improvement to KOL scoring.</w:t>
      </w:r>
    </w:p>
    <w:p>
      <w:pPr>
        <w:pStyle w:val="ListParagraph"/>
        <w:numPr>
          <w:ilvl w:val="0"/>
          <w:numId w:val="2"/>
        </w:numPr>
        <w:spacing w:after="80"/>
      </w:pPr>
      <w:r>
        <w:rPr>
          <w:b/>
          <w:bCs/>
        </w:rPr>
        <w:t xml:space="preserve">Long outputs continue rather than truncate. </w:t>
      </w:r>
      <w:r>
        <w:t xml:space="preserve">If a run hits its limit it stops at a complete row and asks for "continue".</w:t>
      </w:r>
    </w:p>
    <w:p>
      <w:pPr>
        <w:pStyle w:val="ListParagraph"/>
        <w:numPr>
          <w:ilvl w:val="0"/>
          <w:numId w:val="2"/>
        </w:numPr>
        <w:spacing w:after="80"/>
      </w:pPr>
      <w:r>
        <w:rPr>
          <w:b/>
          <w:bCs/>
        </w:rPr>
        <w:t xml:space="preserve">Effort. </w:t>
      </w:r>
      <w:r>
        <w:t xml:space="preserve">About ten Copilot runs per region, each attaching the previous files. That is more steps than a single run, but each is small enough to be done properly and checked.</w:t>
      </w:r>
    </w:p>
    <w:p>
      <w:pPr>
        <w:pStyle w:val="Heading1"/>
      </w:pPr>
      <w:r>
        <w:t xml:space="preserve">Asset context confirmed during the review</w:t>
      </w:r>
    </w:p>
    <w:p>
      <w:pPr>
        <w:pStyle w:val="ListParagraph"/>
        <w:numPr>
          <w:ilvl w:val="0"/>
          <w:numId w:val="2"/>
        </w:numPr>
        <w:spacing w:after="80"/>
      </w:pPr>
      <w:r>
        <w:t xml:space="preserve">Obudanersen (ION582): the pivotal cohort of the Phase 3 REVEAL study completed enrolment in July 2026; first results are expected in the second half of 2027.</w:t>
      </w:r>
    </w:p>
    <w:p>
      <w:pPr>
        <w:pStyle w:val="ListParagraph"/>
        <w:numPr>
          <w:ilvl w:val="0"/>
          <w:numId w:val="2"/>
        </w:numPr>
        <w:spacing w:after="80"/>
      </w:pPr>
      <w:r>
        <w:t xml:space="preserve">Apazunersen (GTX-102, Ultragenyx), which uses the same mechanism, missed its Phase 3 Aspire primary endpoint on 2 September 2026. This is a class-level read-across risk, but it also leaves experienced intrathecal-dosing trial sites in Germany and Spain.</w:t>
      </w:r>
    </w:p>
    <w:p>
      <w:pPr>
        <w:pStyle w:val="ListParagraph"/>
        <w:numPr>
          <w:ilvl w:val="0"/>
          <w:numId w:val="2"/>
        </w:numPr>
        <w:spacing w:after="80"/>
      </w:pPr>
      <w:r>
        <w:t xml:space="preserve">Rugonersen has moved from Roche to Oak Hill Bio and is in a Phase 3 study (BEACON).</w:t>
      </w:r>
    </w:p>
    <w:p>
      <w:pPr>
        <w:pStyle w:val="Heading1"/>
      </w:pPr>
      <w:r>
        <w:t xml:space="preserve">Recommended next steps</w:t>
      </w:r>
    </w:p>
    <w:p>
      <w:pPr>
        <w:pStyle w:val="ListParagraph"/>
        <w:numPr>
          <w:ilvl w:val="0"/>
          <w:numId w:val="4"/>
        </w:numPr>
        <w:spacing w:after="80"/>
      </w:pPr>
      <w:r>
        <w:t xml:space="preserve">Medical Affairs sign-off on D1–D13.</w:t>
      </w:r>
    </w:p>
    <w:p>
      <w:pPr>
        <w:pStyle w:val="ListParagraph"/>
        <w:numPr>
          <w:ilvl w:val="0"/>
          <w:numId w:val="4"/>
        </w:numPr>
        <w:spacing w:after="80"/>
      </w:pPr>
      <w:r>
        <w:t xml:space="preserve">Re-run ION582 in EU4+UK with v3.1 in Copilot with Opus, in stages (attaching PubMed exports if anyone can produce them).</w:t>
      </w:r>
    </w:p>
    <w:p>
      <w:pPr>
        <w:pStyle w:val="ListParagraph"/>
        <w:numPr>
          <w:ilvl w:val="0"/>
          <w:numId w:val="4"/>
        </w:numPr>
        <w:spacing w:after="80"/>
      </w:pPr>
      <w:r>
        <w:t xml:space="preserve">Repeat Stage 3 for one country in a second run (or with Sonnet) and compare the names and scores, to confirm the variance has narrowed.</w:t>
      </w:r>
    </w:p>
    <w:p>
      <w:pPr>
        <w:pStyle w:val="ListParagraph"/>
        <w:numPr>
          <w:ilvl w:val="0"/>
          <w:numId w:val="4"/>
        </w:numPr>
        <w:spacing w:after="80"/>
      </w:pPr>
      <w:r>
        <w:t xml:space="preserve">Review the KOL score distribution and adjust the tier cut-offs if needed, before rolling v3.1 out to other assets and regions.</w:t>
      </w:r>
    </w:p>
    <w:sectPr>
      <w:pgSz w:w="11906" w:h="16838" w:orient="portrait"/>
      <w:pgMar w:top="1200" w:right="1270" w:bottom="120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Cambria" w:cs="Cambria" w:eastAsia="Cambria" w:hAnsi="Cambria"/>
      <w:b/>
      <w:bCs/>
      <w:color w:val="1F3864"/>
      <w:sz w:val="36"/>
      <w:szCs w:val="36"/>
    </w:rPr>
  </w:style>
  <w:style w:type="paragraph" w:styleId="Heading1">
    <w:name w:val="Heading 1"/>
    <w:basedOn w:val="Normal"/>
    <w:next w:val="Normal"/>
    <w:qFormat/>
    <w:pPr>
      <w:spacing w:after="140" w:before="300"/>
      <w:outlineLvl w:val="0"/>
    </w:pPr>
    <w:rPr>
      <w:rFonts w:ascii="Cambria" w:cs="Cambria" w:eastAsia="Cambria" w:hAnsi="Cambria"/>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2026-10-19T13:26:10.636Z</dcterms:created>
  <dcterms:modified xsi:type="dcterms:W3CDTF">2026-10-19T13:26:10.637Z</dcterms:modified>
</cp:coreProperties>
</file>

<file path=docProps/custom.xml><?xml version="1.0" encoding="utf-8"?>
<Properties xmlns="http://schemas.openxmlformats.org/officeDocument/2006/custom-properties" xmlns:vt="http://schemas.openxmlformats.org/officeDocument/2006/docPropsVTypes"/>
</file>