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mbria" w:cs="Cambria" w:eastAsia="Cambria" w:hAnsi="Cambria"/>
          <w:b/>
          <w:bCs/>
          <w:color w:val="1F3A5F"/>
          <w:sz w:val="34"/>
          <w:szCs w:val="34"/>
        </w:rPr>
        <w:t xml:space="preserve">Proposal: Interim Chief Data &amp; AI Officer</w:t>
      </w:r>
    </w:p>
    <w:p>
      <w:pPr>
        <w:pBdr>
          <w:bottom w:val="single" w:color="E0A100" w:sz="10" w:space="4"/>
        </w:pBdr>
        <w:spacing w:after="100"/>
      </w:pPr>
      <w:r>
        <w:rPr>
          <w:rFonts w:ascii="Calibri" w:cs="Calibri" w:eastAsia="Calibri" w:hAnsi="Calibri"/>
          <w:color w:val="595959"/>
          <w:sz w:val="21"/>
          <w:szCs w:val="21"/>
        </w:rPr>
        <w:t xml:space="preserve">Ian Pepper — 12-month internal appointment within the Transformation &amp; Technology Office</w:t>
      </w:r>
    </w:p>
    <w:p>
      <w:pPr>
        <w:keepNext/>
        <w:pBdr>
          <w:bottom w:val="single" w:color="1A8C8C" w:sz="6" w:space="2"/>
        </w:pBdr>
        <w:spacing w:after="60" w:before="140"/>
      </w:pPr>
      <w:r>
        <w:rPr>
          <w:rFonts w:ascii="Cambria" w:cs="Cambria" w:eastAsia="Cambria" w:hAnsi="Cambria"/>
          <w:b/>
          <w:bCs/>
          <w:color w:val="1F3A5F"/>
          <w:sz w:val="23"/>
          <w:szCs w:val="23"/>
        </w:rPr>
        <w:t xml:space="preserve">The proposal</w:t>
      </w:r>
    </w:p>
    <w:p>
      <w:pPr>
        <w:spacing w:after="80"/>
      </w:pPr>
      <w:r>
        <w:rPr>
          <w:rFonts w:ascii="Calibri" w:cs="Calibri" w:eastAsia="Calibri" w:hAnsi="Calibri"/>
          <w:sz w:val="19"/>
          <w:szCs w:val="19"/>
        </w:rPr>
        <w:t xml:space="preserve">I propose filling the Chief Data &amp; AI Officer role in the new Transformation &amp; Technology Office on an </w:t>
      </w:r>
      <w:r>
        <w:rPr>
          <w:rFonts w:ascii="Calibri" w:cs="Calibri" w:eastAsia="Calibri" w:hAnsi="Calibri"/>
          <w:b/>
          <w:bCs/>
          <w:color w:val="1F3A5F"/>
          <w:sz w:val="19"/>
          <w:szCs w:val="19"/>
        </w:rPr>
        <w:t xml:space="preserve">interim basis for 12 months</w:t>
      </w:r>
      <w:r>
        <w:rPr>
          <w:rFonts w:ascii="Calibri" w:cs="Calibri" w:eastAsia="Calibri" w:hAnsi="Calibri"/>
          <w:sz w:val="19"/>
          <w:szCs w:val="19"/>
        </w:rPr>
        <w:t xml:space="preserve">. The new operating model needs this role working in the Enterprise Services layer from the start, connecting the BU CIOs’ priorities to the Data, Automation &amp; AI tower. An internal appointment means the role starts delivering straight away, rather than after a long recruitment and onboarding period. A review at 12 months confirms the long-term arrangement.</w:t>
      </w:r>
    </w:p>
    <w:p>
      <w:pPr>
        <w:keepNext/>
        <w:pBdr>
          <w:bottom w:val="single" w:color="1A8C8C" w:sz="6" w:space="2"/>
        </w:pBdr>
        <w:spacing w:after="60" w:before="140"/>
      </w:pPr>
      <w:r>
        <w:rPr>
          <w:rFonts w:ascii="Cambria" w:cs="Cambria" w:eastAsia="Cambria" w:hAnsi="Cambria"/>
          <w:b/>
          <w:bCs/>
          <w:color w:val="1F3A5F"/>
          <w:sz w:val="23"/>
          <w:szCs w:val="23"/>
        </w:rPr>
        <w:t xml:space="preserve">Why me</w:t>
      </w:r>
    </w:p>
    <w:p>
      <w:pPr>
        <w:pStyle w:val="ListParagraph"/>
        <w:numPr>
          <w:ilvl w:val="0"/>
          <w:numId w:val="2"/>
        </w:numPr>
        <w:spacing w:after="40"/>
      </w:pPr>
      <w:r>
        <w:rPr>
          <w:rFonts w:ascii="Calibri" w:cs="Calibri" w:eastAsia="Calibri" w:hAnsi="Calibri"/>
          <w:b/>
          <w:bCs/>
          <w:color w:val="1F3A5F"/>
          <w:sz w:val="19"/>
          <w:szCs w:val="19"/>
        </w:rPr>
        <w:t xml:space="preserve">Built this before. </w:t>
      </w:r>
      <w:r>
        <w:rPr>
          <w:rFonts w:ascii="Calibri" w:cs="Calibri" w:eastAsia="Calibri" w:hAnsi="Calibri"/>
          <w:sz w:val="19"/>
          <w:szCs w:val="19"/>
        </w:rPr>
        <w:t xml:space="preserve">At Novartis, as Director of Technology Innovation (8.5 years), I led the architecture of a big data platform for real-world evidence and commercial analytics. That is the kind of data and AI foundation this role has to build, and the same RWE and commercial data value this business is now exploring.</w:t>
      </w:r>
    </w:p>
    <w:p>
      <w:pPr>
        <w:pStyle w:val="ListParagraph"/>
        <w:numPr>
          <w:ilvl w:val="0"/>
          <w:numId w:val="2"/>
        </w:numPr>
        <w:spacing w:after="40"/>
      </w:pPr>
      <w:r>
        <w:rPr>
          <w:rFonts w:ascii="Calibri" w:cs="Calibri" w:eastAsia="Calibri" w:hAnsi="Calibri"/>
          <w:b/>
          <w:bCs/>
          <w:color w:val="1F3A5F"/>
          <w:sz w:val="19"/>
          <w:szCs w:val="19"/>
        </w:rPr>
        <w:t xml:space="preserve">Regulated pharma data. </w:t>
      </w:r>
      <w:r>
        <w:rPr>
          <w:rFonts w:ascii="Calibri" w:cs="Calibri" w:eastAsia="Calibri" w:hAnsi="Calibri"/>
          <w:sz w:val="19"/>
          <w:szCs w:val="19"/>
        </w:rPr>
        <w:t xml:space="preserve">A decade in pharma technology, working with GDPR, pharmacovigilance and client data processing obligations, so AI and data are scaled within those limits.</w:t>
      </w:r>
    </w:p>
    <w:p>
      <w:pPr>
        <w:pStyle w:val="ListParagraph"/>
        <w:numPr>
          <w:ilvl w:val="0"/>
          <w:numId w:val="2"/>
        </w:numPr>
        <w:spacing w:after="40"/>
      </w:pPr>
      <w:r>
        <w:rPr>
          <w:rFonts w:ascii="Calibri" w:cs="Calibri" w:eastAsia="Calibri" w:hAnsi="Calibri"/>
          <w:b/>
          <w:bCs/>
          <w:color w:val="1F3A5F"/>
          <w:sz w:val="19"/>
          <w:szCs w:val="19"/>
        </w:rPr>
        <w:t xml:space="preserve">Data depth. </w:t>
      </w:r>
      <w:r>
        <w:rPr>
          <w:rFonts w:ascii="Calibri" w:cs="Calibri" w:eastAsia="Calibri" w:hAnsi="Calibri"/>
          <w:sz w:val="19"/>
          <w:szCs w:val="19"/>
        </w:rPr>
        <w:t xml:space="preserve">Holder of US and EU patents in data systems; mathematics graduate (Trinity College Dublin), which gives rigour in measuring the value AI actually delivers.</w:t>
      </w:r>
    </w:p>
    <w:p>
      <w:pPr>
        <w:keepNext/>
        <w:pBdr>
          <w:bottom w:val="single" w:color="1A8C8C" w:sz="6" w:space="2"/>
        </w:pBdr>
        <w:spacing w:after="60" w:before="140"/>
      </w:pPr>
      <w:r>
        <w:rPr>
          <w:rFonts w:ascii="Cambria" w:cs="Cambria" w:eastAsia="Cambria" w:hAnsi="Cambria"/>
          <w:b/>
          <w:bCs/>
          <w:color w:val="1F3A5F"/>
          <w:sz w:val="23"/>
          <w:szCs w:val="23"/>
        </w:rPr>
        <w:t xml:space="preserve">How the role fits the operating model</w:t>
      </w:r>
    </w:p>
    <w:p>
      <w:pPr>
        <w:spacing w:after="60"/>
      </w:pPr>
      <w:r>
        <w:rPr>
          <w:rFonts w:ascii="Calibri" w:cs="Calibri" w:eastAsia="Calibri" w:hAnsi="Calibri"/>
          <w:sz w:val="19"/>
          <w:szCs w:val="19"/>
        </w:rPr>
        <w:t xml:space="preserve">The role exists to run the </w:t>
      </w:r>
      <w:r>
        <w:rPr>
          <w:rFonts w:ascii="Calibri" w:cs="Calibri" w:eastAsia="Calibri" w:hAnsi="Calibri"/>
          <w:b/>
          <w:bCs/>
          <w:color w:val="1F3A5F"/>
          <w:sz w:val="19"/>
          <w:szCs w:val="19"/>
        </w:rPr>
        <w:t xml:space="preserve">value flywheel</w:t>
      </w:r>
      <w:r>
        <w:rPr>
          <w:rFonts w:ascii="Calibri" w:cs="Calibri" w:eastAsia="Calibri" w:hAnsi="Calibri"/>
          <w:sz w:val="19"/>
          <w:szCs w:val="19"/>
        </w:rPr>
        <w:t xml:space="preserve"> for data and AI. I would deliver each of its four steps as follows: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7400"/>
      </w:tblGrid>
      <w:tr>
        <w:trPr>
          <w:cantSplit/>
        </w:trPr>
        <w:tc>
          <w:tcPr>
            <w:tcW w:type="dxa" w:w="2400"/>
            <w:tcBorders>
              <w:top w:val="single" w:color="BFBFBF" w:sz="4"/>
              <w:left w:val="single" w:color="BFBFBF" w:sz="4"/>
              <w:bottom w:val="single" w:color="BFBFBF" w:sz="4"/>
              <w:right w:val="single" w:color="BFBFBF" w:sz="4"/>
            </w:tcBorders>
            <w:shd w:fill="FFF4D6" w:color="auto" w:val="clear"/>
            <w:tcMar>
              <w:top w:type="dxa" w:w="30"/>
              <w:left w:type="dxa" w:w="80"/>
              <w:bottom w:type="dxa" w:w="30"/>
              <w:right w:type="dxa" w:w="80"/>
            </w:tcMar>
          </w:tcPr>
          <w:p>
            <w:r>
              <w:rPr>
                <w:rFonts w:ascii="Calibri" w:cs="Calibri" w:eastAsia="Calibri" w:hAnsi="Calibri"/>
                <w:b/>
                <w:bCs/>
                <w:color w:val="1F3A5F"/>
                <w:sz w:val="16"/>
                <w:szCs w:val="16"/>
              </w:rPr>
              <w:t xml:space="preserve">1. Initiatives aligned to outcomes</w:t>
            </w:r>
          </w:p>
        </w:tc>
        <w:tc>
          <w:tcPr>
            <w:tcW w:type="dxa" w:w="74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color w:val="000000"/>
                <w:sz w:val="16"/>
                <w:szCs w:val="16"/>
              </w:rPr>
              <w:t xml:space="preserve">Every AI and data initiative is costed and linked to ROI and a strategic pillar before it starts.</w:t>
            </w:r>
          </w:p>
        </w:tc>
      </w:tr>
      <w:tr>
        <w:trPr>
          <w:cantSplit/>
        </w:trPr>
        <w:tc>
          <w:tcPr>
            <w:tcW w:type="dxa" w:w="2400"/>
            <w:tcBorders>
              <w:top w:val="single" w:color="BFBFBF" w:sz="4"/>
              <w:left w:val="single" w:color="BFBFBF" w:sz="4"/>
              <w:bottom w:val="single" w:color="BFBFBF" w:sz="4"/>
              <w:right w:val="single" w:color="BFBFBF" w:sz="4"/>
            </w:tcBorders>
            <w:shd w:fill="FFF4D6" w:color="auto" w:val="clear"/>
            <w:tcMar>
              <w:top w:type="dxa" w:w="30"/>
              <w:left w:type="dxa" w:w="80"/>
              <w:bottom w:type="dxa" w:w="30"/>
              <w:right w:type="dxa" w:w="80"/>
            </w:tcMar>
          </w:tcPr>
          <w:p>
            <w:r>
              <w:rPr>
                <w:rFonts w:ascii="Calibri" w:cs="Calibri" w:eastAsia="Calibri" w:hAnsi="Calibri"/>
                <w:b/>
                <w:bCs/>
                <w:color w:val="1F3A5F"/>
                <w:sz w:val="16"/>
                <w:szCs w:val="16"/>
              </w:rPr>
              <w:t xml:space="preserve">2. Data-driven prioritisation</w:t>
            </w:r>
          </w:p>
        </w:tc>
        <w:tc>
          <w:tcPr>
            <w:tcW w:type="dxa" w:w="74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color w:val="000000"/>
                <w:sz w:val="16"/>
                <w:szCs w:val="16"/>
              </w:rPr>
              <w:t xml:space="preserve">Provide the group with trusted data for central review and approval, so decisions are made on evidence.</w:t>
            </w:r>
          </w:p>
        </w:tc>
      </w:tr>
      <w:tr>
        <w:trPr>
          <w:cantSplit/>
        </w:trPr>
        <w:tc>
          <w:tcPr>
            <w:tcW w:type="dxa" w:w="2400"/>
            <w:tcBorders>
              <w:top w:val="single" w:color="BFBFBF" w:sz="4"/>
              <w:left w:val="single" w:color="BFBFBF" w:sz="4"/>
              <w:bottom w:val="single" w:color="BFBFBF" w:sz="4"/>
              <w:right w:val="single" w:color="BFBFBF" w:sz="4"/>
            </w:tcBorders>
            <w:shd w:fill="FFF4D6" w:color="auto" w:val="clear"/>
            <w:tcMar>
              <w:top w:type="dxa" w:w="30"/>
              <w:left w:type="dxa" w:w="80"/>
              <w:bottom w:type="dxa" w:w="30"/>
              <w:right w:type="dxa" w:w="80"/>
            </w:tcMar>
          </w:tcPr>
          <w:p>
            <w:r>
              <w:rPr>
                <w:rFonts w:ascii="Calibri" w:cs="Calibri" w:eastAsia="Calibri" w:hAnsi="Calibri"/>
                <w:b/>
                <w:bCs/>
                <w:color w:val="1F3A5F"/>
                <w:sz w:val="16"/>
                <w:szCs w:val="16"/>
              </w:rPr>
              <w:t xml:space="preserve">3. Delivery confidence &amp; governance</w:t>
            </w:r>
          </w:p>
        </w:tc>
        <w:tc>
          <w:tcPr>
            <w:tcW w:type="dxa" w:w="74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color w:val="000000"/>
                <w:sz w:val="16"/>
                <w:szCs w:val="16"/>
              </w:rPr>
              <w:t xml:space="preserve">Track status and spend against the business case using the existing Architecture Review Board.</w:t>
            </w:r>
          </w:p>
        </w:tc>
      </w:tr>
      <w:tr>
        <w:trPr>
          <w:cantSplit/>
        </w:trPr>
        <w:tc>
          <w:tcPr>
            <w:tcW w:type="dxa" w:w="2400"/>
            <w:tcBorders>
              <w:top w:val="single" w:color="BFBFBF" w:sz="4"/>
              <w:left w:val="single" w:color="BFBFBF" w:sz="4"/>
              <w:bottom w:val="single" w:color="BFBFBF" w:sz="4"/>
              <w:right w:val="single" w:color="BFBFBF" w:sz="4"/>
            </w:tcBorders>
            <w:shd w:fill="FFF4D6" w:color="auto" w:val="clear"/>
            <w:tcMar>
              <w:top w:type="dxa" w:w="30"/>
              <w:left w:type="dxa" w:w="80"/>
              <w:bottom w:type="dxa" w:w="30"/>
              <w:right w:type="dxa" w:w="80"/>
            </w:tcMar>
          </w:tcPr>
          <w:p>
            <w:r>
              <w:rPr>
                <w:rFonts w:ascii="Calibri" w:cs="Calibri" w:eastAsia="Calibri" w:hAnsi="Calibri"/>
                <w:b/>
                <w:bCs/>
                <w:color w:val="1F3A5F"/>
                <w:sz w:val="16"/>
                <w:szCs w:val="16"/>
              </w:rPr>
              <w:t xml:space="preserve">4. Value measured</w:t>
            </w:r>
          </w:p>
        </w:tc>
        <w:tc>
          <w:tcPr>
            <w:tcW w:type="dxa" w:w="74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color w:val="000000"/>
                <w:sz w:val="16"/>
                <w:szCs w:val="16"/>
              </w:rPr>
              <w:t xml:space="preserve">Report realised value (e.g. hours saved, cost avoided, risk closed) into the next cycle and towards EBITDA growth.</w:t>
            </w:r>
          </w:p>
        </w:tc>
      </w:tr>
    </w:tbl>
    <w:p>
      <w:pPr>
        <w:keepNext/>
        <w:pBdr>
          <w:bottom w:val="single" w:color="1A8C8C" w:sz="6" w:space="2"/>
        </w:pBdr>
        <w:spacing w:after="60" w:before="140"/>
      </w:pPr>
      <w:r>
        <w:rPr>
          <w:rFonts w:ascii="Cambria" w:cs="Cambria" w:eastAsia="Cambria" w:hAnsi="Cambria"/>
          <w:b/>
          <w:bCs/>
          <w:color w:val="1F3A5F"/>
          <w:sz w:val="23"/>
          <w:szCs w:val="23"/>
        </w:rPr>
        <w:t xml:space="preserve">Why an internal appointment</w:t>
      </w:r>
    </w:p>
    <w:p>
      <w:pPr>
        <w:pStyle w:val="ListParagraph"/>
        <w:numPr>
          <w:ilvl w:val="0"/>
          <w:numId w:val="2"/>
        </w:numPr>
        <w:spacing w:after="40"/>
      </w:pPr>
      <w:r>
        <w:rPr>
          <w:rFonts w:ascii="Calibri" w:cs="Calibri" w:eastAsia="Calibri" w:hAnsi="Calibri"/>
          <w:b/>
          <w:bCs/>
          <w:color w:val="1F3A5F"/>
          <w:sz w:val="19"/>
          <w:szCs w:val="19"/>
        </w:rPr>
        <w:t xml:space="preserve">Knows the business. </w:t>
      </w:r>
      <w:r>
        <w:rPr>
          <w:rFonts w:ascii="Calibri" w:cs="Calibri" w:eastAsia="Calibri" w:hAnsi="Calibri"/>
          <w:sz w:val="19"/>
          <w:szCs w:val="19"/>
        </w:rPr>
        <w:t xml:space="preserve">Capability maps across all three divisions and the architecture repository (LeanIX). I already work with the BU CIOs, the CTO and the delivery towers.</w:t>
      </w:r>
    </w:p>
    <w:p>
      <w:pPr>
        <w:pStyle w:val="ListParagraph"/>
        <w:numPr>
          <w:ilvl w:val="0"/>
          <w:numId w:val="2"/>
        </w:numPr>
        <w:spacing w:after="40"/>
      </w:pPr>
      <w:r>
        <w:rPr>
          <w:rFonts w:ascii="Calibri" w:cs="Calibri" w:eastAsia="Calibri" w:hAnsi="Calibri"/>
          <w:b/>
          <w:bCs/>
          <w:color w:val="1F3A5F"/>
          <w:sz w:val="19"/>
          <w:szCs w:val="19"/>
        </w:rPr>
        <w:t xml:space="preserve">Knows the risks. </w:t>
      </w:r>
      <w:r>
        <w:rPr>
          <w:rFonts w:ascii="Calibri" w:cs="Calibri" w:eastAsia="Calibri" w:hAnsi="Calibri"/>
          <w:sz w:val="19"/>
          <w:szCs w:val="19"/>
        </w:rPr>
        <w:t xml:space="preserve">I have documented the main data risks: HealthPoint compliance gaps, Greenogue data sovereignty, and the governance of pharmacy prescription data.</w:t>
      </w:r>
    </w:p>
    <w:p>
      <w:pPr>
        <w:pStyle w:val="ListParagraph"/>
        <w:numPr>
          <w:ilvl w:val="0"/>
          <w:numId w:val="2"/>
        </w:numPr>
        <w:spacing w:after="40"/>
      </w:pPr>
      <w:r>
        <w:rPr>
          <w:rFonts w:ascii="Calibri" w:cs="Calibri" w:eastAsia="Calibri" w:hAnsi="Calibri"/>
          <w:b/>
          <w:bCs/>
          <w:color w:val="1F3A5F"/>
          <w:sz w:val="19"/>
          <w:szCs w:val="19"/>
        </w:rPr>
        <w:t xml:space="preserve">Already delivering. </w:t>
      </w:r>
      <w:r>
        <w:rPr>
          <w:rFonts w:ascii="Calibri" w:cs="Calibri" w:eastAsia="Calibri" w:hAnsi="Calibri"/>
          <w:sz w:val="19"/>
          <w:szCs w:val="19"/>
        </w:rPr>
        <w:t xml:space="preserve">Medical Affairs AI tools have reduced up to 10 days of manual research to about 15 minutes per disease area. We took a “crawl before we walk” approach, which is pace with discipline in practice.</w:t>
      </w:r>
    </w:p>
    <w:p>
      <w:pPr>
        <w:keepNext/>
        <w:pBdr>
          <w:bottom w:val="single" w:color="1A8C8C" w:sz="6" w:space="2"/>
        </w:pBdr>
        <w:spacing w:after="60" w:before="140"/>
      </w:pPr>
      <w:r>
        <w:rPr>
          <w:rFonts w:ascii="Cambria" w:cs="Cambria" w:eastAsia="Cambria" w:hAnsi="Cambria"/>
          <w:b/>
          <w:bCs/>
          <w:color w:val="1F3A5F"/>
          <w:sz w:val="23"/>
          <w:szCs w:val="23"/>
        </w:rPr>
        <w:t xml:space="preserve">12-month plan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500"/>
        <w:gridCol w:w="2766"/>
        <w:gridCol w:w="2767"/>
        <w:gridCol w:w="2767"/>
      </w:tblGrid>
      <w:tr>
        <w:trPr>
          <w:cantSplit/>
        </w:trPr>
        <w:tc>
          <w:tcPr>
            <w:tcW w:type="dxa" w:w="1500"/>
            <w:tcBorders>
              <w:top w:val="single" w:color="BFBFBF" w:sz="4"/>
              <w:left w:val="single" w:color="BFBFBF" w:sz="4"/>
              <w:bottom w:val="single" w:color="BFBFBF" w:sz="4"/>
              <w:right w:val="single" w:color="BFBFBF" w:sz="4"/>
            </w:tcBorders>
            <w:shd w:fill="1F3A5F" w:color="auto" w:val="clear"/>
            <w:tcMar>
              <w:top w:type="dxa" w:w="30"/>
              <w:left w:type="dxa" w:w="80"/>
              <w:bottom w:type="dxa" w:w="30"/>
              <w:right w:type="dxa" w:w="80"/>
            </w:tcMar>
          </w:tcPr>
          <w:p>
            <w:r>
              <w:rPr>
                <w:rFonts w:ascii="Calibri" w:cs="Calibri" w:eastAsia="Calibri" w:hAnsi="Calibri"/>
                <w:b/>
                <w:bCs/>
                <w:color w:val="FFFFFF"/>
                <w:sz w:val="16"/>
                <w:szCs w:val="16"/>
              </w:rPr>
              <w:t xml:space="preserve"/>
            </w:r>
          </w:p>
        </w:tc>
        <w:tc>
          <w:tcPr>
            <w:tcW w:type="dxa" w:w="2766"/>
            <w:tcBorders>
              <w:top w:val="single" w:color="BFBFBF" w:sz="4"/>
              <w:left w:val="single" w:color="BFBFBF" w:sz="4"/>
              <w:bottom w:val="single" w:color="BFBFBF" w:sz="4"/>
              <w:right w:val="single" w:color="BFBFBF" w:sz="4"/>
            </w:tcBorders>
            <w:shd w:fill="1F3A5F" w:color="auto" w:val="clear"/>
            <w:tcMar>
              <w:top w:type="dxa" w:w="30"/>
              <w:left w:type="dxa" w:w="80"/>
              <w:bottom w:type="dxa" w:w="30"/>
              <w:right w:type="dxa" w:w="80"/>
            </w:tcMar>
          </w:tcPr>
          <w:p>
            <w:r>
              <w:rPr>
                <w:rFonts w:ascii="Calibri" w:cs="Calibri" w:eastAsia="Calibri" w:hAnsi="Calibri"/>
                <w:b/>
                <w:bCs/>
                <w:color w:val="FFFFFF"/>
                <w:sz w:val="16"/>
                <w:szCs w:val="16"/>
              </w:rPr>
              <w:t xml:space="preserve">Months 0–3: Stabilise</w:t>
            </w:r>
          </w:p>
        </w:tc>
        <w:tc>
          <w:tcPr>
            <w:tcW w:type="dxa" w:w="2767"/>
            <w:tcBorders>
              <w:top w:val="single" w:color="BFBFBF" w:sz="4"/>
              <w:left w:val="single" w:color="BFBFBF" w:sz="4"/>
              <w:bottom w:val="single" w:color="BFBFBF" w:sz="4"/>
              <w:right w:val="single" w:color="BFBFBF" w:sz="4"/>
            </w:tcBorders>
            <w:shd w:fill="1F3A5F" w:color="auto" w:val="clear"/>
            <w:tcMar>
              <w:top w:type="dxa" w:w="30"/>
              <w:left w:type="dxa" w:w="80"/>
              <w:bottom w:type="dxa" w:w="30"/>
              <w:right w:type="dxa" w:w="80"/>
            </w:tcMar>
          </w:tcPr>
          <w:p>
            <w:r>
              <w:rPr>
                <w:rFonts w:ascii="Calibri" w:cs="Calibri" w:eastAsia="Calibri" w:hAnsi="Calibri"/>
                <w:b/>
                <w:bCs/>
                <w:color w:val="FFFFFF"/>
                <w:sz w:val="16"/>
                <w:szCs w:val="16"/>
              </w:rPr>
              <w:t xml:space="preserve">Months 3–9: Scale</w:t>
            </w:r>
          </w:p>
        </w:tc>
        <w:tc>
          <w:tcPr>
            <w:tcW w:type="dxa" w:w="2767"/>
            <w:tcBorders>
              <w:top w:val="single" w:color="BFBFBF" w:sz="4"/>
              <w:left w:val="single" w:color="BFBFBF" w:sz="4"/>
              <w:bottom w:val="single" w:color="BFBFBF" w:sz="4"/>
              <w:right w:val="single" w:color="BFBFBF" w:sz="4"/>
            </w:tcBorders>
            <w:shd w:fill="1F3A5F" w:color="auto" w:val="clear"/>
            <w:tcMar>
              <w:top w:type="dxa" w:w="30"/>
              <w:left w:type="dxa" w:w="80"/>
              <w:bottom w:type="dxa" w:w="30"/>
              <w:right w:type="dxa" w:w="80"/>
            </w:tcMar>
          </w:tcPr>
          <w:p>
            <w:r>
              <w:rPr>
                <w:rFonts w:ascii="Calibri" w:cs="Calibri" w:eastAsia="Calibri" w:hAnsi="Calibri"/>
                <w:b/>
                <w:bCs/>
                <w:color w:val="FFFFFF"/>
                <w:sz w:val="16"/>
                <w:szCs w:val="16"/>
              </w:rPr>
              <w:t xml:space="preserve">Months 9–12: Embed</w:t>
            </w:r>
          </w:p>
        </w:tc>
      </w:tr>
      <w:tr>
        <w:trPr>
          <w:cantSplit/>
        </w:trPr>
        <w:tc>
          <w:tcPr>
            <w:tcW w:type="dxa" w:w="1500"/>
            <w:tcBorders>
              <w:top w:val="single" w:color="BFBFBF" w:sz="4"/>
              <w:left w:val="single" w:color="BFBFBF" w:sz="4"/>
              <w:bottom w:val="single" w:color="BFBFBF" w:sz="4"/>
              <w:right w:val="single" w:color="BFBFBF" w:sz="4"/>
            </w:tcBorders>
            <w:shd w:fill="E3F1F1" w:color="auto" w:val="clear"/>
            <w:tcMar>
              <w:top w:type="dxa" w:w="30"/>
              <w:left w:type="dxa" w:w="80"/>
              <w:bottom w:type="dxa" w:w="30"/>
              <w:right w:type="dxa" w:w="80"/>
            </w:tcMar>
          </w:tcPr>
          <w:p>
            <w:r>
              <w:rPr>
                <w:rFonts w:ascii="Calibri" w:cs="Calibri" w:eastAsia="Calibri" w:hAnsi="Calibri"/>
                <w:b/>
                <w:bCs/>
                <w:color w:val="1A8C8C"/>
                <w:sz w:val="16"/>
                <w:szCs w:val="16"/>
              </w:rPr>
              <w:t xml:space="preserve">Data</w:t>
            </w:r>
          </w:p>
        </w:tc>
        <w:tc>
          <w:tcPr>
            <w:tcW w:type="dxa" w:w="2766"/>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color w:val="000000"/>
                <w:sz w:val="16"/>
                <w:szCs w:val="16"/>
              </w:rPr>
              <w:t xml:space="preserve">Named data owners for core platforms; data risk register (HealthPoint, Greenogue, prescription data)</w:t>
            </w:r>
          </w:p>
        </w:tc>
        <w:tc>
          <w:tcPr>
            <w:tcW w:type="dxa" w:w="2767"/>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color w:val="000000"/>
                <w:sz w:val="16"/>
                <w:szCs w:val="16"/>
              </w:rPr>
              <w:t xml:space="preserve">Data governance framework agreed with the DPO; one group data platform direction (Fabric/OneLake)</w:t>
            </w:r>
          </w:p>
        </w:tc>
        <w:tc>
          <w:tcPr>
            <w:tcW w:type="dxa" w:w="2767"/>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color w:val="000000"/>
                <w:sz w:val="16"/>
                <w:szCs w:val="16"/>
              </w:rPr>
              <w:t xml:space="preserve">Data governance running as BAU through the ARB</w:t>
            </w:r>
          </w:p>
        </w:tc>
      </w:tr>
      <w:tr>
        <w:trPr>
          <w:cantSplit/>
        </w:trPr>
        <w:tc>
          <w:tcPr>
            <w:tcW w:type="dxa" w:w="1500"/>
            <w:tcBorders>
              <w:top w:val="single" w:color="BFBFBF" w:sz="4"/>
              <w:left w:val="single" w:color="BFBFBF" w:sz="4"/>
              <w:bottom w:val="single" w:color="BFBFBF" w:sz="4"/>
              <w:right w:val="single" w:color="BFBFBF" w:sz="4"/>
            </w:tcBorders>
            <w:shd w:fill="E3F1F1" w:color="auto" w:val="clear"/>
            <w:tcMar>
              <w:top w:type="dxa" w:w="30"/>
              <w:left w:type="dxa" w:w="80"/>
              <w:bottom w:type="dxa" w:w="30"/>
              <w:right w:type="dxa" w:w="80"/>
            </w:tcMar>
          </w:tcPr>
          <w:p>
            <w:r>
              <w:rPr>
                <w:rFonts w:ascii="Calibri" w:cs="Calibri" w:eastAsia="Calibri" w:hAnsi="Calibri"/>
                <w:b/>
                <w:bCs/>
                <w:color w:val="1A8C8C"/>
                <w:sz w:val="16"/>
                <w:szCs w:val="16"/>
              </w:rPr>
              <w:t xml:space="preserve">AI</w:t>
            </w:r>
          </w:p>
        </w:tc>
        <w:tc>
          <w:tcPr>
            <w:tcW w:type="dxa" w:w="2766"/>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color w:val="000000"/>
                <w:sz w:val="16"/>
                <w:szCs w:val="16"/>
              </w:rPr>
              <w:t xml:space="preserve">AI use policy and approved tool list; Medical Affairs agents live</w:t>
            </w:r>
          </w:p>
        </w:tc>
        <w:tc>
          <w:tcPr>
            <w:tcW w:type="dxa" w:w="2767"/>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color w:val="000000"/>
                <w:sz w:val="16"/>
                <w:szCs w:val="16"/>
              </w:rPr>
              <w:t xml:space="preserve">AI agents extended to BU priorities set by the CIOs; hours saved measured</w:t>
            </w:r>
          </w:p>
        </w:tc>
        <w:tc>
          <w:tcPr>
            <w:tcW w:type="dxa" w:w="2767"/>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color w:val="000000"/>
                <w:sz w:val="16"/>
                <w:szCs w:val="16"/>
              </w:rPr>
              <w:t xml:space="preserve">Data, Automation &amp; AI tower delivering to a standard model</w:t>
            </w:r>
          </w:p>
        </w:tc>
      </w:tr>
      <w:tr>
        <w:trPr>
          <w:cantSplit/>
        </w:trPr>
        <w:tc>
          <w:tcPr>
            <w:tcW w:type="dxa" w:w="1500"/>
            <w:tcBorders>
              <w:top w:val="single" w:color="BFBFBF" w:sz="4"/>
              <w:left w:val="single" w:color="BFBFBF" w:sz="4"/>
              <w:bottom w:val="single" w:color="BFBFBF" w:sz="4"/>
              <w:right w:val="single" w:color="BFBFBF" w:sz="4"/>
            </w:tcBorders>
            <w:shd w:fill="E3F1F1" w:color="auto" w:val="clear"/>
            <w:tcMar>
              <w:top w:type="dxa" w:w="30"/>
              <w:left w:type="dxa" w:w="80"/>
              <w:bottom w:type="dxa" w:w="30"/>
              <w:right w:type="dxa" w:w="80"/>
            </w:tcMar>
          </w:tcPr>
          <w:p>
            <w:r>
              <w:rPr>
                <w:rFonts w:ascii="Calibri" w:cs="Calibri" w:eastAsia="Calibri" w:hAnsi="Calibri"/>
                <w:b/>
                <w:bCs/>
                <w:color w:val="1A8C8C"/>
                <w:sz w:val="16"/>
                <w:szCs w:val="16"/>
              </w:rPr>
              <w:t xml:space="preserve">Value</w:t>
            </w:r>
          </w:p>
        </w:tc>
        <w:tc>
          <w:tcPr>
            <w:tcW w:type="dxa" w:w="2766"/>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color w:val="000000"/>
                <w:sz w:val="16"/>
                <w:szCs w:val="16"/>
              </w:rPr>
              <w:t xml:space="preserve">One costed, ROI-linked AI and data portfolio submitted to group prioritisation</w:t>
            </w:r>
          </w:p>
        </w:tc>
        <w:tc>
          <w:tcPr>
            <w:tcW w:type="dxa" w:w="2767"/>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color w:val="000000"/>
                <w:sz w:val="16"/>
                <w:szCs w:val="16"/>
              </w:rPr>
              <w:t xml:space="preserve">Business cases for data products (e.g. RepurSight) taken to a go/no-go decision</w:t>
            </w:r>
          </w:p>
        </w:tc>
        <w:tc>
          <w:tcPr>
            <w:tcW w:type="dxa" w:w="2767"/>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val="false"/>
                <w:bCs w:val="false"/>
                <w:color w:val="000000"/>
                <w:sz w:val="16"/>
                <w:szCs w:val="16"/>
              </w:rPr>
              <w:t xml:space="preserve">Realised value reported into the next flywheel cycle; recommendation on the permanent role</w:t>
            </w:r>
          </w:p>
        </w:tc>
      </w:tr>
    </w:tbl>
    <w:p>
      <w:pPr>
        <w:keepNext/>
        <w:pBdr>
          <w:bottom w:val="single" w:color="1A8C8C" w:sz="6" w:space="2"/>
        </w:pBdr>
        <w:spacing w:after="60" w:before="140"/>
      </w:pPr>
      <w:r>
        <w:rPr>
          <w:rFonts w:ascii="Cambria" w:cs="Cambria" w:eastAsia="Cambria" w:hAnsi="Cambria"/>
          <w:b/>
          <w:bCs/>
          <w:color w:val="1F3A5F"/>
          <w:sz w:val="23"/>
          <w:szCs w:val="23"/>
        </w:rPr>
        <w:t xml:space="preserve">How it would work</w:t>
      </w:r>
    </w:p>
    <w:p>
      <w:pPr>
        <w:pStyle w:val="ListParagraph"/>
        <w:numPr>
          <w:ilvl w:val="0"/>
          <w:numId w:val="2"/>
        </w:numPr>
        <w:spacing w:after="40"/>
      </w:pPr>
      <w:r>
        <w:rPr>
          <w:rFonts w:ascii="Calibri" w:cs="Calibri" w:eastAsia="Calibri" w:hAnsi="Calibri"/>
          <w:b/>
          <w:bCs/>
          <w:color w:val="1F3A5F"/>
          <w:sz w:val="19"/>
          <w:szCs w:val="19"/>
        </w:rPr>
        <w:t xml:space="preserve">Term. </w:t>
      </w:r>
      <w:r>
        <w:rPr>
          <w:rFonts w:ascii="Calibri" w:cs="Calibri" w:eastAsia="Calibri" w:hAnsi="Calibri"/>
          <w:sz w:val="19"/>
          <w:szCs w:val="19"/>
        </w:rPr>
        <w:t xml:space="preserve">12 months, reviewed at months 6 and 12. At month 12, either make the appointment permanent or hand over to a permanent hire with the foundations already in place.</w:t>
      </w:r>
    </w:p>
    <w:p>
      <w:pPr>
        <w:pStyle w:val="ListParagraph"/>
        <w:numPr>
          <w:ilvl w:val="0"/>
          <w:numId w:val="2"/>
        </w:numPr>
        <w:spacing w:after="40"/>
      </w:pPr>
      <w:r>
        <w:rPr>
          <w:rFonts w:ascii="Calibri" w:cs="Calibri" w:eastAsia="Calibri" w:hAnsi="Calibri"/>
          <w:b/>
          <w:bCs/>
          <w:color w:val="1F3A5F"/>
          <w:sz w:val="19"/>
          <w:szCs w:val="19"/>
        </w:rPr>
        <w:t xml:space="preserve">Enterprise Architecture. </w:t>
      </w:r>
      <w:r>
        <w:rPr>
          <w:rFonts w:ascii="Calibri" w:cs="Calibri" w:eastAsia="Calibri" w:hAnsi="Calibri"/>
          <w:sz w:val="19"/>
          <w:szCs w:val="19"/>
        </w:rPr>
        <w:t xml:space="preserve">The Enterprise Architecture tower continues through the ARB and divisional architects. My EA time will reduce, with the split agreed in advance.</w:t>
      </w:r>
    </w:p>
    <w:p>
      <w:pPr>
        <w:pStyle w:val="ListParagraph"/>
        <w:numPr>
          <w:ilvl w:val="0"/>
          <w:numId w:val="2"/>
        </w:numPr>
        <w:spacing w:after="40"/>
      </w:pPr>
      <w:r>
        <w:rPr>
          <w:rFonts w:ascii="Calibri" w:cs="Calibri" w:eastAsia="Calibri" w:hAnsi="Calibri"/>
          <w:b/>
          <w:bCs/>
          <w:color w:val="1F3A5F"/>
          <w:sz w:val="19"/>
          <w:szCs w:val="19"/>
        </w:rPr>
        <w:t xml:space="preserve">Low risk. </w:t>
      </w:r>
      <w:r>
        <w:rPr>
          <w:rFonts w:ascii="Calibri" w:cs="Calibri" w:eastAsia="Calibri" w:hAnsi="Calibri"/>
          <w:sz w:val="19"/>
          <w:szCs w:val="19"/>
        </w:rPr>
        <w:t xml:space="preserve">No recruitment cost or delay, and no learning curve. The arrangement can be reversed at either review point.</w:t>
      </w:r>
    </w:p>
    <w:sectPr>
      <w:pgSz w:w="11906" w:h="16838" w:orient="portrait"/>
      <w:pgMar w:top="850" w:right="1050" w:bottom="850" w:left="10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2026-10-30T09:07:49.206Z</dcterms:created>
  <dcterms:modified xsi:type="dcterms:W3CDTF">2026-10-30T09:07:49.212Z</dcterms:modified>
</cp:coreProperties>
</file>

<file path=docProps/custom.xml><?xml version="1.0" encoding="utf-8"?>
<Properties xmlns="http://schemas.openxmlformats.org/officeDocument/2006/custom-properties" xmlns:vt="http://schemas.openxmlformats.org/officeDocument/2006/docPropsVTypes"/>
</file>