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KOL Mapping: Response to Your Comments</w:t>
      </w:r>
    </w:p>
    <w:p>
      <w:pPr/>
      <w:r>
        <w:t xml:space="preserve">Oct 29, 2026</w:t>
      </w:r>
      <w:r>
        <w:t xml:space="preserve"> · </w:t>
      </w:r>
      <w:r>
        <w:t xml:space="preserve">@Ian</w:t>
      </w:r>
    </w:p>
    <w:p>
      <w:pPr/>
      <w:r>
        <w:t xml:space="preserve">Thanks for your comments on the KOL mapping briefing, Pedro. Most of them go straight into the next version of the prompt (v3.1). Below is what I'm changing, two points I'd like to check with you, and four questions where I need your input.</w:t>
      </w:r>
    </w:p>
    <w:p>
      <w:pPr>
        <w:pStyle w:val="Heading2"/>
      </w:pPr>
      <w:r>
        <w:t xml:space="preserve">What I'm changing</w:t>
      </w:r>
    </w:p>
    <w:tbl>
      <w:tblPr>
        <w:tblStyle w:val="TableGrid"/>
        <w:tblW w:w="0" w:type="auto"/>
        <w:tblLayout w:type="fixed"/>
        <w:tblLook w:val="04A0" w:firstRow="1" w:lastRow="0" w:firstColumn="0" w:lastColumn="0" w:noHBand="0" w:noVBand="1"/>
      </w:tblPr>
      <w:tblGrid>
        <w:gridCol w:w="1173"/>
        <w:gridCol w:w="4587"/>
        <w:gridCol w:w="3600"/>
      </w:tblGrid>
      <w:tr>
        <w:trPr>
          <w:tblHeader/>
        </w:trPr>
        <w:tc>
          <w:tcPr>
            <w:tcW w:w="1173" w:type="dxa"/>
            <w:shd w:val="clear" w:color="auto" w:fill="F2F2F2"/>
          </w:tcPr>
          <w:p>
            <w:pPr/>
            <w:r>
              <w:t xml:space="preserve">Topic</w:t>
            </w:r>
          </w:p>
        </w:tc>
        <w:tc>
          <w:tcPr>
            <w:tcW w:w="4587" w:type="dxa"/>
            <w:shd w:val="clear" w:color="auto" w:fill="F2F2F2"/>
          </w:tcPr>
          <w:p>
            <w:pPr/>
            <w:r>
              <w:t xml:space="preserve">Your comment</w:t>
            </w:r>
          </w:p>
        </w:tc>
        <w:tc>
          <w:tcPr>
            <w:tcW w:w="3600" w:type="dxa"/>
            <w:shd w:val="clear" w:color="auto" w:fill="F2F2F2"/>
          </w:tcPr>
          <w:p>
            <w:pPr/>
            <w:r>
              <w:t xml:space="preserve">Change in v3.1</w:t>
            </w:r>
          </w:p>
        </w:tc>
      </w:tr>
      <w:tr>
        <w:tc>
          <w:tcPr>
            <w:tcW w:w="1173" w:type="dxa"/>
          </w:tcPr>
          <w:p>
            <w:pPr/>
            <w:r>
              <w:t xml:space="preserve">Tier 1 centres (D1)</w:t>
            </w:r>
          </w:p>
        </w:tc>
        <w:tc>
          <w:tcPr>
            <w:tcW w:w="4587" w:type="dxa"/>
          </w:tcPr>
          <w:p>
            <w:pPr/>
            <w:r>
              <w:t xml:space="preserve">Add disease registry coordinators as a route, and Tier 1 centres should belong to the reference network where applicable</w:t>
            </w:r>
          </w:p>
        </w:tc>
        <w:tc>
          <w:tcPr>
            <w:tcW w:w="3600" w:type="dxa"/>
          </w:tcPr>
          <w:p>
            <w:pPr/>
            <w:r>
              <w:t xml:space="preserve">Both already match v3.1, so no further change</w:t>
            </w:r>
          </w:p>
        </w:tc>
      </w:tr>
      <w:tr>
        <w:tc>
          <w:tcPr>
            <w:tcW w:w="1173" w:type="dxa"/>
          </w:tcPr>
          <w:p>
            <w:pPr/>
            <w:r>
              <w:t xml:space="preserve">Who counts as a KOL (D2)</w:t>
            </w:r>
          </w:p>
        </w:tc>
        <w:tc>
          <w:tcPr>
            <w:tcW w:w="4587" w:type="dxa"/>
          </w:tcPr>
          <w:p>
            <w:pPr/>
            <w:r>
              <w:t xml:space="preserve">Not physicians only: scientists such as geneticists can be top KOLs, and anyone authoring a major guideline is a KOL</w:t>
            </w:r>
          </w:p>
        </w:tc>
        <w:tc>
          <w:tcPr>
            <w:tcW w:w="3600" w:type="dxa"/>
          </w:tcPr>
          <w:p>
            <w:pPr/>
            <w:r>
              <w:t xml:space="preserve">Non-physicians join the main KOL list; the separate "wider experts" list goes</w:t>
            </w:r>
          </w:p>
        </w:tc>
      </w:tr>
      <w:tr>
        <w:tc>
          <w:tcPr>
            <w:tcW w:w="1173" w:type="dxa"/>
          </w:tcPr>
          <w:p>
            <w:pPr/>
            <w:r>
              <w:t xml:space="preserve">Asset facts (D10)</w:t>
            </w:r>
          </w:p>
        </w:tc>
        <w:tc>
          <w:tcPr>
            <w:tcW w:w="4587" w:type="dxa"/>
          </w:tcPr>
          <w:p>
            <w:pPr/>
            <w:r>
              <w:t xml:space="preserve">A clinical assessment run before centre mapping can be used</w:t>
            </w:r>
          </w:p>
        </w:tc>
        <w:tc>
          <w:tcPr>
            <w:tcW w:w="3600" w:type="dxa"/>
          </w:tcPr>
          <w:p>
            <w:pPr/>
            <w:r>
              <w:t xml:space="preserve">The BD clinical assessment workbook becomes an accepted source for asset facts</w:t>
            </w:r>
          </w:p>
        </w:tc>
      </w:tr>
      <w:tr>
        <w:tc>
          <w:tcPr>
            <w:tcW w:w="1173" w:type="dxa"/>
          </w:tcPr>
          <w:p>
            <w:pPr/>
            <w:r>
              <w:t xml:space="preserve">Sign-off (D11)</w:t>
            </w:r>
          </w:p>
        </w:tc>
        <w:tc>
          <w:tcPr>
            <w:tcW w:w="4587" w:type="dxa"/>
          </w:tcPr>
          <w:p>
            <w:pPr/>
            <w:r>
              <w:t xml:space="preserve">National guidelines and registries should be looked up, and the owner is whoever runs the prompt</w:t>
            </w:r>
          </w:p>
        </w:tc>
        <w:tc>
          <w:tcPr>
            <w:tcW w:w="3600" w:type="dxa"/>
          </w:tcPr>
          <w:p>
            <w:pPr/>
            <w:r>
              <w:t xml:space="preserve">The agent researches these itself; no separate sign-off owner</w:t>
            </w:r>
          </w:p>
        </w:tc>
      </w:tr>
      <w:tr>
        <w:tc>
          <w:tcPr>
            <w:tcW w:w="1173" w:type="dxa"/>
          </w:tcPr>
          <w:p>
            <w:pPr/>
            <w:r>
              <w:t xml:space="preserve">Use of KOL tiers for TOV (D12)</w:t>
            </w:r>
          </w:p>
        </w:tc>
        <w:tc>
          <w:tcPr>
            <w:tcW w:w="4587" w:type="dxa"/>
          </w:tcPr>
          <w:p>
            <w:pPr/>
            <w:r>
              <w:t xml:space="preserve">The criteria match the TOV policy, so no extra compliance approval is needed</w:t>
            </w:r>
          </w:p>
        </w:tc>
        <w:tc>
          <w:tcPr>
            <w:tcW w:w="3600" w:type="dxa"/>
          </w:tcPr>
          <w:p>
            <w:pPr/>
            <w:r>
              <w:t xml:space="preserve">Removed the compliance sign-off step (see question 2 on matching the policy exactly)</w:t>
            </w:r>
          </w:p>
        </w:tc>
      </w:tr>
      <w:tr>
        <w:tc>
          <w:tcPr>
            <w:tcW w:w="1173" w:type="dxa"/>
          </w:tcPr>
          <w:p>
            <w:pPr/>
            <w:r>
              <w:t xml:space="preserve">Effort</w:t>
            </w:r>
          </w:p>
        </w:tc>
        <w:tc>
          <w:tcPr>
            <w:tcW w:w="4587" w:type="dxa"/>
          </w:tcPr>
          <w:p>
            <w:pPr/>
            <w:r>
              <w:t xml:space="preserve">More effort is fine if it makes the mapping more comprehensive</w:t>
            </w:r>
          </w:p>
        </w:tc>
        <w:tc>
          <w:tcPr>
            <w:tcW w:w="3600" w:type="dxa"/>
          </w:tcPr>
          <w:p>
            <w:pPr/>
            <w:r>
              <w:t xml:space="preserve">Keeps the staged runs and the target of 15 KOLs per country</w:t>
            </w:r>
          </w:p>
        </w:tc>
      </w:tr>
    </w:tbl>
    <w:p>
      <w:pPr>
        <w:pStyle w:val="Heading2"/>
      </w:pPr>
      <w:r>
        <w:t xml:space="preserve">Two points to check together</w:t>
      </w:r>
    </w:p>
    <w:p>
      <w:pPr>
        <w:pStyle w:val="Heading3"/>
      </w:pPr>
      <w:r>
        <w:t xml:space="preserve">Cowork and PubMed</w:t>
      </w:r>
    </w:p>
    <w:p>
      <w:pPr/>
      <w:r>
        <w:t xml:space="preserve">I agree that publication data is essential for proper KOL assessment. One caution: our earlier Cowork run reported that it couldn't search PubMed live. PubMed access depends on how the environment's network is set up, not on Cowork itself.</w:t>
      </w:r>
    </w:p>
    <w:p>
      <w:pPr/>
      <w:r>
        <w:t xml:space="preserve">Cowork did search more thoroughly. It found conference evidence for about two-thirds of its KOLs, against almost none in the Copilot runs. I suggest we test PubMed access in Cowork before committing to it, and check Cowork access and cost for the team at the same time.</w:t>
      </w:r>
    </w:p>
    <w:p>
      <w:pPr/>
      <w:r>
        <w:t xml:space="preserve">Cowork no longer lets us choose the model, so we can't fix it to Opus. Model switching between runs was one cause of the variation in the original comparison. To manage this, v3.1 fixes the scoring and tiering rules so the model has less to interpret, and I'd test consistency by running the same country twice and comparing the results.</w:t>
      </w:r>
    </w:p>
    <w:p>
      <w:pPr>
        <w:pStyle w:val="Heading3"/>
      </w:pPr>
      <w:r>
        <w:t xml:space="preserve">Data protection</w:t>
      </w:r>
    </w:p>
    <w:p>
      <w:pPr/>
      <w:r>
        <w:t xml:space="preserve">I agree all the data is publicly available. GDPR still treats information about named people as personal data even when it is public, and profiling and scoring clinicians counts as processing it.</w:t>
      </w:r>
    </w:p>
    <w:p>
      <w:pPr/>
      <w:r>
        <w:t xml:space="preserve">This is normally covered by a documented legitimate-interest basis, which we may already have for KOL work. I'd suggest a quick confirmation with the DPO rather than a full review.</w:t>
      </w:r>
    </w:p>
    <w:p>
      <w:pPr>
        <w:pStyle w:val="Heading2"/>
      </w:pPr>
      <w:r>
        <w:t xml:space="preserve">Questions for you</w:t>
      </w:r>
    </w:p>
    <w:p>
      <w:pPr/>
      <w:r>
        <w:t xml:space="preserve">Question 2 matters most, because it decides how KOLs are scored.</w:t>
      </w:r>
    </w:p>
    <w:p>
      <w:pPr>
        <w:pStyle w:val="ListParagraph"/>
        <w:numPr>
          <w:ilvl w:val="0"/>
          <w:numId w:val="2"/>
        </w:numPr>
      </w:pPr>
      <w:r>
        <w:rPr>
          <w:b/>
        </w:rPr>
        <w:t xml:space="preserve">Tier 1 criteria (D1).</w:t>
      </w:r>
      <w:r>
        <w:t xml:space="preserve"> Your comment "I thought the Criteria in the prompt made sense:" seems to have been cut off. Do you prefer the original Tier 1 criteria, or do your tracked edits cover what you meant? Your edits already match v3.1.</w:t>
      </w:r>
    </w:p>
    <w:p>
      <w:pPr>
        <w:pStyle w:val="ListParagraph"/>
        <w:numPr>
          <w:ilvl w:val="0"/>
          <w:numId w:val="2"/>
        </w:numPr>
      </w:pPr>
      <w:r>
        <w:rPr>
          <w:b/>
        </w:rPr>
        <w:t xml:space="preserve">Scoring and the TOV policy (D12).</w:t>
      </w:r>
      <w:r>
        <w:t xml:space="preserve"> You mentioned the scoring criteria are the same as in the TOV policy. In v3.1 I changed some of them to fix inconsistencies:</w:t>
      </w:r>
    </w:p>
    <w:p>
      <w:pPr>
        <w:pStyle w:val="ListParagraph"/>
        <w:numPr>
          <w:ilvl w:val="1"/>
          <w:numId w:val="3"/>
        </w:numPr>
      </w:pPr>
      <w:r>
        <w:t xml:space="preserve">"no evidence" scores 0 rather than 1;</w:t>
      </w:r>
    </w:p>
    <w:p>
      <w:pPr>
        <w:pStyle w:val="ListParagraph"/>
        <w:numPr>
          <w:ilvl w:val="1"/>
          <w:numId w:val="3"/>
        </w:numPr>
      </w:pPr>
      <w:r>
        <w:t xml:space="preserve">awards use the same 0/1/3/5 scale as the other categories;</w:t>
      </w:r>
    </w:p>
    <w:p>
      <w:pPr>
        <w:pStyle w:val="ListParagraph"/>
        <w:numPr>
          <w:ilvl w:val="1"/>
          <w:numId w:val="3"/>
        </w:numPr>
      </w:pPr>
      <w:r>
        <w:t xml:space="preserve">a few levels were redefined so they don't overlap;</w:t>
      </w:r>
    </w:p>
    <w:p>
      <w:pPr>
        <w:pStyle w:val="ListParagraph"/>
        <w:numPr>
          <w:ilvl w:val="1"/>
          <w:numId w:val="3"/>
        </w:numPr>
      </w:pPr>
      <w:r>
        <w:t xml:space="preserve">Tier 1 starts at 20 out of 35, because no KOL reached the 24–30 band in testing.</w:t>
      </w:r>
    </w:p>
    <w:p>
      <w:pPr>
        <w:pStyle w:val="ListParagraph"/>
        <w:ind w:left="720"/>
      </w:pPr>
      <w:r>
        <w:t xml:space="preserve">Should the prompt follow the TOV policy exactly, as written? If so, could you share the policy's criteria so I can match them? And if the Tier 1 band needs adjusting, as you noted, does that change need the policy owner's agreement?</w:t>
      </w:r>
    </w:p>
    <w:p>
      <w:pPr>
        <w:pStyle w:val="ListParagraph"/>
        <w:numPr>
          <w:ilvl w:val="0"/>
          <w:numId w:val="2"/>
        </w:numPr>
      </w:pPr>
      <w:r>
        <w:rPr>
          <w:b/>
        </w:rPr>
        <w:t xml:space="preserve">KOLs beyond physicians (D2).</w:t>
      </w:r>
      <w:r>
        <w:t xml:space="preserve"> Should the list include all HCPs (for example psychologists, nurses and speech therapists), or physicians plus scientists and guideline authors? And how should "academic appointment" be scored for a scientist?</w:t>
      </w:r>
    </w:p>
    <w:p>
      <w:pPr>
        <w:pStyle w:val="ListParagraph"/>
        <w:numPr>
          <w:ilvl w:val="0"/>
          <w:numId w:val="2"/>
        </w:numPr>
      </w:pPr>
      <w:r>
        <w:rPr>
          <w:b/>
        </w:rPr>
        <w:t xml:space="preserve">Key congresses.</w:t>
      </w:r>
      <w:r>
        <w:t xml:space="preserve"> Abstract books are often PDFs or behind congress portals, which makes conference evidence hard to find. Could you name the key congresses for each disease area, so the prompt can search them directly?</w:t>
      </w:r>
    </w:p>
    <w:p>
      <w:pPr>
        <w:pStyle w:val="Heading2"/>
      </w:pPr>
      <w:r>
        <w:t xml:space="preserve">Next steps</w:t>
      </w:r>
    </w:p>
    <w:p>
      <w:pPr/>
      <w:r>
        <w:t xml:space="preserve">For you:</w:t>
      </w:r>
    </w:p>
    <w:p>
      <w:pPr>
        <w:pStyle w:val="ListParagraph"/>
        <w:numPr>
          <w:ilvl w:val="0"/>
          <w:numId w:val="4"/>
        </w:numPr>
      </w:pPr>
      <w:r>
        <w:t xml:space="preserve">☐ Answer the four questions above, starting with the TOV policy</w:t>
      </w:r>
    </w:p>
    <w:p>
      <w:pPr>
        <w:pStyle w:val="ListParagraph"/>
        <w:numPr>
          <w:ilvl w:val="0"/>
          <w:numId w:val="4"/>
        </w:numPr>
      </w:pPr>
      <w:r>
        <w:t xml:space="preserve">☐ Share the TOV policy's scoring criteria</w:t>
      </w:r>
    </w:p>
    <w:p>
      <w:pPr>
        <w:pStyle w:val="ListParagraph"/>
        <w:numPr>
          <w:ilvl w:val="0"/>
          <w:numId w:val="4"/>
        </w:numPr>
      </w:pPr>
      <w:r>
        <w:t xml:space="preserve">☐ Name the key congresses for each disease area</w:t>
      </w:r>
    </w:p>
    <w:p>
      <w:pPr/>
      <w:r>
        <w:t xml:space="preserve">For me:</w:t>
      </w:r>
    </w:p>
    <w:p>
      <w:pPr>
        <w:pStyle w:val="ListParagraph"/>
        <w:numPr>
          <w:ilvl w:val="0"/>
          <w:numId w:val="5"/>
        </w:numPr>
      </w:pPr>
      <w:r>
        <w:t xml:space="preserve">☐ Test PubMed access in Cowork, and run the same country twice to check the results are consistent</w:t>
      </w:r>
    </w:p>
    <w:p>
      <w:pPr>
        <w:pStyle w:val="ListParagraph"/>
        <w:numPr>
          <w:ilvl w:val="0"/>
          <w:numId w:val="5"/>
        </w:numPr>
      </w:pPr>
      <w:r>
        <w:t xml:space="preserve">☐ Confirm with Tim what "agents running with Cowork capability" would involve</w:t>
      </w:r>
    </w:p>
    <w:p>
      <w:pPr>
        <w:pStyle w:val="ListParagraph"/>
        <w:numPr>
          <w:ilvl w:val="0"/>
          <w:numId w:val="5"/>
        </w:numPr>
      </w:pPr>
      <w:r>
        <w:t xml:space="preserve">☐ Ask the DPO to confirm the basis for profiling clinicians</w:t>
      </w:r>
    </w:p>
    <w:p>
      <w:pPr>
        <w:pStyle w:val="ListParagraph"/>
        <w:numPr>
          <w:ilvl w:val="0"/>
          <w:numId w:val="5"/>
        </w:numPr>
      </w:pPr>
      <w:r>
        <w:t xml:space="preserve">☐ Update v3.1 and the briefing once I have your answers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KOL Mapping Response to Your Comments</dc:title>
  <dc:description>Claude Docs node/b273be0a-9e24@13 docx-w7</dc:description>
  <cp:revision>13</cp:revision>
</cp:coreProperties>
</file>