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Medical Affairs AI Agents: Business Requirements</w:t>
      </w:r>
    </w:p>
    <w:p>
      <w:pPr>
        <w:spacing w:after="120"/>
      </w:pPr>
      <w:r>
        <w:t xml:space="preserve">This page sets out what the Medical Affairs agents must do, in business terms, so the solution design can be tested against them. It covers the KOL and treatment-centre mapping and conference mapping agents (proposed for Foundry) and the BD and prevalence agents (proposed for Copilot). Requirements R3, R5, R7 and R13 apply mainly to the Foundry agents; the rest apply to 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2900"/>
        <w:gridCol w:w="286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(business reason)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the design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centre, clinician and factual claim in an output is traceable to a named public source (URL, PubMed ID or trial registry number).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Outputs are used to decide which clinicians to engage. An untraceable or invented name is a compliance and reputational risk.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Sources stored per row; anything unsourced is flagged, never presented as fact.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invented names, figures or claims, even when coverage targets are not met.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Language models fill gaps plausibly; a confident wrong answer is worse than a disclosed gap.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Shortfalls reported explicitly; the system must be able to say "not found".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same inputs produce the same scores and tiers.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Medical Affairs compares assets and regions over time; results must not change with the run.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Pinned model version; scoring, tiering and validation done in code, not by the model.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named person in Medical Affairs signs off asset-specific choices before the main research runs, and reviews flagged items before outputs are used.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Some choices (which guideline or registry counts) are medical judgements the system should not make alone.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 pauses for approval; approvals recorded.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 jobs run in stages that can pause, resume and continue after interruption.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region takes about ten research steps; a single response cannot do it reliably.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Stage outputs persisted between steps; resumable runs.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R6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to public scientific sources: web search, PubMed / Europe PMC, and trial registries (ClinicalTrials.gov, EU CTIS).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Publication and trial evidence drive clinician scoring; without it scores are understated.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Tools or API connections to these sources (public, no login needed for normal use).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R7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Outputs delivered as structured Excel workbooks (fixed tabs, dropdown values, formulas, row IDs) and Word documents.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Medical Affairs works in Excel and shares documents internally.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Code-based workbook generation and validation.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R8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public professional information about clinicians is collected (name, title, affiliation, roles, publications). No personal contact details.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GDPR: profiling and scoring named clinicians needs a documented purpose and data minimisation.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DPO review of purpose and retention; content rules enforced in prompts and checks.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R9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use of clinician scores for transfer-of-value or fee bands is approved by Compliance.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codes (e.g. EFPIA) govern payments to healthcare professionals.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Score labelled as "scientific standing"; Compliance sign-off before any fee use.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R10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promotional or comparative claims about unapproved medicines.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Medical Affairs content must stay non-promotional, especially before approval.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 wording rules; checks in the review step.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R11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Each run is logged: who ran it, when, inputs, model version, prompt version and sources used.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Outputs may be questioned months later by Compliance or partners.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audit log retained.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R12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reach the agents from Microsoft 365 Copilot or Teams.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Medical Affairs will not adopt a separate tool easily.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Publish Foundry agents into Copilot/Teams; separate front end only if R4–R5 cannot be met there.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R13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Prompt and rule owners can update rules under version control, with a test run before release.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Rules change with each new disease area and regulatory change.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Rules held as versioned configuration; a fixed benchmark test (one asset, one country).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Context for non-specialists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Medical Affairs </w:t>
      </w:r>
      <w:r>
        <w:t xml:space="preserve">is the scientific, non-promotional function of a pharmaceutical company. It works with clinicians on evidence, not sales.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KOLs (key opinion leaders) </w:t>
      </w:r>
      <w:r>
        <w:t xml:space="preserve">are clinicians whose research, guideline work or trial roles make them influential in a disease area. Mapping them means identifying, evidencing and prioritising them by country.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Treatment centres </w:t>
      </w:r>
      <w:r>
        <w:t xml:space="preserve">are the hospitals where patients with the disease are diagnosed and treated, tiered by expertise and research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Compliance and data protection </w:t>
      </w:r>
      <w:r>
        <w:t xml:space="preserve">apply because the outputs profile and score named individuals, and may inform engagement and payments.</w:t>
      </w:r>
    </w:p>
    <w:p>
      <w:pPr>
        <w:pStyle w:val="Heading1"/>
      </w:pPr>
      <w:r>
        <w:t xml:space="preserve">Front end: proposed test</w:t>
      </w:r>
    </w:p>
    <w:p>
      <w:pPr>
        <w:spacing w:after="120"/>
      </w:pPr>
      <w:r>
        <w:t xml:space="preserve">A separate front end is justified only if a requirement cannot be met by an agent published into Copilot or Teams. The candidates are R4 (sign-off workflow) and R5 (resumable stages). Proposal: run the KOL pilot inside Copilot/Teams first, note where users struggle, and decide on a front end from that evidence.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Cambria" w:cs="Cambria" w:eastAsia="Cambria" w:hAnsi="Cambria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Cambria" w:cs="Cambria" w:eastAsia="Cambria" w:hAnsi="Cambria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2026-10-20T08:27:28.495Z</dcterms:created>
  <dcterms:modified xsi:type="dcterms:W3CDTF">2026-10-20T08:27:28.508Z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