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22D9E" w14:textId="77777777" w:rsidR="00E86328" w:rsidRDefault="00000000">
      <w:pPr>
        <w:spacing w:after="60"/>
      </w:pPr>
      <w:proofErr w:type="spellStart"/>
      <w:r>
        <w:rPr>
          <w:b/>
          <w:bCs/>
          <w:color w:val="1A5E61"/>
          <w:sz w:val="56"/>
          <w:szCs w:val="56"/>
        </w:rPr>
        <w:t>OralCheck</w:t>
      </w:r>
      <w:proofErr w:type="spellEnd"/>
    </w:p>
    <w:p w14:paraId="77CCDDE9" w14:textId="77777777" w:rsidR="00E86328" w:rsidRDefault="00000000">
      <w:pPr>
        <w:spacing w:after="200"/>
      </w:pPr>
      <w:r>
        <w:rPr>
          <w:color w:val="666666"/>
          <w:sz w:val="26"/>
          <w:szCs w:val="26"/>
        </w:rPr>
        <w:t>ADA Meeting Briefing — Science Director</w:t>
      </w:r>
    </w:p>
    <w:p w14:paraId="096A39D8" w14:textId="77777777" w:rsidR="00E86328" w:rsidRDefault="00000000">
      <w:pPr>
        <w:pStyle w:val="Heading2"/>
        <w:pBdr>
          <w:bottom w:val="single" w:sz="4" w:space="4" w:color="DDDDDD"/>
        </w:pBdr>
      </w:pPr>
      <w:r>
        <w:t>1. Who You Are &amp; Why This Exists</w:t>
      </w:r>
    </w:p>
    <w:p w14:paraId="4B39D33B" w14:textId="77777777" w:rsidR="00E86328" w:rsidRDefault="00000000">
      <w:pPr>
        <w:spacing w:before="80" w:after="80"/>
      </w:pPr>
      <w:r>
        <w:rPr>
          <w:color w:val="1A1A1A"/>
        </w:rPr>
        <w:t xml:space="preserve">You're a predental student at UW-Madison who built </w:t>
      </w:r>
      <w:proofErr w:type="spellStart"/>
      <w:r>
        <w:rPr>
          <w:color w:val="1A1A1A"/>
        </w:rPr>
        <w:t>OralCheck</w:t>
      </w:r>
      <w:proofErr w:type="spellEnd"/>
      <w:r>
        <w:rPr>
          <w:color w:val="1A1A1A"/>
        </w:rPr>
        <w:t xml:space="preserve"> from scratch. The premise is simple: oral cancer has an </w:t>
      </w:r>
      <w:r>
        <w:rPr>
          <w:b/>
          <w:bCs/>
          <w:color w:val="1A1A1A"/>
        </w:rPr>
        <w:t>84% five-year survival rate when caught at Stage I</w:t>
      </w:r>
      <w:r>
        <w:rPr>
          <w:color w:val="1A1A1A"/>
        </w:rPr>
        <w:t xml:space="preserve">, but most cases are diagnosed late because early symptoms look ordinary — a patch, a sore, a lump that doesn't hurt. </w:t>
      </w:r>
      <w:proofErr w:type="spellStart"/>
      <w:r>
        <w:rPr>
          <w:color w:val="1A1A1A"/>
        </w:rPr>
        <w:t>OralCheck</w:t>
      </w:r>
      <w:proofErr w:type="spellEnd"/>
      <w:r>
        <w:rPr>
          <w:color w:val="1A1A1A"/>
        </w:rPr>
        <w:t xml:space="preserve"> gives anyone a fast, private way to understand their risk and get pushed toward a dental visit before things progress.</w:t>
      </w:r>
    </w:p>
    <w:p w14:paraId="04696E61" w14:textId="77777777" w:rsidR="00E86328" w:rsidRDefault="00E86328">
      <w:pPr>
        <w:spacing w:before="60" w:after="60"/>
      </w:pPr>
    </w:p>
    <w:p w14:paraId="5BBC40F3" w14:textId="77777777" w:rsidR="00E86328" w:rsidRDefault="00000000">
      <w:pPr>
        <w:spacing w:before="80" w:after="80"/>
      </w:pPr>
      <w:r>
        <w:rPr>
          <w:color w:val="1A1A1A"/>
        </w:rPr>
        <w:t>It's free, there's no login, and nothing is stored. You built it because you believe one informed person acting earlier is worth something.</w:t>
      </w:r>
    </w:p>
    <w:p w14:paraId="60148F94" w14:textId="77777777" w:rsidR="00E86328" w:rsidRDefault="00E86328">
      <w:pPr>
        <w:spacing w:before="80" w:after="80"/>
      </w:pPr>
    </w:p>
    <w:p w14:paraId="0FD510C9" w14:textId="77777777" w:rsidR="00E86328" w:rsidRDefault="00000000">
      <w:pPr>
        <w:pStyle w:val="Heading2"/>
        <w:pBdr>
          <w:bottom w:val="single" w:sz="4" w:space="4" w:color="DDDDDD"/>
        </w:pBdr>
      </w:pPr>
      <w:r>
        <w:t>2. The Science — How the Scoring Works</w:t>
      </w:r>
    </w:p>
    <w:p w14:paraId="7BF1B7B2" w14:textId="77777777" w:rsidR="00E86328" w:rsidRDefault="00000000">
      <w:pPr>
        <w:spacing w:before="80" w:after="80"/>
      </w:pPr>
      <w:r>
        <w:rPr>
          <w:color w:val="1A1A1A"/>
        </w:rPr>
        <w:t xml:space="preserve">The screener has </w:t>
      </w:r>
      <w:r>
        <w:rPr>
          <w:b/>
          <w:bCs/>
          <w:color w:val="1A1A1A"/>
        </w:rPr>
        <w:t>10 questions</w:t>
      </w:r>
      <w:r>
        <w:rPr>
          <w:color w:val="1A1A1A"/>
        </w:rPr>
        <w:t xml:space="preserve"> across the major epidemiological risk categories. Each answer carries a </w:t>
      </w:r>
      <w:r>
        <w:rPr>
          <w:b/>
          <w:bCs/>
          <w:color w:val="1A1A1A"/>
        </w:rPr>
        <w:t>weight</w:t>
      </w:r>
      <w:r>
        <w:rPr>
          <w:color w:val="1A1A1A"/>
        </w:rPr>
        <w:t xml:space="preserve"> derived from published oral cancer risk data. The weights are additive — you sum them up and land in one of four tiers.</w:t>
      </w:r>
    </w:p>
    <w:p w14:paraId="03212F37" w14:textId="77777777" w:rsidR="00E86328" w:rsidRDefault="00E86328">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400"/>
        <w:gridCol w:w="3760"/>
      </w:tblGrid>
      <w:tr w:rsidR="00E86328" w14:paraId="5081679A" w14:textId="77777777">
        <w:tblPrEx>
          <w:tblCellMar>
            <w:top w:w="0" w:type="dxa"/>
            <w:bottom w:w="0" w:type="dxa"/>
          </w:tblCellMar>
        </w:tblPrEx>
        <w:trPr>
          <w:tblHeader/>
        </w:trPr>
        <w:tc>
          <w:tcPr>
            <w:tcW w:w="4200" w:type="dxa"/>
            <w:tcBorders>
              <w:top w:val="none" w:sz="0" w:space="0" w:color="FFFFFF"/>
              <w:left w:val="none" w:sz="0" w:space="0" w:color="FFFFFF"/>
              <w:bottom w:val="none" w:sz="0" w:space="0" w:color="FFFFFF"/>
              <w:right w:val="none" w:sz="0" w:space="0" w:color="FFFFFF"/>
            </w:tcBorders>
            <w:shd w:val="clear" w:color="auto" w:fill="1A5E61"/>
            <w:tcMar>
              <w:top w:w="100" w:type="dxa"/>
              <w:left w:w="140" w:type="dxa"/>
              <w:bottom w:w="100" w:type="dxa"/>
              <w:right w:w="140" w:type="dxa"/>
            </w:tcMar>
          </w:tcPr>
          <w:p w14:paraId="2B1CF4B9" w14:textId="77777777" w:rsidR="00E86328" w:rsidRDefault="00000000">
            <w:r>
              <w:rPr>
                <w:b/>
                <w:bCs/>
                <w:color w:val="FFFFFF"/>
                <w:sz w:val="20"/>
                <w:szCs w:val="20"/>
              </w:rPr>
              <w:t>Factor</w:t>
            </w:r>
          </w:p>
        </w:tc>
        <w:tc>
          <w:tcPr>
            <w:tcW w:w="1400" w:type="dxa"/>
            <w:tcBorders>
              <w:top w:val="none" w:sz="0" w:space="0" w:color="FFFFFF"/>
              <w:left w:val="none" w:sz="0" w:space="0" w:color="FFFFFF"/>
              <w:bottom w:val="none" w:sz="0" w:space="0" w:color="FFFFFF"/>
              <w:right w:val="none" w:sz="0" w:space="0" w:color="FFFFFF"/>
            </w:tcBorders>
            <w:shd w:val="clear" w:color="auto" w:fill="1A5E61"/>
            <w:tcMar>
              <w:top w:w="100" w:type="dxa"/>
              <w:left w:w="140" w:type="dxa"/>
              <w:bottom w:w="100" w:type="dxa"/>
              <w:right w:w="140" w:type="dxa"/>
            </w:tcMar>
          </w:tcPr>
          <w:p w14:paraId="10E52957" w14:textId="77777777" w:rsidR="00E86328" w:rsidRDefault="00000000">
            <w:r>
              <w:rPr>
                <w:b/>
                <w:bCs/>
                <w:color w:val="FFFFFF"/>
                <w:sz w:val="20"/>
                <w:szCs w:val="20"/>
              </w:rPr>
              <w:t>Max Points</w:t>
            </w:r>
          </w:p>
        </w:tc>
        <w:tc>
          <w:tcPr>
            <w:tcW w:w="3760" w:type="dxa"/>
            <w:tcBorders>
              <w:top w:val="none" w:sz="0" w:space="0" w:color="FFFFFF"/>
              <w:left w:val="none" w:sz="0" w:space="0" w:color="FFFFFF"/>
              <w:bottom w:val="none" w:sz="0" w:space="0" w:color="FFFFFF"/>
              <w:right w:val="none" w:sz="0" w:space="0" w:color="FFFFFF"/>
            </w:tcBorders>
            <w:shd w:val="clear" w:color="auto" w:fill="1A5E61"/>
            <w:tcMar>
              <w:top w:w="100" w:type="dxa"/>
              <w:left w:w="140" w:type="dxa"/>
              <w:bottom w:w="100" w:type="dxa"/>
              <w:right w:w="140" w:type="dxa"/>
            </w:tcMar>
          </w:tcPr>
          <w:p w14:paraId="426FA7B3" w14:textId="77777777" w:rsidR="00E86328" w:rsidRDefault="00000000">
            <w:r>
              <w:rPr>
                <w:b/>
                <w:bCs/>
                <w:color w:val="FFFFFF"/>
                <w:sz w:val="20"/>
                <w:szCs w:val="20"/>
              </w:rPr>
              <w:t>Why That Weight</w:t>
            </w:r>
          </w:p>
        </w:tc>
      </w:tr>
      <w:tr w:rsidR="00E86328" w14:paraId="0EF8086F" w14:textId="77777777">
        <w:tblPrEx>
          <w:tblCellMar>
            <w:top w:w="0" w:type="dxa"/>
            <w:bottom w:w="0" w:type="dxa"/>
          </w:tblCellMar>
        </w:tblPrEx>
        <w:tc>
          <w:tcPr>
            <w:tcW w:w="420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0F70562A" w14:textId="77777777" w:rsidR="00E86328" w:rsidRDefault="00000000">
            <w:r>
              <w:rPr>
                <w:b/>
                <w:bCs/>
                <w:color w:val="1A1A1A"/>
                <w:sz w:val="20"/>
                <w:szCs w:val="20"/>
              </w:rPr>
              <w:t>Tobacco use (daily)</w:t>
            </w:r>
          </w:p>
        </w:tc>
        <w:tc>
          <w:tcPr>
            <w:tcW w:w="140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63A64D37" w14:textId="77777777" w:rsidR="00E86328" w:rsidRDefault="00000000">
            <w:r>
              <w:rPr>
                <w:color w:val="1A1A1A"/>
                <w:sz w:val="20"/>
                <w:szCs w:val="20"/>
              </w:rPr>
              <w:t>8</w:t>
            </w:r>
          </w:p>
        </w:tc>
        <w:tc>
          <w:tcPr>
            <w:tcW w:w="376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7DED2D83" w14:textId="77777777" w:rsidR="00E86328" w:rsidRDefault="00000000">
            <w:r>
              <w:rPr>
                <w:color w:val="1A1A1A"/>
                <w:sz w:val="20"/>
                <w:szCs w:val="20"/>
              </w:rPr>
              <w:t>Responsible for ~75% of traditional oral cavity cancers. Strongest modifiable single risk factor.</w:t>
            </w:r>
          </w:p>
        </w:tc>
      </w:tr>
      <w:tr w:rsidR="00E86328" w14:paraId="1F3528CA" w14:textId="77777777">
        <w:tblPrEx>
          <w:tblCellMar>
            <w:top w:w="0" w:type="dxa"/>
            <w:bottom w:w="0" w:type="dxa"/>
          </w:tblCellMar>
        </w:tblPrEx>
        <w:tc>
          <w:tcPr>
            <w:tcW w:w="420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5C6837F4" w14:textId="77777777" w:rsidR="00E86328" w:rsidRDefault="00000000">
            <w:r>
              <w:rPr>
                <w:b/>
                <w:bCs/>
                <w:color w:val="1A1A1A"/>
                <w:sz w:val="20"/>
                <w:szCs w:val="20"/>
              </w:rPr>
              <w:t>Active symptoms present</w:t>
            </w:r>
          </w:p>
        </w:tc>
        <w:tc>
          <w:tcPr>
            <w:tcW w:w="140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25377D3C" w14:textId="77777777" w:rsidR="00E86328" w:rsidRDefault="00000000">
            <w:r>
              <w:rPr>
                <w:color w:val="1A1A1A"/>
                <w:sz w:val="20"/>
                <w:szCs w:val="20"/>
              </w:rPr>
              <w:t>6</w:t>
            </w:r>
          </w:p>
        </w:tc>
        <w:tc>
          <w:tcPr>
            <w:tcW w:w="376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5CCC285C" w14:textId="77777777" w:rsidR="00E86328" w:rsidRDefault="00000000">
            <w:r>
              <w:rPr>
                <w:color w:val="1A1A1A"/>
                <w:sz w:val="20"/>
                <w:szCs w:val="20"/>
              </w:rPr>
              <w:t>Overrides total score — automatically triggers 'See a Dentist Soon' regardless of other answers.</w:t>
            </w:r>
          </w:p>
        </w:tc>
      </w:tr>
      <w:tr w:rsidR="00E86328" w14:paraId="7648D24B" w14:textId="77777777">
        <w:tblPrEx>
          <w:tblCellMar>
            <w:top w:w="0" w:type="dxa"/>
            <w:bottom w:w="0" w:type="dxa"/>
          </w:tblCellMar>
        </w:tblPrEx>
        <w:tc>
          <w:tcPr>
            <w:tcW w:w="420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556A9F47" w14:textId="77777777" w:rsidR="00E86328" w:rsidRDefault="00000000">
            <w:r>
              <w:rPr>
                <w:b/>
                <w:bCs/>
                <w:color w:val="1A1A1A"/>
                <w:sz w:val="20"/>
                <w:szCs w:val="20"/>
              </w:rPr>
              <w:t>Betel nut / paan / gutka (current)</w:t>
            </w:r>
          </w:p>
        </w:tc>
        <w:tc>
          <w:tcPr>
            <w:tcW w:w="140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766D5516" w14:textId="77777777" w:rsidR="00E86328" w:rsidRDefault="00000000">
            <w:r>
              <w:rPr>
                <w:color w:val="1A1A1A"/>
                <w:sz w:val="20"/>
                <w:szCs w:val="20"/>
              </w:rPr>
              <w:t>5</w:t>
            </w:r>
          </w:p>
        </w:tc>
        <w:tc>
          <w:tcPr>
            <w:tcW w:w="376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5B661537" w14:textId="77777777" w:rsidR="00E86328" w:rsidRDefault="00000000">
            <w:r>
              <w:rPr>
                <w:color w:val="1A1A1A"/>
                <w:sz w:val="20"/>
                <w:szCs w:val="20"/>
              </w:rPr>
              <w:t>Strong independent carcinogen. Associated with submucous fibrosis and squamous cell carcinoma.</w:t>
            </w:r>
          </w:p>
        </w:tc>
      </w:tr>
      <w:tr w:rsidR="00E86328" w14:paraId="74EDB999" w14:textId="77777777">
        <w:tblPrEx>
          <w:tblCellMar>
            <w:top w:w="0" w:type="dxa"/>
            <w:bottom w:w="0" w:type="dxa"/>
          </w:tblCellMar>
        </w:tblPrEx>
        <w:tc>
          <w:tcPr>
            <w:tcW w:w="420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62B875FD" w14:textId="77777777" w:rsidR="00E86328" w:rsidRDefault="00000000">
            <w:r>
              <w:rPr>
                <w:b/>
                <w:bCs/>
                <w:color w:val="1A1A1A"/>
                <w:sz w:val="20"/>
                <w:szCs w:val="20"/>
              </w:rPr>
              <w:t>Alcohol (daily)</w:t>
            </w:r>
          </w:p>
        </w:tc>
        <w:tc>
          <w:tcPr>
            <w:tcW w:w="140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59935695" w14:textId="77777777" w:rsidR="00E86328" w:rsidRDefault="00000000">
            <w:r>
              <w:rPr>
                <w:color w:val="1A1A1A"/>
                <w:sz w:val="20"/>
                <w:szCs w:val="20"/>
              </w:rPr>
              <w:t>4</w:t>
            </w:r>
          </w:p>
        </w:tc>
        <w:tc>
          <w:tcPr>
            <w:tcW w:w="376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046D6CA5" w14:textId="77777777" w:rsidR="00E86328" w:rsidRDefault="00000000">
            <w:r>
              <w:rPr>
                <w:color w:val="1A1A1A"/>
                <w:sz w:val="20"/>
                <w:szCs w:val="20"/>
              </w:rPr>
              <w:t>Synergistic with tobacco — combined effect is larger than either alone. Noted in the screener UI.</w:t>
            </w:r>
          </w:p>
        </w:tc>
      </w:tr>
      <w:tr w:rsidR="00E86328" w14:paraId="381B63C2" w14:textId="77777777">
        <w:tblPrEx>
          <w:tblCellMar>
            <w:top w:w="0" w:type="dxa"/>
            <w:bottom w:w="0" w:type="dxa"/>
          </w:tblCellMar>
        </w:tblPrEx>
        <w:tc>
          <w:tcPr>
            <w:tcW w:w="420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5EF6239B" w14:textId="77777777" w:rsidR="00E86328" w:rsidRDefault="00000000">
            <w:r>
              <w:rPr>
                <w:b/>
                <w:bCs/>
                <w:color w:val="1A1A1A"/>
                <w:sz w:val="20"/>
                <w:szCs w:val="20"/>
              </w:rPr>
              <w:t>HPV exposure / unvaccinated</w:t>
            </w:r>
          </w:p>
        </w:tc>
        <w:tc>
          <w:tcPr>
            <w:tcW w:w="140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23C0E945" w14:textId="77777777" w:rsidR="00E86328" w:rsidRDefault="00000000">
            <w:r>
              <w:rPr>
                <w:color w:val="1A1A1A"/>
                <w:sz w:val="20"/>
                <w:szCs w:val="20"/>
              </w:rPr>
              <w:t>3</w:t>
            </w:r>
          </w:p>
        </w:tc>
        <w:tc>
          <w:tcPr>
            <w:tcW w:w="376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3AC1CE7D" w14:textId="77777777" w:rsidR="00E86328" w:rsidRDefault="00000000">
            <w:r>
              <w:rPr>
                <w:color w:val="1A1A1A"/>
                <w:sz w:val="20"/>
                <w:szCs w:val="20"/>
              </w:rPr>
              <w:t>HPV-16 now leads oropharyngeal cancer cases, surpassing tobacco in that subsite.</w:t>
            </w:r>
          </w:p>
        </w:tc>
      </w:tr>
      <w:tr w:rsidR="00E86328" w14:paraId="68097D0C" w14:textId="77777777">
        <w:tblPrEx>
          <w:tblCellMar>
            <w:top w:w="0" w:type="dxa"/>
            <w:bottom w:w="0" w:type="dxa"/>
          </w:tblCellMar>
        </w:tblPrEx>
        <w:tc>
          <w:tcPr>
            <w:tcW w:w="420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0DCED4DC" w14:textId="77777777" w:rsidR="00E86328" w:rsidRDefault="00000000">
            <w:r>
              <w:rPr>
                <w:b/>
                <w:bCs/>
                <w:color w:val="1A1A1A"/>
                <w:sz w:val="20"/>
                <w:szCs w:val="20"/>
              </w:rPr>
              <w:t>Age 65+</w:t>
            </w:r>
          </w:p>
        </w:tc>
        <w:tc>
          <w:tcPr>
            <w:tcW w:w="140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52C8A50F" w14:textId="77777777" w:rsidR="00E86328" w:rsidRDefault="00000000">
            <w:r>
              <w:rPr>
                <w:color w:val="1A1A1A"/>
                <w:sz w:val="20"/>
                <w:szCs w:val="20"/>
              </w:rPr>
              <w:t>3</w:t>
            </w:r>
          </w:p>
        </w:tc>
        <w:tc>
          <w:tcPr>
            <w:tcW w:w="376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7670FF92" w14:textId="77777777" w:rsidR="00E86328" w:rsidRDefault="00000000">
            <w:r>
              <w:rPr>
                <w:color w:val="1A1A1A"/>
                <w:sz w:val="20"/>
                <w:szCs w:val="20"/>
              </w:rPr>
              <w:t>Incidence rises sharply with age. Peak presentation in the 6th–7th decade.</w:t>
            </w:r>
          </w:p>
        </w:tc>
      </w:tr>
      <w:tr w:rsidR="00E86328" w14:paraId="6209C418" w14:textId="77777777">
        <w:tblPrEx>
          <w:tblCellMar>
            <w:top w:w="0" w:type="dxa"/>
            <w:bottom w:w="0" w:type="dxa"/>
          </w:tblCellMar>
        </w:tblPrEx>
        <w:tc>
          <w:tcPr>
            <w:tcW w:w="420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4F0F1CAF" w14:textId="77777777" w:rsidR="00E86328" w:rsidRDefault="00000000">
            <w:r>
              <w:rPr>
                <w:b/>
                <w:bCs/>
                <w:color w:val="1A1A1A"/>
                <w:sz w:val="20"/>
                <w:szCs w:val="20"/>
              </w:rPr>
              <w:t>Never seen a dentist</w:t>
            </w:r>
          </w:p>
        </w:tc>
        <w:tc>
          <w:tcPr>
            <w:tcW w:w="140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11CC51EC" w14:textId="77777777" w:rsidR="00E86328" w:rsidRDefault="00000000">
            <w:r>
              <w:rPr>
                <w:color w:val="1A1A1A"/>
                <w:sz w:val="20"/>
                <w:szCs w:val="20"/>
              </w:rPr>
              <w:t>3</w:t>
            </w:r>
          </w:p>
        </w:tc>
        <w:tc>
          <w:tcPr>
            <w:tcW w:w="376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666F973C" w14:textId="77777777" w:rsidR="00E86328" w:rsidRDefault="00000000">
            <w:r>
              <w:rPr>
                <w:color w:val="1A1A1A"/>
                <w:sz w:val="20"/>
                <w:szCs w:val="20"/>
              </w:rPr>
              <w:t>Dentists are primary first-line screeners. Longer gaps = longer potential undetected dwell time.</w:t>
            </w:r>
          </w:p>
        </w:tc>
      </w:tr>
      <w:tr w:rsidR="00E86328" w14:paraId="0762BFC0" w14:textId="77777777">
        <w:tblPrEx>
          <w:tblCellMar>
            <w:top w:w="0" w:type="dxa"/>
            <w:bottom w:w="0" w:type="dxa"/>
          </w:tblCellMar>
        </w:tblPrEx>
        <w:tc>
          <w:tcPr>
            <w:tcW w:w="420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2BB4AAC1" w14:textId="77777777" w:rsidR="00E86328" w:rsidRDefault="00000000">
            <w:r>
              <w:rPr>
                <w:b/>
                <w:bCs/>
                <w:color w:val="1A1A1A"/>
                <w:sz w:val="20"/>
                <w:szCs w:val="20"/>
              </w:rPr>
              <w:t>Diet (rarely fruits/veg)</w:t>
            </w:r>
          </w:p>
        </w:tc>
        <w:tc>
          <w:tcPr>
            <w:tcW w:w="140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4D078661" w14:textId="77777777" w:rsidR="00E86328" w:rsidRDefault="00000000">
            <w:r>
              <w:rPr>
                <w:color w:val="1A1A1A"/>
                <w:sz w:val="20"/>
                <w:szCs w:val="20"/>
              </w:rPr>
              <w:t>2</w:t>
            </w:r>
          </w:p>
        </w:tc>
        <w:tc>
          <w:tcPr>
            <w:tcW w:w="376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34BB1008" w14:textId="77777777" w:rsidR="00E86328" w:rsidRDefault="00000000">
            <w:r>
              <w:rPr>
                <w:color w:val="1A1A1A"/>
                <w:sz w:val="20"/>
                <w:szCs w:val="20"/>
              </w:rPr>
              <w:t>Diets low in antioxidants consistently associated with elevated risk in the literature.</w:t>
            </w:r>
          </w:p>
        </w:tc>
      </w:tr>
      <w:tr w:rsidR="00E86328" w14:paraId="4915CBD4" w14:textId="77777777">
        <w:tblPrEx>
          <w:tblCellMar>
            <w:top w:w="0" w:type="dxa"/>
            <w:bottom w:w="0" w:type="dxa"/>
          </w:tblCellMar>
        </w:tblPrEx>
        <w:tc>
          <w:tcPr>
            <w:tcW w:w="420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7262EF1B" w14:textId="77777777" w:rsidR="00E86328" w:rsidRDefault="00000000">
            <w:r>
              <w:rPr>
                <w:b/>
                <w:bCs/>
                <w:color w:val="1A1A1A"/>
                <w:sz w:val="20"/>
                <w:szCs w:val="20"/>
              </w:rPr>
              <w:lastRenderedPageBreak/>
              <w:t>Family history (close relative)</w:t>
            </w:r>
          </w:p>
        </w:tc>
        <w:tc>
          <w:tcPr>
            <w:tcW w:w="140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587BCE27" w14:textId="77777777" w:rsidR="00E86328" w:rsidRDefault="00000000">
            <w:r>
              <w:rPr>
                <w:color w:val="1A1A1A"/>
                <w:sz w:val="20"/>
                <w:szCs w:val="20"/>
              </w:rPr>
              <w:t>2</w:t>
            </w:r>
          </w:p>
        </w:tc>
        <w:tc>
          <w:tcPr>
            <w:tcW w:w="376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20A084DD" w14:textId="77777777" w:rsidR="00E86328" w:rsidRDefault="00000000">
            <w:r>
              <w:rPr>
                <w:color w:val="1A1A1A"/>
                <w:sz w:val="20"/>
                <w:szCs w:val="20"/>
              </w:rPr>
              <w:t>Genetic predisposition is a recognized, modest independent risk factor.</w:t>
            </w:r>
          </w:p>
        </w:tc>
      </w:tr>
      <w:tr w:rsidR="00E86328" w14:paraId="08705CCA" w14:textId="77777777">
        <w:tblPrEx>
          <w:tblCellMar>
            <w:top w:w="0" w:type="dxa"/>
            <w:bottom w:w="0" w:type="dxa"/>
          </w:tblCellMar>
        </w:tblPrEx>
        <w:tc>
          <w:tcPr>
            <w:tcW w:w="420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64397109" w14:textId="77777777" w:rsidR="00E86328" w:rsidRDefault="00000000">
            <w:r>
              <w:rPr>
                <w:b/>
                <w:bCs/>
                <w:color w:val="1A1A1A"/>
                <w:sz w:val="20"/>
                <w:szCs w:val="20"/>
              </w:rPr>
              <w:t>Sun exposure (unprotected, daily)</w:t>
            </w:r>
          </w:p>
        </w:tc>
        <w:tc>
          <w:tcPr>
            <w:tcW w:w="140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0AB24B20" w14:textId="77777777" w:rsidR="00E86328" w:rsidRDefault="00000000">
            <w:r>
              <w:rPr>
                <w:color w:val="1A1A1A"/>
                <w:sz w:val="20"/>
                <w:szCs w:val="20"/>
              </w:rPr>
              <w:t>2</w:t>
            </w:r>
          </w:p>
        </w:tc>
        <w:tc>
          <w:tcPr>
            <w:tcW w:w="3760" w:type="dxa"/>
            <w:tcBorders>
              <w:top w:val="single" w:sz="4" w:space="0" w:color="CCCCCC"/>
              <w:left w:val="none" w:sz="0" w:space="0" w:color="FFFFFF"/>
              <w:bottom w:val="single" w:sz="4" w:space="0" w:color="CCCCCC"/>
              <w:right w:val="none" w:sz="0" w:space="0" w:color="FFFFFF"/>
            </w:tcBorders>
            <w:shd w:val="clear" w:color="auto" w:fill="F5F5F5"/>
            <w:tcMar>
              <w:top w:w="80" w:type="dxa"/>
              <w:left w:w="140" w:type="dxa"/>
              <w:bottom w:w="80" w:type="dxa"/>
              <w:right w:w="140" w:type="dxa"/>
            </w:tcMar>
          </w:tcPr>
          <w:p w14:paraId="74F8D0D4" w14:textId="77777777" w:rsidR="00E86328" w:rsidRDefault="00000000">
            <w:r>
              <w:rPr>
                <w:color w:val="1A1A1A"/>
                <w:sz w:val="20"/>
                <w:szCs w:val="20"/>
              </w:rPr>
              <w:t>UV exposure elevates lip cancer risk specifically on the lower lip.</w:t>
            </w:r>
          </w:p>
        </w:tc>
      </w:tr>
      <w:tr w:rsidR="00E86328" w14:paraId="56C861AF" w14:textId="77777777">
        <w:tblPrEx>
          <w:tblCellMar>
            <w:top w:w="0" w:type="dxa"/>
            <w:bottom w:w="0" w:type="dxa"/>
          </w:tblCellMar>
        </w:tblPrEx>
        <w:tc>
          <w:tcPr>
            <w:tcW w:w="420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59A469F4" w14:textId="77777777" w:rsidR="00E86328" w:rsidRDefault="00000000">
            <w:r>
              <w:rPr>
                <w:b/>
                <w:bCs/>
                <w:color w:val="1A1A1A"/>
                <w:sz w:val="20"/>
                <w:szCs w:val="20"/>
              </w:rPr>
              <w:t>Former tobacco user</w:t>
            </w:r>
          </w:p>
        </w:tc>
        <w:tc>
          <w:tcPr>
            <w:tcW w:w="140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138194CD" w14:textId="77777777" w:rsidR="00E86328" w:rsidRDefault="00000000">
            <w:r>
              <w:rPr>
                <w:color w:val="1A1A1A"/>
                <w:sz w:val="20"/>
                <w:szCs w:val="20"/>
              </w:rPr>
              <w:t>2</w:t>
            </w:r>
          </w:p>
        </w:tc>
        <w:tc>
          <w:tcPr>
            <w:tcW w:w="3760" w:type="dxa"/>
            <w:tcBorders>
              <w:top w:val="single" w:sz="4" w:space="0" w:color="CCCCCC"/>
              <w:left w:val="none" w:sz="0" w:space="0" w:color="FFFFFF"/>
              <w:bottom w:val="single" w:sz="4" w:space="0" w:color="CCCCCC"/>
              <w:right w:val="none" w:sz="0" w:space="0" w:color="FFFFFF"/>
            </w:tcBorders>
            <w:shd w:val="clear" w:color="auto" w:fill="FFFFFF"/>
            <w:tcMar>
              <w:top w:w="80" w:type="dxa"/>
              <w:left w:w="140" w:type="dxa"/>
              <w:bottom w:w="80" w:type="dxa"/>
              <w:right w:w="140" w:type="dxa"/>
            </w:tcMar>
          </w:tcPr>
          <w:p w14:paraId="6D364A2C" w14:textId="77777777" w:rsidR="00E86328" w:rsidRDefault="00000000">
            <w:r>
              <w:rPr>
                <w:color w:val="1A1A1A"/>
                <w:sz w:val="20"/>
                <w:szCs w:val="20"/>
              </w:rPr>
              <w:t>Risk decreases post-cessation but doesn't return to baseline for years.</w:t>
            </w:r>
          </w:p>
        </w:tc>
      </w:tr>
    </w:tbl>
    <w:p w14:paraId="60585F66" w14:textId="77777777" w:rsidR="00E86328" w:rsidRDefault="00E86328">
      <w:pPr>
        <w:spacing w:before="160" w:after="160"/>
      </w:pPr>
    </w:p>
    <w:p w14:paraId="3950AA51" w14:textId="77777777" w:rsidR="00E86328" w:rsidRDefault="00000000">
      <w:pPr>
        <w:pStyle w:val="Heading3"/>
      </w:pPr>
      <w:r>
        <w:t>Score Thresholds</w:t>
      </w:r>
    </w:p>
    <w:p w14:paraId="66A2AC3B" w14:textId="77777777" w:rsidR="00E86328" w:rsidRDefault="00000000">
      <w:pPr>
        <w:pStyle w:val="ListParagraph"/>
        <w:numPr>
          <w:ilvl w:val="0"/>
          <w:numId w:val="2"/>
        </w:numPr>
        <w:spacing w:before="60" w:after="60"/>
      </w:pPr>
      <w:r>
        <w:rPr>
          <w:b/>
          <w:bCs/>
          <w:color w:val="1A1A1A"/>
        </w:rPr>
        <w:t xml:space="preserve">0–4 points: </w:t>
      </w:r>
      <w:r>
        <w:rPr>
          <w:color w:val="1A1A1A"/>
        </w:rPr>
        <w:t>Low risk</w:t>
      </w:r>
    </w:p>
    <w:p w14:paraId="09B6463A" w14:textId="77777777" w:rsidR="00E86328" w:rsidRDefault="00000000">
      <w:pPr>
        <w:pStyle w:val="ListParagraph"/>
        <w:numPr>
          <w:ilvl w:val="0"/>
          <w:numId w:val="2"/>
        </w:numPr>
        <w:spacing w:before="60" w:after="60"/>
      </w:pPr>
      <w:r>
        <w:rPr>
          <w:b/>
          <w:bCs/>
          <w:color w:val="1A1A1A"/>
        </w:rPr>
        <w:t xml:space="preserve">5–10 points: </w:t>
      </w:r>
      <w:r>
        <w:rPr>
          <w:color w:val="1A1A1A"/>
        </w:rPr>
        <w:t>Moderate risk</w:t>
      </w:r>
    </w:p>
    <w:p w14:paraId="30B0DD0A" w14:textId="77777777" w:rsidR="00E86328" w:rsidRDefault="00000000">
      <w:pPr>
        <w:pStyle w:val="ListParagraph"/>
        <w:numPr>
          <w:ilvl w:val="0"/>
          <w:numId w:val="2"/>
        </w:numPr>
        <w:spacing w:before="60" w:after="60"/>
      </w:pPr>
      <w:r>
        <w:rPr>
          <w:b/>
          <w:bCs/>
          <w:color w:val="1A1A1A"/>
        </w:rPr>
        <w:t xml:space="preserve">11–17 points: </w:t>
      </w:r>
      <w:r>
        <w:rPr>
          <w:color w:val="1A1A1A"/>
        </w:rPr>
        <w:t>Elevated risk</w:t>
      </w:r>
    </w:p>
    <w:p w14:paraId="0C1C846E" w14:textId="77777777" w:rsidR="00E86328" w:rsidRDefault="00000000">
      <w:pPr>
        <w:pStyle w:val="ListParagraph"/>
        <w:numPr>
          <w:ilvl w:val="0"/>
          <w:numId w:val="2"/>
        </w:numPr>
        <w:spacing w:before="60" w:after="60"/>
      </w:pPr>
      <w:r>
        <w:rPr>
          <w:b/>
          <w:bCs/>
          <w:color w:val="1A1A1A"/>
        </w:rPr>
        <w:t xml:space="preserve">18+ points: </w:t>
      </w:r>
      <w:r>
        <w:rPr>
          <w:color w:val="1A1A1A"/>
        </w:rPr>
        <w:t>High / See a Dentist Soon</w:t>
      </w:r>
    </w:p>
    <w:p w14:paraId="3D11217D" w14:textId="77777777" w:rsidR="00E86328" w:rsidRDefault="00000000">
      <w:pPr>
        <w:pStyle w:val="ListParagraph"/>
        <w:numPr>
          <w:ilvl w:val="0"/>
          <w:numId w:val="2"/>
        </w:numPr>
        <w:spacing w:before="60" w:after="60"/>
      </w:pPr>
      <w:r>
        <w:rPr>
          <w:b/>
          <w:bCs/>
          <w:color w:val="1A1A1A"/>
        </w:rPr>
        <w:t xml:space="preserve">Any active symptom present: </w:t>
      </w:r>
      <w:r>
        <w:rPr>
          <w:color w:val="1A1A1A"/>
        </w:rPr>
        <w:t>Automatically 'See a Dentist Soon' regardless of total score</w:t>
      </w:r>
    </w:p>
    <w:p w14:paraId="553E94B9" w14:textId="77777777" w:rsidR="00E86328" w:rsidRDefault="00E86328">
      <w:pPr>
        <w:spacing w:before="120" w:after="120"/>
      </w:pPr>
    </w:p>
    <w:p w14:paraId="5CDC4EA7" w14:textId="77777777" w:rsidR="00E86328" w:rsidRDefault="00000000">
      <w:pPr>
        <w:pStyle w:val="Heading3"/>
      </w:pPr>
      <w:r>
        <w:t>Honest Limitation to Acknowledge</w:t>
      </w:r>
    </w:p>
    <w:tbl>
      <w:tblPr>
        <w:tblW w:w="9360" w:type="dxa"/>
        <w:tblBorders>
          <w:top w:val="single" w:sz="4" w:space="0" w:color="1A5E61"/>
          <w:left w:val="thick" w:sz="12" w:space="0" w:color="1A5E61"/>
          <w:bottom w:val="single" w:sz="4" w:space="0" w:color="1A5E61"/>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328" w14:paraId="5A3E6D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CD"/>
            <w:tcMar>
              <w:top w:w="140" w:type="dxa"/>
              <w:left w:w="200" w:type="dxa"/>
              <w:bottom w:w="140" w:type="dxa"/>
              <w:right w:w="200" w:type="dxa"/>
            </w:tcMar>
          </w:tcPr>
          <w:p w14:paraId="0AC24785" w14:textId="77777777" w:rsidR="00E86328" w:rsidRDefault="00000000">
            <w:r>
              <w:rPr>
                <w:i/>
                <w:iCs/>
                <w:color w:val="1A1A1A"/>
              </w:rPr>
              <w:t xml:space="preserve">The synergistic multiplier effect of tobacco + alcohol isn't fully modeled — the weights are additive, not multiplicative. A daily smoker who drinks daily would score 12 (elevated), but in </w:t>
            </w:r>
            <w:proofErr w:type="gramStart"/>
            <w:r>
              <w:rPr>
                <w:i/>
                <w:iCs/>
                <w:color w:val="1A1A1A"/>
              </w:rPr>
              <w:t>reality</w:t>
            </w:r>
            <w:proofErr w:type="gramEnd"/>
            <w:r>
              <w:rPr>
                <w:i/>
                <w:iCs/>
                <w:color w:val="1A1A1A"/>
              </w:rPr>
              <w:t xml:space="preserve"> their combined risk is significantly higher. That's a known simplification to keep the tool accessible. Worth naming with a science director before they do.</w:t>
            </w:r>
          </w:p>
        </w:tc>
      </w:tr>
    </w:tbl>
    <w:p w14:paraId="27FD3820" w14:textId="77777777" w:rsidR="00E86328" w:rsidRDefault="00E86328">
      <w:pPr>
        <w:spacing w:before="120" w:after="120"/>
      </w:pPr>
    </w:p>
    <w:p w14:paraId="385EFA2B" w14:textId="77777777" w:rsidR="00E86328" w:rsidRDefault="00000000">
      <w:pPr>
        <w:pStyle w:val="Heading2"/>
        <w:pBdr>
          <w:bottom w:val="single" w:sz="4" w:space="4" w:color="DDDDDD"/>
        </w:pBdr>
      </w:pPr>
      <w:r>
        <w:t>3. Primary Sources</w:t>
      </w:r>
    </w:p>
    <w:p w14:paraId="2EB01598" w14:textId="77777777" w:rsidR="00E86328" w:rsidRDefault="00000000">
      <w:pPr>
        <w:pStyle w:val="ListParagraph"/>
        <w:numPr>
          <w:ilvl w:val="0"/>
          <w:numId w:val="2"/>
        </w:numPr>
        <w:spacing w:before="60" w:after="60"/>
      </w:pPr>
      <w:r>
        <w:rPr>
          <w:b/>
          <w:bCs/>
          <w:color w:val="1A1A1A"/>
        </w:rPr>
        <w:t>American Cancer Society</w:t>
      </w:r>
      <w:r>
        <w:rPr>
          <w:color w:val="1A1A1A"/>
        </w:rPr>
        <w:t xml:space="preserve"> — Key Statistics for Oral Cavity and Oropharyngeal Cancers (54,000+ new diagnoses/year, ~11,500 deaths)</w:t>
      </w:r>
    </w:p>
    <w:p w14:paraId="3439371F" w14:textId="77777777" w:rsidR="00E86328" w:rsidRDefault="00000000">
      <w:pPr>
        <w:pStyle w:val="ListParagraph"/>
        <w:numPr>
          <w:ilvl w:val="0"/>
          <w:numId w:val="2"/>
        </w:numPr>
        <w:spacing w:before="60" w:after="60"/>
      </w:pPr>
      <w:r>
        <w:rPr>
          <w:b/>
          <w:bCs/>
          <w:color w:val="1A1A1A"/>
        </w:rPr>
        <w:t>NCI SEER Cancer Statistics Review</w:t>
      </w:r>
      <w:r>
        <w:rPr>
          <w:color w:val="1A1A1A"/>
        </w:rPr>
        <w:t xml:space="preserve"> — Stage-specific survival data (Stage I: ~84%; Stage IV: ~38%)</w:t>
      </w:r>
    </w:p>
    <w:p w14:paraId="12045E01" w14:textId="77777777" w:rsidR="00E86328" w:rsidRDefault="00000000">
      <w:pPr>
        <w:pStyle w:val="ListParagraph"/>
        <w:numPr>
          <w:ilvl w:val="0"/>
          <w:numId w:val="2"/>
        </w:numPr>
        <w:spacing w:before="60" w:after="60"/>
      </w:pPr>
      <w:r>
        <w:rPr>
          <w:b/>
          <w:bCs/>
          <w:color w:val="1A1A1A"/>
        </w:rPr>
        <w:t>Oral Cancer Foundation</w:t>
      </w:r>
      <w:r>
        <w:rPr>
          <w:color w:val="1A1A1A"/>
        </w:rPr>
        <w:t xml:space="preserve"> — Risk factor taxonomy and early detection guidance</w:t>
      </w:r>
    </w:p>
    <w:p w14:paraId="4C97199D" w14:textId="77777777" w:rsidR="00E86328" w:rsidRDefault="00000000">
      <w:pPr>
        <w:pStyle w:val="ListParagraph"/>
        <w:numPr>
          <w:ilvl w:val="0"/>
          <w:numId w:val="2"/>
        </w:numPr>
        <w:spacing w:before="60" w:after="60"/>
      </w:pPr>
      <w:r>
        <w:rPr>
          <w:b/>
          <w:bCs/>
          <w:color w:val="1A1A1A"/>
        </w:rPr>
        <w:t>CDC</w:t>
      </w:r>
      <w:r>
        <w:rPr>
          <w:color w:val="1A1A1A"/>
        </w:rPr>
        <w:t xml:space="preserve"> — HPV and Cancer (HPV-16's role in oropharyngeal cancers)</w:t>
      </w:r>
    </w:p>
    <w:p w14:paraId="5BBE804A" w14:textId="77777777" w:rsidR="00E86328" w:rsidRDefault="00000000">
      <w:pPr>
        <w:pStyle w:val="ListParagraph"/>
        <w:numPr>
          <w:ilvl w:val="0"/>
          <w:numId w:val="2"/>
        </w:numPr>
        <w:spacing w:before="60" w:after="60"/>
      </w:pPr>
      <w:r>
        <w:rPr>
          <w:b/>
          <w:bCs/>
          <w:color w:val="1A1A1A"/>
        </w:rPr>
        <w:t>CAMBRA framework</w:t>
      </w:r>
      <w:r>
        <w:rPr>
          <w:color w:val="1A1A1A"/>
        </w:rPr>
        <w:t xml:space="preserve"> — Caries Management </w:t>
      </w:r>
      <w:proofErr w:type="gramStart"/>
      <w:r>
        <w:rPr>
          <w:color w:val="1A1A1A"/>
        </w:rPr>
        <w:t>By</w:t>
      </w:r>
      <w:proofErr w:type="gramEnd"/>
      <w:r>
        <w:rPr>
          <w:color w:val="1A1A1A"/>
        </w:rPr>
        <w:t xml:space="preserve"> Risk Assessment, adapted as a conceptual model for structured risk-factor weighting</w:t>
      </w:r>
    </w:p>
    <w:p w14:paraId="364C7212" w14:textId="77777777" w:rsidR="00E86328" w:rsidRDefault="00000000">
      <w:pPr>
        <w:pStyle w:val="ListParagraph"/>
        <w:numPr>
          <w:ilvl w:val="0"/>
          <w:numId w:val="2"/>
        </w:numPr>
        <w:spacing w:before="60" w:after="60"/>
      </w:pPr>
      <w:r>
        <w:rPr>
          <w:b/>
          <w:bCs/>
          <w:color w:val="1A1A1A"/>
        </w:rPr>
        <w:t>HRSA</w:t>
      </w:r>
      <w:r>
        <w:rPr>
          <w:color w:val="1A1A1A"/>
        </w:rPr>
        <w:t xml:space="preserve"> — Find a Health Center directory (powers the Find Care feature)</w:t>
      </w:r>
    </w:p>
    <w:p w14:paraId="2DC0F88D" w14:textId="77777777" w:rsidR="00E86328" w:rsidRDefault="00E86328">
      <w:pPr>
        <w:spacing w:before="80" w:after="80"/>
      </w:pPr>
    </w:p>
    <w:p w14:paraId="5F0C1528" w14:textId="77777777" w:rsidR="00E86328" w:rsidRDefault="00000000">
      <w:pPr>
        <w:pStyle w:val="Heading2"/>
        <w:pBdr>
          <w:bottom w:val="single" w:sz="4" w:space="4" w:color="DDDDDD"/>
        </w:pBdr>
      </w:pPr>
      <w:r>
        <w:t>4. How the Website Works — Layman's Version</w:t>
      </w:r>
    </w:p>
    <w:p w14:paraId="6D949ADC" w14:textId="77777777" w:rsidR="00E86328" w:rsidRDefault="00000000">
      <w:pPr>
        <w:spacing w:before="80" w:after="80"/>
      </w:pPr>
      <w:r>
        <w:rPr>
          <w:color w:val="1A1A1A"/>
        </w:rPr>
        <w:t>Think of it as five rooms:</w:t>
      </w:r>
    </w:p>
    <w:p w14:paraId="7905E95F" w14:textId="77777777" w:rsidR="00E86328" w:rsidRDefault="00E86328">
      <w:pPr>
        <w:spacing w:before="60" w:after="60"/>
      </w:pPr>
    </w:p>
    <w:p w14:paraId="72D6E0AA" w14:textId="77777777" w:rsidR="00E86328" w:rsidRDefault="00000000">
      <w:pPr>
        <w:pStyle w:val="ListParagraph"/>
        <w:numPr>
          <w:ilvl w:val="0"/>
          <w:numId w:val="2"/>
        </w:numPr>
        <w:spacing w:before="60" w:after="60"/>
      </w:pPr>
      <w:r>
        <w:rPr>
          <w:b/>
          <w:bCs/>
          <w:color w:val="1A1A1A"/>
        </w:rPr>
        <w:t>Homepage</w:t>
      </w:r>
      <w:r>
        <w:rPr>
          <w:color w:val="1A1A1A"/>
        </w:rPr>
        <w:t xml:space="preserve"> — Explains the problem and gets people into the screener in one click.</w:t>
      </w:r>
    </w:p>
    <w:p w14:paraId="3875BD0A" w14:textId="77777777" w:rsidR="00E86328" w:rsidRDefault="00000000">
      <w:pPr>
        <w:pStyle w:val="ListParagraph"/>
        <w:numPr>
          <w:ilvl w:val="0"/>
          <w:numId w:val="2"/>
        </w:numPr>
        <w:spacing w:before="60" w:after="60"/>
      </w:pPr>
      <w:r>
        <w:rPr>
          <w:b/>
          <w:bCs/>
          <w:color w:val="1A1A1A"/>
        </w:rPr>
        <w:t>Screener</w:t>
      </w:r>
      <w:r>
        <w:rPr>
          <w:color w:val="1A1A1A"/>
        </w:rPr>
        <w:t xml:space="preserve"> — 10 questions, one at a time, phone-friendly. Answers never leave the device. Runs entirely in the browser — no server, no storage, no accounts.</w:t>
      </w:r>
    </w:p>
    <w:p w14:paraId="17E1F609" w14:textId="77777777" w:rsidR="00E86328" w:rsidRDefault="00000000">
      <w:pPr>
        <w:pStyle w:val="ListParagraph"/>
        <w:numPr>
          <w:ilvl w:val="0"/>
          <w:numId w:val="2"/>
        </w:numPr>
        <w:spacing w:before="60" w:after="60"/>
      </w:pPr>
      <w:r>
        <w:rPr>
          <w:b/>
          <w:bCs/>
          <w:color w:val="1A1A1A"/>
        </w:rPr>
        <w:lastRenderedPageBreak/>
        <w:t>Results page</w:t>
      </w:r>
      <w:r>
        <w:rPr>
          <w:color w:val="1A1A1A"/>
        </w:rPr>
        <w:t xml:space="preserve"> — Shows your risk tier, the specific factors driving your score ranked by weight, and plain-English next steps for each one. If someone has symptoms, it tells them to book this week, not someday.</w:t>
      </w:r>
    </w:p>
    <w:p w14:paraId="52A88319" w14:textId="77777777" w:rsidR="00E86328" w:rsidRDefault="00000000">
      <w:pPr>
        <w:pStyle w:val="ListParagraph"/>
        <w:numPr>
          <w:ilvl w:val="0"/>
          <w:numId w:val="2"/>
        </w:numPr>
        <w:spacing w:before="60" w:after="60"/>
      </w:pPr>
      <w:r>
        <w:rPr>
          <w:b/>
          <w:bCs/>
          <w:color w:val="1A1A1A"/>
        </w:rPr>
        <w:t>Learn section</w:t>
      </w:r>
      <w:r>
        <w:rPr>
          <w:color w:val="1A1A1A"/>
        </w:rPr>
        <w:t xml:space="preserve"> — Seven evidence-based articles: warning signs, self-exam guide, HPV and oral cancer, prevention, statistics, what oral cancer is, and canker sore vs. oral cancer.</w:t>
      </w:r>
    </w:p>
    <w:p w14:paraId="25BA2908" w14:textId="77777777" w:rsidR="00E86328" w:rsidRDefault="00000000">
      <w:pPr>
        <w:pStyle w:val="ListParagraph"/>
        <w:numPr>
          <w:ilvl w:val="0"/>
          <w:numId w:val="2"/>
        </w:numPr>
        <w:spacing w:before="60" w:after="60"/>
      </w:pPr>
      <w:r>
        <w:rPr>
          <w:b/>
          <w:bCs/>
          <w:color w:val="1A1A1A"/>
        </w:rPr>
        <w:t>Find Care</w:t>
      </w:r>
      <w:r>
        <w:rPr>
          <w:color w:val="1A1A1A"/>
        </w:rPr>
        <w:t xml:space="preserve"> — Pulls real dental clinics, community health centers, dental schools, and free clinics near the user. Prioritizes HRSA-funded and affordable providers.</w:t>
      </w:r>
    </w:p>
    <w:p w14:paraId="71C4CE4D" w14:textId="77777777" w:rsidR="00E86328" w:rsidRDefault="00000000">
      <w:pPr>
        <w:pStyle w:val="ListParagraph"/>
        <w:numPr>
          <w:ilvl w:val="0"/>
          <w:numId w:val="2"/>
        </w:numPr>
        <w:spacing w:before="60" w:after="60"/>
      </w:pPr>
      <w:r>
        <w:rPr>
          <w:b/>
          <w:bCs/>
          <w:color w:val="1A1A1A"/>
        </w:rPr>
        <w:t>For Clinicians</w:t>
      </w:r>
      <w:r>
        <w:rPr>
          <w:color w:val="1A1A1A"/>
        </w:rPr>
        <w:t xml:space="preserve"> — A printable waiting room flyer that practices can customize with their name and print in under 2 minutes. No login, no vendor relationship, no cost.</w:t>
      </w:r>
    </w:p>
    <w:p w14:paraId="262B5B3B" w14:textId="77777777" w:rsidR="00E86328" w:rsidRDefault="00E86328">
      <w:pPr>
        <w:spacing w:before="80" w:after="80"/>
      </w:pPr>
    </w:p>
    <w:p w14:paraId="6857B8A1" w14:textId="77777777" w:rsidR="00E86328" w:rsidRDefault="00000000">
      <w:pPr>
        <w:pStyle w:val="Heading2"/>
        <w:pBdr>
          <w:bottom w:val="single" w:sz="4" w:space="4" w:color="DDDDDD"/>
        </w:pBdr>
      </w:pPr>
      <w:r>
        <w:t>5. Your Goal</w:t>
      </w:r>
    </w:p>
    <w:p w14:paraId="0852DC4C" w14:textId="77777777" w:rsidR="00E86328" w:rsidRDefault="00000000">
      <w:pPr>
        <w:spacing w:before="80" w:after="80"/>
      </w:pPr>
      <w:r>
        <w:rPr>
          <w:b/>
          <w:bCs/>
          <w:color w:val="1A1A1A"/>
        </w:rPr>
        <w:t xml:space="preserve">Short term: </w:t>
      </w:r>
      <w:r>
        <w:rPr>
          <w:color w:val="1A1A1A"/>
        </w:rPr>
        <w:t xml:space="preserve">Get the tool in front of people who wouldn't otherwise think about oral cancer risk. Primary distribution is dental offices — clinicians who hang the flyer or text the link </w:t>
      </w:r>
      <w:proofErr w:type="gramStart"/>
      <w:r>
        <w:rPr>
          <w:color w:val="1A1A1A"/>
        </w:rPr>
        <w:t>create</w:t>
      </w:r>
      <w:proofErr w:type="gramEnd"/>
      <w:r>
        <w:rPr>
          <w:color w:val="1A1A1A"/>
        </w:rPr>
        <w:t xml:space="preserve"> passive patient touchpoints during every visit.</w:t>
      </w:r>
    </w:p>
    <w:p w14:paraId="6DDA00FC" w14:textId="77777777" w:rsidR="00E86328" w:rsidRDefault="00E86328">
      <w:pPr>
        <w:spacing w:before="60" w:after="60"/>
      </w:pPr>
    </w:p>
    <w:p w14:paraId="5F64B849" w14:textId="77777777" w:rsidR="00E86328" w:rsidRDefault="00000000">
      <w:pPr>
        <w:spacing w:before="80" w:after="80"/>
      </w:pPr>
      <w:r>
        <w:rPr>
          <w:b/>
          <w:bCs/>
          <w:color w:val="1A1A1A"/>
        </w:rPr>
        <w:t xml:space="preserve">Long term: </w:t>
      </w:r>
      <w:r>
        <w:rPr>
          <w:color w:val="1A1A1A"/>
        </w:rPr>
        <w:t>Be the default free oral cancer awareness tool in the US. No paid tier, no data monetization, no sponsor lock-in. A clean, trustworthy resource that dental organizations, community health workers, and dentists can point patients to without friction.</w:t>
      </w:r>
    </w:p>
    <w:p w14:paraId="35FEA236" w14:textId="77777777" w:rsidR="00E86328" w:rsidRDefault="00E86328">
      <w:pPr>
        <w:spacing w:before="80" w:after="80"/>
      </w:pPr>
    </w:p>
    <w:p w14:paraId="04A1B55B" w14:textId="77777777" w:rsidR="00E86328" w:rsidRDefault="00000000">
      <w:pPr>
        <w:pStyle w:val="Heading2"/>
        <w:pBdr>
          <w:bottom w:val="single" w:sz="4" w:space="4" w:color="DDDDDD"/>
        </w:pBdr>
      </w:pPr>
      <w:r>
        <w:t>6. How the ADA Could Help — Ranked by Impact</w:t>
      </w:r>
    </w:p>
    <w:p w14:paraId="4AB71F54" w14:textId="77777777" w:rsidR="00E86328" w:rsidRDefault="00E86328">
      <w:pPr>
        <w:spacing w:before="80" w:after="80"/>
      </w:pPr>
    </w:p>
    <w:p w14:paraId="6E39A6FD" w14:textId="77777777" w:rsidR="00E86328" w:rsidRDefault="00000000">
      <w:pPr>
        <w:pStyle w:val="Heading3"/>
      </w:pPr>
      <w:r>
        <w:t>1. Scientific Validation / Co-Review</w:t>
      </w:r>
    </w:p>
    <w:p w14:paraId="34C83112" w14:textId="77777777" w:rsidR="00E86328" w:rsidRDefault="00000000">
      <w:pPr>
        <w:spacing w:before="80" w:after="80"/>
      </w:pPr>
      <w:r>
        <w:rPr>
          <w:color w:val="1A1A1A"/>
        </w:rPr>
        <w:t xml:space="preserve">The Science Director could review the weighting model and either endorse it or suggest adjustments based on current clinical evidence. Even an informal </w:t>
      </w:r>
      <w:r>
        <w:rPr>
          <w:b/>
          <w:bCs/>
          <w:color w:val="1A1A1A"/>
        </w:rPr>
        <w:t>"we reviewed this and it's methodologically sound"</w:t>
      </w:r>
      <w:r>
        <w:rPr>
          <w:color w:val="1A1A1A"/>
        </w:rPr>
        <w:t xml:space="preserve"> carries enormous credibility and helps with every other partnership conversation.</w:t>
      </w:r>
    </w:p>
    <w:p w14:paraId="7F0F4E6F" w14:textId="77777777" w:rsidR="00E86328" w:rsidRDefault="00E86328">
      <w:pPr>
        <w:spacing w:before="60" w:after="60"/>
      </w:pPr>
    </w:p>
    <w:p w14:paraId="094102CC" w14:textId="77777777" w:rsidR="00E86328" w:rsidRDefault="00000000">
      <w:pPr>
        <w:pStyle w:val="Heading3"/>
      </w:pPr>
      <w:r>
        <w:t>2. Distribution to Member Dentists</w:t>
      </w:r>
    </w:p>
    <w:p w14:paraId="1E14F300" w14:textId="77777777" w:rsidR="00E86328" w:rsidRDefault="00000000">
      <w:pPr>
        <w:spacing w:before="80" w:after="80"/>
      </w:pPr>
      <w:r>
        <w:rPr>
          <w:color w:val="1A1A1A"/>
        </w:rPr>
        <w:t xml:space="preserve">The ADA has </w:t>
      </w:r>
      <w:r>
        <w:rPr>
          <w:b/>
          <w:bCs/>
          <w:color w:val="1A1A1A"/>
        </w:rPr>
        <w:t>160,000+ member dentists.</w:t>
      </w:r>
      <w:r>
        <w:rPr>
          <w:color w:val="1A1A1A"/>
        </w:rPr>
        <w:t xml:space="preserve"> If </w:t>
      </w:r>
      <w:proofErr w:type="spellStart"/>
      <w:r>
        <w:rPr>
          <w:color w:val="1A1A1A"/>
        </w:rPr>
        <w:t>OralCheck</w:t>
      </w:r>
      <w:proofErr w:type="spellEnd"/>
      <w:r>
        <w:rPr>
          <w:color w:val="1A1A1A"/>
        </w:rPr>
        <w:t xml:space="preserve"> appeared in ADA News, member communications, or the Morning Huddle newsletter, it would reach more waiting rooms in one week than any other channel. The WDA featured it in their member newsletter (The Drill) — the ADA is the national version of that conversation.</w:t>
      </w:r>
    </w:p>
    <w:p w14:paraId="24BB04E5" w14:textId="77777777" w:rsidR="00E86328" w:rsidRDefault="00E86328">
      <w:pPr>
        <w:spacing w:before="60" w:after="60"/>
      </w:pPr>
    </w:p>
    <w:p w14:paraId="35B77A04" w14:textId="77777777" w:rsidR="00E86328" w:rsidRDefault="00000000">
      <w:pPr>
        <w:pStyle w:val="Heading3"/>
      </w:pPr>
      <w:r>
        <w:t>3. ADA Patient Education Materials</w:t>
      </w:r>
    </w:p>
    <w:p w14:paraId="5AD0C777" w14:textId="77777777" w:rsidR="00E86328" w:rsidRDefault="00000000">
      <w:pPr>
        <w:spacing w:before="80" w:after="80"/>
      </w:pPr>
      <w:r>
        <w:rPr>
          <w:color w:val="1A1A1A"/>
        </w:rPr>
        <w:t>ADA.org has a patient-facing section. A mention or link in the oral cancer awareness context would drive organic traffic from exactly the right audience.</w:t>
      </w:r>
    </w:p>
    <w:p w14:paraId="1680FC2C" w14:textId="77777777" w:rsidR="00E86328" w:rsidRDefault="00E86328">
      <w:pPr>
        <w:spacing w:before="60" w:after="60"/>
      </w:pPr>
    </w:p>
    <w:p w14:paraId="6D56D296" w14:textId="77777777" w:rsidR="00E86328" w:rsidRDefault="00000000">
      <w:pPr>
        <w:pStyle w:val="Heading3"/>
      </w:pPr>
      <w:r>
        <w:t>4. Find-a-Dentist Integration</w:t>
      </w:r>
    </w:p>
    <w:p w14:paraId="36D9C3F2" w14:textId="77777777" w:rsidR="00E86328" w:rsidRDefault="00000000">
      <w:pPr>
        <w:spacing w:before="80" w:after="80"/>
      </w:pPr>
      <w:r>
        <w:rPr>
          <w:color w:val="1A1A1A"/>
        </w:rPr>
        <w:t xml:space="preserve">When a </w:t>
      </w:r>
      <w:proofErr w:type="gramStart"/>
      <w:r>
        <w:rPr>
          <w:color w:val="1A1A1A"/>
        </w:rPr>
        <w:t>user scores</w:t>
      </w:r>
      <w:proofErr w:type="gramEnd"/>
      <w:r>
        <w:rPr>
          <w:color w:val="1A1A1A"/>
        </w:rPr>
        <w:t xml:space="preserve"> elevated or high, they need to book a visit. An ADA relationship could enable a </w:t>
      </w:r>
      <w:r>
        <w:rPr>
          <w:b/>
          <w:bCs/>
          <w:color w:val="1A1A1A"/>
        </w:rPr>
        <w:t>"Find an ADA member dentist near you"</w:t>
      </w:r>
      <w:r>
        <w:rPr>
          <w:color w:val="1A1A1A"/>
        </w:rPr>
        <w:t xml:space="preserve"> call-to-action on the results page — useful for the user and a value-add for ADA membership.</w:t>
      </w:r>
    </w:p>
    <w:p w14:paraId="5B3EF3B4" w14:textId="77777777" w:rsidR="00E86328" w:rsidRDefault="00E86328">
      <w:pPr>
        <w:spacing w:before="60" w:after="60"/>
      </w:pPr>
    </w:p>
    <w:p w14:paraId="19182399" w14:textId="77777777" w:rsidR="00E86328" w:rsidRDefault="00000000">
      <w:pPr>
        <w:pStyle w:val="Heading3"/>
      </w:pPr>
      <w:r>
        <w:lastRenderedPageBreak/>
        <w:t>5. April — Oral Cancer Awareness Month</w:t>
      </w:r>
    </w:p>
    <w:p w14:paraId="4E1A6AF0" w14:textId="77777777" w:rsidR="00E86328" w:rsidRDefault="00000000">
      <w:pPr>
        <w:spacing w:before="80" w:after="80"/>
      </w:pPr>
      <w:r>
        <w:rPr>
          <w:color w:val="1A1A1A"/>
        </w:rPr>
        <w:t xml:space="preserve">Co-promoting </w:t>
      </w:r>
      <w:proofErr w:type="spellStart"/>
      <w:r>
        <w:rPr>
          <w:color w:val="1A1A1A"/>
        </w:rPr>
        <w:t>OralCheck</w:t>
      </w:r>
      <w:proofErr w:type="spellEnd"/>
      <w:r>
        <w:rPr>
          <w:color w:val="1A1A1A"/>
        </w:rPr>
        <w:t xml:space="preserve"> during awareness campaigns — social, email, member comms — costs ADA nothing and gives the campaign a free, interactive tool to point to.</w:t>
      </w:r>
    </w:p>
    <w:p w14:paraId="66856887" w14:textId="77777777" w:rsidR="00E86328" w:rsidRDefault="00E86328">
      <w:pPr>
        <w:spacing w:before="80" w:after="80"/>
      </w:pPr>
    </w:p>
    <w:p w14:paraId="2708001A" w14:textId="77777777" w:rsidR="00E86328" w:rsidRDefault="00000000">
      <w:pPr>
        <w:pStyle w:val="Heading2"/>
        <w:pBdr>
          <w:bottom w:val="single" w:sz="4" w:space="4" w:color="DDDDDD"/>
        </w:pBdr>
      </w:pPr>
      <w:r>
        <w:t>7. Other Things Worth Knowing</w:t>
      </w:r>
    </w:p>
    <w:p w14:paraId="78F89EFD" w14:textId="77777777" w:rsidR="00E86328" w:rsidRDefault="00000000">
      <w:pPr>
        <w:pStyle w:val="ListParagraph"/>
        <w:numPr>
          <w:ilvl w:val="0"/>
          <w:numId w:val="2"/>
        </w:numPr>
        <w:spacing w:before="60" w:after="60"/>
      </w:pPr>
      <w:r>
        <w:rPr>
          <w:b/>
          <w:bCs/>
          <w:color w:val="1A1A1A"/>
        </w:rPr>
        <w:t xml:space="preserve">No PHI ever collected. </w:t>
      </w:r>
      <w:r>
        <w:rPr>
          <w:color w:val="1A1A1A"/>
        </w:rPr>
        <w:t>No HIPAA exposure for practices that share it. No patient data flows anywhere.</w:t>
      </w:r>
    </w:p>
    <w:p w14:paraId="74F83CEE" w14:textId="77777777" w:rsidR="00E86328" w:rsidRDefault="00000000">
      <w:pPr>
        <w:pStyle w:val="ListParagraph"/>
        <w:numPr>
          <w:ilvl w:val="0"/>
          <w:numId w:val="2"/>
        </w:numPr>
        <w:spacing w:before="60" w:after="60"/>
      </w:pPr>
      <w:r>
        <w:rPr>
          <w:b/>
          <w:bCs/>
          <w:color w:val="1A1A1A"/>
        </w:rPr>
        <w:t xml:space="preserve">Already gaining traction. </w:t>
      </w:r>
      <w:r>
        <w:rPr>
          <w:color w:val="1A1A1A"/>
        </w:rPr>
        <w:t>1,500+ events, 200+ active users — no paid promotion, purely organic and through the WDA.</w:t>
      </w:r>
    </w:p>
    <w:p w14:paraId="72465B63" w14:textId="77777777" w:rsidR="00E86328" w:rsidRDefault="00000000">
      <w:pPr>
        <w:pStyle w:val="ListParagraph"/>
        <w:numPr>
          <w:ilvl w:val="0"/>
          <w:numId w:val="2"/>
        </w:numPr>
        <w:spacing w:before="60" w:after="60"/>
      </w:pPr>
      <w:r>
        <w:rPr>
          <w:b/>
          <w:bCs/>
          <w:color w:val="1A1A1A"/>
        </w:rPr>
        <w:t xml:space="preserve">Built by a student, not a company. </w:t>
      </w:r>
      <w:r>
        <w:rPr>
          <w:color w:val="1A1A1A"/>
        </w:rPr>
        <w:t>This is a mission-driven project with no commercial agenda, which is what makes it appropriate for an ADA relationship.</w:t>
      </w:r>
    </w:p>
    <w:p w14:paraId="102CD895" w14:textId="77777777" w:rsidR="00E86328" w:rsidRDefault="00000000">
      <w:pPr>
        <w:pStyle w:val="ListParagraph"/>
        <w:numPr>
          <w:ilvl w:val="0"/>
          <w:numId w:val="2"/>
        </w:numPr>
        <w:spacing w:before="60" w:after="60"/>
      </w:pPr>
      <w:r>
        <w:rPr>
          <w:b/>
          <w:bCs/>
          <w:color w:val="1A1A1A"/>
        </w:rPr>
        <w:t xml:space="preserve">The For Clinicians page exists for this conversation. </w:t>
      </w:r>
      <w:r>
        <w:rPr>
          <w:color w:val="1A1A1A"/>
        </w:rPr>
        <w:t>Any dentist leaving the meeting can go to oralcheck.org/for-clinicians, customize a flyer, and print it in under 2 minutes.</w:t>
      </w:r>
    </w:p>
    <w:p w14:paraId="237D8A19" w14:textId="77777777" w:rsidR="00E86328" w:rsidRDefault="00000000">
      <w:pPr>
        <w:pStyle w:val="ListParagraph"/>
        <w:numPr>
          <w:ilvl w:val="0"/>
          <w:numId w:val="2"/>
        </w:numPr>
        <w:spacing w:before="60" w:after="60"/>
      </w:pPr>
      <w:r>
        <w:rPr>
          <w:b/>
          <w:bCs/>
          <w:color w:val="1A1A1A"/>
        </w:rPr>
        <w:t xml:space="preserve">The survival rate gap is your core argument. </w:t>
      </w:r>
      <w:r>
        <w:rPr>
          <w:color w:val="1A1A1A"/>
        </w:rPr>
        <w:t>Stage I oral cancer: 84% survival. Stage IV: ~38%. The tool exists to close that gap by getting people into a dental chair earlier.</w:t>
      </w:r>
    </w:p>
    <w:p w14:paraId="00F6A0E8" w14:textId="77777777" w:rsidR="009149B0" w:rsidRDefault="009149B0"/>
    <w:sectPr w:rsidR="009149B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87241" w14:textId="77777777" w:rsidR="009149B0" w:rsidRDefault="009149B0">
      <w:r>
        <w:separator/>
      </w:r>
    </w:p>
  </w:endnote>
  <w:endnote w:type="continuationSeparator" w:id="0">
    <w:p w14:paraId="0EC652AF" w14:textId="77777777" w:rsidR="009149B0" w:rsidRDefault="00914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E91F" w14:textId="77777777" w:rsidR="00E86328" w:rsidRDefault="00000000">
    <w:pPr>
      <w:pBdr>
        <w:top w:val="single" w:sz="4" w:space="4" w:color="DDDDDD"/>
      </w:pBdr>
      <w:jc w:val="center"/>
    </w:pPr>
    <w:proofErr w:type="gramStart"/>
    <w:r>
      <w:rPr>
        <w:color w:val="888888"/>
        <w:sz w:val="18"/>
        <w:szCs w:val="18"/>
      </w:rPr>
      <w:t>oralcheck.org  |</w:t>
    </w:r>
    <w:proofErr w:type="gramEnd"/>
    <w:r>
      <w:rPr>
        <w:color w:val="888888"/>
        <w:sz w:val="18"/>
        <w:szCs w:val="18"/>
      </w:rPr>
      <w:t xml:space="preserve">  </w:t>
    </w:r>
    <w:proofErr w:type="gramStart"/>
    <w:r>
      <w:rPr>
        <w:color w:val="888888"/>
        <w:sz w:val="18"/>
        <w:szCs w:val="18"/>
      </w:rPr>
      <w:t>Confidential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0580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87177" w14:textId="77777777" w:rsidR="009149B0" w:rsidRDefault="009149B0">
      <w:r>
        <w:separator/>
      </w:r>
    </w:p>
  </w:footnote>
  <w:footnote w:type="continuationSeparator" w:id="0">
    <w:p w14:paraId="40593E0D" w14:textId="77777777" w:rsidR="009149B0" w:rsidRDefault="009149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544C7" w14:textId="77777777" w:rsidR="00E86328" w:rsidRDefault="00000000">
    <w:pPr>
      <w:pBdr>
        <w:bottom w:val="single" w:sz="4" w:space="4" w:color="DDDDDD"/>
      </w:pBdr>
      <w:jc w:val="right"/>
    </w:pPr>
    <w:proofErr w:type="spellStart"/>
    <w:r>
      <w:rPr>
        <w:color w:val="888888"/>
        <w:sz w:val="18"/>
        <w:szCs w:val="18"/>
      </w:rPr>
      <w:t>OralCheck</w:t>
    </w:r>
    <w:proofErr w:type="spellEnd"/>
    <w:r>
      <w:rPr>
        <w:color w:val="888888"/>
        <w:sz w:val="18"/>
        <w:szCs w:val="18"/>
      </w:rPr>
      <w:t xml:space="preserve"> — ADA Meeting Briefing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3967"/>
    <w:multiLevelType w:val="hybridMultilevel"/>
    <w:tmpl w:val="A364B2F6"/>
    <w:lvl w:ilvl="0" w:tplc="23A016EE">
      <w:start w:val="1"/>
      <w:numFmt w:val="bullet"/>
      <w:lvlText w:val="●"/>
      <w:lvlJc w:val="left"/>
      <w:pPr>
        <w:ind w:left="720" w:hanging="360"/>
      </w:pPr>
    </w:lvl>
    <w:lvl w:ilvl="1" w:tplc="2586CC34">
      <w:start w:val="1"/>
      <w:numFmt w:val="bullet"/>
      <w:lvlText w:val="○"/>
      <w:lvlJc w:val="left"/>
      <w:pPr>
        <w:ind w:left="1440" w:hanging="360"/>
      </w:pPr>
    </w:lvl>
    <w:lvl w:ilvl="2" w:tplc="7F069E70">
      <w:start w:val="1"/>
      <w:numFmt w:val="bullet"/>
      <w:lvlText w:val="■"/>
      <w:lvlJc w:val="left"/>
      <w:pPr>
        <w:ind w:left="2160" w:hanging="360"/>
      </w:pPr>
    </w:lvl>
    <w:lvl w:ilvl="3" w:tplc="992E1E00">
      <w:start w:val="1"/>
      <w:numFmt w:val="bullet"/>
      <w:lvlText w:val="●"/>
      <w:lvlJc w:val="left"/>
      <w:pPr>
        <w:ind w:left="2880" w:hanging="360"/>
      </w:pPr>
    </w:lvl>
    <w:lvl w:ilvl="4" w:tplc="37AE8B9E">
      <w:start w:val="1"/>
      <w:numFmt w:val="bullet"/>
      <w:lvlText w:val="○"/>
      <w:lvlJc w:val="left"/>
      <w:pPr>
        <w:ind w:left="3600" w:hanging="360"/>
      </w:pPr>
    </w:lvl>
    <w:lvl w:ilvl="5" w:tplc="9BACAEBC">
      <w:start w:val="1"/>
      <w:numFmt w:val="bullet"/>
      <w:lvlText w:val="■"/>
      <w:lvlJc w:val="left"/>
      <w:pPr>
        <w:ind w:left="4320" w:hanging="360"/>
      </w:pPr>
    </w:lvl>
    <w:lvl w:ilvl="6" w:tplc="D5AA842A">
      <w:start w:val="1"/>
      <w:numFmt w:val="bullet"/>
      <w:lvlText w:val="●"/>
      <w:lvlJc w:val="left"/>
      <w:pPr>
        <w:ind w:left="5040" w:hanging="360"/>
      </w:pPr>
    </w:lvl>
    <w:lvl w:ilvl="7" w:tplc="AFF25648">
      <w:start w:val="1"/>
      <w:numFmt w:val="bullet"/>
      <w:lvlText w:val="●"/>
      <w:lvlJc w:val="left"/>
      <w:pPr>
        <w:ind w:left="5760" w:hanging="360"/>
      </w:pPr>
    </w:lvl>
    <w:lvl w:ilvl="8" w:tplc="62C21E9E">
      <w:start w:val="1"/>
      <w:numFmt w:val="bullet"/>
      <w:lvlText w:val="●"/>
      <w:lvlJc w:val="left"/>
      <w:pPr>
        <w:ind w:left="6480" w:hanging="360"/>
      </w:pPr>
    </w:lvl>
  </w:abstractNum>
  <w:abstractNum w:abstractNumId="1" w15:restartNumberingAfterBreak="0">
    <w:nsid w:val="39BE771E"/>
    <w:multiLevelType w:val="hybridMultilevel"/>
    <w:tmpl w:val="3670CE3A"/>
    <w:lvl w:ilvl="0" w:tplc="3F46D6CC">
      <w:start w:val="1"/>
      <w:numFmt w:val="bullet"/>
      <w:lvlText w:val="•"/>
      <w:lvlJc w:val="left"/>
      <w:pPr>
        <w:ind w:left="720" w:hanging="360"/>
      </w:pPr>
    </w:lvl>
    <w:lvl w:ilvl="1" w:tplc="D6262E3C">
      <w:start w:val="1"/>
      <w:numFmt w:val="bullet"/>
      <w:lvlText w:val="◦"/>
      <w:lvlJc w:val="left"/>
      <w:pPr>
        <w:ind w:left="1080" w:hanging="360"/>
      </w:pPr>
    </w:lvl>
    <w:lvl w:ilvl="2" w:tplc="26469F32">
      <w:numFmt w:val="decimal"/>
      <w:lvlText w:val=""/>
      <w:lvlJc w:val="left"/>
    </w:lvl>
    <w:lvl w:ilvl="3" w:tplc="AD3ED9AE">
      <w:numFmt w:val="decimal"/>
      <w:lvlText w:val=""/>
      <w:lvlJc w:val="left"/>
    </w:lvl>
    <w:lvl w:ilvl="4" w:tplc="AABC8756">
      <w:numFmt w:val="decimal"/>
      <w:lvlText w:val=""/>
      <w:lvlJc w:val="left"/>
    </w:lvl>
    <w:lvl w:ilvl="5" w:tplc="788C12E8">
      <w:numFmt w:val="decimal"/>
      <w:lvlText w:val=""/>
      <w:lvlJc w:val="left"/>
    </w:lvl>
    <w:lvl w:ilvl="6" w:tplc="D4B0FABE">
      <w:numFmt w:val="decimal"/>
      <w:lvlText w:val=""/>
      <w:lvlJc w:val="left"/>
    </w:lvl>
    <w:lvl w:ilvl="7" w:tplc="F88813C0">
      <w:numFmt w:val="decimal"/>
      <w:lvlText w:val=""/>
      <w:lvlJc w:val="left"/>
    </w:lvl>
    <w:lvl w:ilvl="8" w:tplc="127212A0">
      <w:numFmt w:val="decimal"/>
      <w:lvlText w:val=""/>
      <w:lvlJc w:val="left"/>
    </w:lvl>
  </w:abstractNum>
  <w:num w:numId="1" w16cid:durableId="1678146533">
    <w:abstractNumId w:val="0"/>
    <w:lvlOverride w:ilvl="0">
      <w:startOverride w:val="1"/>
    </w:lvlOverride>
  </w:num>
  <w:num w:numId="2" w16cid:durableId="2849650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328"/>
    <w:rsid w:val="00054F3F"/>
    <w:rsid w:val="009149B0"/>
    <w:rsid w:val="00E0580D"/>
    <w:rsid w:val="00E86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01D7D4"/>
  <w15:docId w15:val="{C0196EFA-C3CB-5A46-9DE9-BECD52FD3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5E61"/>
      <w:sz w:val="32"/>
      <w:szCs w:val="32"/>
    </w:rPr>
  </w:style>
  <w:style w:type="paragraph" w:styleId="Heading2">
    <w:name w:val="heading 2"/>
    <w:uiPriority w:val="9"/>
    <w:unhideWhenUsed/>
    <w:qFormat/>
    <w:pPr>
      <w:spacing w:before="320" w:after="120"/>
      <w:outlineLvl w:val="1"/>
    </w:pPr>
    <w:rPr>
      <w:b/>
      <w:bCs/>
      <w:color w:val="1A1A1A"/>
      <w:sz w:val="26"/>
      <w:szCs w:val="26"/>
    </w:rPr>
  </w:style>
  <w:style w:type="paragraph" w:styleId="Heading3">
    <w:name w:val="heading 3"/>
    <w:uiPriority w:val="9"/>
    <w:unhideWhenUsed/>
    <w:qFormat/>
    <w:pPr>
      <w:spacing w:before="240" w:after="80"/>
      <w:outlineLvl w:val="2"/>
    </w:pPr>
    <w:rPr>
      <w:b/>
      <w:bCs/>
      <w:color w:val="3D7A7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1050</Words>
  <Characters>5987</Characters>
  <Application>Microsoft Office Word</Application>
  <DocSecurity>0</DocSecurity>
  <Lines>49</Lines>
  <Paragraphs>14</Paragraphs>
  <ScaleCrop>false</ScaleCrop>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Harris</cp:lastModifiedBy>
  <cp:revision>2</cp:revision>
  <dcterms:created xsi:type="dcterms:W3CDTF">2026-05-11T16:42:00Z</dcterms:created>
  <dcterms:modified xsi:type="dcterms:W3CDTF">2026-06-10T01:41:00Z</dcterms:modified>
</cp:coreProperties>
</file>