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MD&amp;A draft: Liquidity</w:t>
      </w:r>
    </w:p>
    <w:p>
      <w:r>
        <w:t xml:space="preserve">Liquidity. As of the quarter end, Example Co held cash and cash equivalents of $412 million and had no borrowings outstanding under its revolving credit facility.</w:t>
      </w:r>
    </w:p>
    <w:p>
      <w:r>
        <w:t xml:space="preserve">We believe existing cash, together with cash from operations, is sufficient to meet our needs for at least the next twelve months.</w:t>
      </w:r>
    </w:p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keepNext/>
      <w:outlineLvl w:val="0"/>
    </w:pPr>
    <w:rPr>
      <w:b/>
      <w:sz w:val="3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>
  <dc:creator>synthetic</dc:creator>
</cp:coreProperties>
</file>