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Walkthrough: Vendor payments</w:t>
      </w:r>
    </w:p>
    <w:p>
      <w:r>
        <w:t xml:space="preserve">The AP clerk enters the invoice and matches it to the purchase order.</w:t>
      </w:r>
    </w:p>
    <w:p>
      <w:r>
        <w:t xml:space="preserve">The AP supervisor approves any invoice above the approval limit in the payment system.</w:t>
      </w:r>
    </w:p>
    <w:p>
      <w:r>
        <w:t xml:space="preserve">Treasury releases the payment run each Thursday.</w:t>
      </w:r>
    </w:p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keepNext/>
      <w:outlineLvl w:val="0"/>
    </w:pPr>
    <w:rPr>
      <w:b/>
      <w:sz w:val="3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>
  <dc:creator>synthetic</dc:creator>
</cp:coreProperties>
</file>