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Climate Policy</w:t>
      </w:r>
    </w:p>
    <w:p>
      <w:r>
        <w:t xml:space="preserve">Example Co will measure and report its Scope 1, 2 and 3 emissions each year.</w:t>
      </w:r>
    </w:p>
    <w:p>
      <w:r>
        <w:t xml:space="preserve">The company has set a target to cut Scope 1 and 2 emissions by 42 percent by 2030 from a 2022 base.</w:t>
      </w:r>
    </w:p>
    <w:p>
      <w:r>
        <w:t xml:space="preserve">The board reviews climate risks once a year.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  <w:rPr>
      <w:b/>
      <w:sz w:val="3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creator>synthetic</dc:creator>
</cp:coreProperties>
</file>