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Internal Audit Report: Vendor Management (report date 30 September 2026)</w:t>
      </w:r>
    </w:p>
    <w:p>
      <w:r>
        <w:t xml:space="preserve">Overall rating: Needs improvement.</w:t>
      </w:r>
    </w:p>
    <w:p>
      <w:r>
        <w:t xml:space="preserve">Finding 1 (High): Changes to vendor bank details were not independently reviewed in 4 of 25 samples. Management response: a second reviewer will approve all bank detail changes. Owner: AP Manager. Due: 31 August 2026. Status: Open.</w:t>
      </w:r>
    </w:p>
    <w:p>
      <w:r>
        <w:t xml:space="preserve">Finding 2 (Medium): 6 of 40 active vendors had no signed contract on file. Due: 31 December 2026. Status: Open.</w:t>
      </w:r>
    </w:p>
    <w:p>
      <w:r>
        <w:t xml:space="preserve">Finding 3 (Low): The vendor onboarding checklist was last updated in 2023. Management response: the checklist will be refreshed. Owner: Procurement Lead. Due: 30 November 2026. Status: Open.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creator>synthetic</dc:creator>
</cp:coreProperties>
</file>