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Vendor Onboarding Policy (v2.1)</w:t>
      </w:r>
    </w:p>
    <w:p>
      <w:r>
        <w:t xml:space="preserve">1. Purpose. This policy sets the steps for adding new vendors to the vendor master file.</w:t>
      </w:r>
    </w:p>
    <w:p>
      <w:r>
        <w:t xml:space="preserve">2. Approval. New vendors with expected annual spend above USD 25,000 require approval by the Procurement Director.</w:t>
      </w:r>
    </w:p>
    <w:p>
      <w:r>
        <w:t xml:space="preserve">3. Due diligence. Procurement checks each new vendor against the sanctions list before setup.</w:t>
      </w:r>
    </w:p>
    <w:p>
      <w:r>
        <w:t xml:space="preserve">4. Exceptions. Vendors with expected annual spend below USD 50,000 may be set up with Procurement Manager approval only.</w:t>
      </w:r>
    </w:p>
    <w:p>
      <w:r>
        <w:t xml:space="preserve">5. Maintenance. Vendor master data is reviewed periodically.</w:t>
      </w:r>
    </w:p>
    <w:p>
      <w:r>
        <w:t xml:space="preserve">6. Changes. Vendors may update their address or contact details by email to the AP inbox.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