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Supplier Engagement Programme: FY2025 summary</w:t>
      </w:r>
    </w:p>
    <w:p>
      <w:r>
        <w:t xml:space="preserve">In FY2025 we sent our climate survey to 120 key suppliers.</w:t>
      </w:r>
    </w:p>
    <w:p>
      <w:r>
        <w:t xml:space="preserve">78 suppliers responded, a response rate of 70%.</w:t>
      </w:r>
    </w:p>
    <w:p>
      <w:r>
        <w:t xml:space="preserve">Of the suppliers that responded, 31 have set an emissions reduction target and 12 have targets validated by SBTi.</w:t>
      </w:r>
    </w:p>
    <w:p>
      <w:r>
        <w:t xml:space="preserve">Suppliers that responded represent 58% of our purchased goods spend.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