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Access Policy</w:t>
      </w:r>
    </w:p>
    <w:p>
      <w:r>
        <w:t xml:space="preserve">Purpose. This policy sets rules for access to finance systems.</w:t>
      </w:r>
    </w:p>
    <w:p>
      <w:r>
        <w:t xml:space="preserve">Access requests must be approved by the system owner.</w:t>
      </w:r>
    </w:p>
    <w:p>
      <w:r>
        <w:t xml:space="preserve">Accounts are reviewed when needed.</w:t>
      </w:r>
    </w:p>
    <w:p>
      <w:r>
        <w:t xml:space="preserve">Terminated users should lose access.</w:t>
      </w:r>
    </w:p>
    <w:p>
      <w:r>
        <w:t xml:space="preserve">In an emergency, any manager may grant access by phone or email, and no ticket is required.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creator>synthetic</dc:creator>
</cp:coreProperties>
</file>