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MD&amp;A draft: Liquidity</w:t>
      </w:r>
    </w:p>
    <w:p>
      <w:r>
        <w:t xml:space="preserve">Liquidity. As of the quarter end, Example Co held cash and cash equivalents of $412 million, of which $38 million was held by foreign subsidiaries, and had no borrowings outstanding under its $250 million revolving credit facility. Our $300 million of senior notes due 2029 remain outstanding. We believe existing cash, together with cash from operations, is sufficient to meet our needs for at least the next twelve months.</w:t>
      </w:r>
    </w:p>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pPr>
      <w:keepNext/>
      <w:outlineLvl w:val="0"/>
    </w:pPr>
    <w:rPr>
      <w:b/>
      <w:sz w:val="3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creator>synthetic</dc:creator>
</cp:coreProperties>
</file>