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Aftercare guide</w:t>
      </w:r>
    </w:p>
    <w:p>
      <w:r>
        <w:t>Follow these steps after every chemical peel.</w:t>
      </w:r>
    </w:p>
    <w:p>
      <w:pPr>
        <w:pStyle w:val="Heading2"/>
      </w:pPr>
      <w:r>
        <w:t>First 24 hours</w:t>
      </w:r>
    </w:p>
    <w:p>
      <w:pPr>
        <w:pStyle w:val="ListBullet"/>
      </w:pPr>
      <w:r>
        <w:t>Apply the recommended moisturiser twice daily.</w:t>
      </w:r>
    </w:p>
    <w:p>
      <w:pPr>
        <w:pStyle w:val="ListBullet"/>
      </w:pPr>
      <w:r>
        <w:t>Avoid makeup on treated areas.</w:t>
      </w:r>
    </w:p>
    <w:p>
      <w:pPr>
        <w:pStyle w:val="Heading2"/>
      </w:pPr>
      <w:r>
        <w:t>Products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Gentle cleanser</w:t>
            </w:r>
          </w:p>
        </w:tc>
        <w:tc>
          <w:tcPr>
            <w:tcW w:type="dxa" w:w="4320"/>
          </w:tcPr>
          <w:p>
            <w:r>
              <w:t>Morning and evening</w:t>
            </w:r>
          </w:p>
        </w:tc>
      </w:tr>
    </w:tbl>
    <w:p>
      <w:r>
        <w:t>Contact the branch if redness lasts more than three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Aftercare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