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Unit 2 Reflection: Assessment Approaches and User Participation in the Risk Management Process</w:t>
      </w:r>
    </w:p>
    <w:p>
      <w:pPr>
        <w:spacing w:after="80"/>
      </w:pPr>
      <w:r>
        <w:rPr>
          <w:color w:val="555555"/>
        </w:rPr>
        <w:t xml:space="preserve">Ian Stevens  |  Security and Risk Management, October 2025</w:t>
      </w:r>
    </w:p>
    <w:p>
      <w:pPr>
        <w:spacing w:after="240"/>
      </w:pPr>
      <w:r>
        <w:rPr>
          <w:i/>
          <w:iCs/>
          <w:color w:val="555555"/>
        </w:rPr>
        <w:t xml:space="preserve">Structured using the What? So what? Now what? model (Rolfe, Freshwater and Jasper, 2001).</w:t>
      </w:r>
    </w:p>
    <w:p>
      <w:pPr>
        <w:pStyle w:val="Heading1"/>
      </w:pPr>
      <w:r>
        <w:t xml:space="preserve">What?</w:t>
      </w:r>
    </w:p>
    <w:p>
      <w:pPr>
        <w:spacing w:after="160" w:line="300"/>
        <w:jc w:val="both"/>
      </w:pPr>
      <w:r>
        <w:t xml:space="preserve">Unit 2 went back over the risk management process (RMP) and asked two questions of it: how the choice between qualitative and quantitative assessment shapes the result, and how far the people affected by a risk should take part in assessing it. The readings ranged from the ISO 31000-based guidance of AIRMIC (2010) to the Open FAIR tool (The Open Group, 2018) and Renn, Beier and Schweizer's (2021) systemic view of digitalisation. </w:t>
      </w:r>
      <w:r>
        <w:rPr>
          <w:i/>
          <w:iCs/>
          <w:highlight w:val="yellow"/>
          <w:highlightCs w:val="yellow"/>
        </w:rPr>
        <w:t xml:space="preserve">[Add one sentence on your initial discussion post and a peer response that challenged it.]</w:t>
      </w:r>
    </w:p>
    <w:p>
      <w:pPr>
        <w:pStyle w:val="Heading1"/>
      </w:pPr>
      <w:r>
        <w:t xml:space="preserve">So what?</w:t>
      </w:r>
    </w:p>
    <w:p>
      <w:pPr>
        <w:spacing w:after="160" w:line="300"/>
        <w:jc w:val="both"/>
      </w:pPr>
      <w:r>
        <w:t xml:space="preserve">I began the week assuming quantitative methods were the proper approach and qualitative scoring was a fallback for when data ran out. The Open FAIR tool supported that view at first, since it turns estimate ranges into an annualised loss figure. What changed my mind was asking where those ranges come from. They are human judgements, so a quantitative model is only as sound as the conversations behind its inputs. Cox (2008) attacks the other side, showing that risk matrices can rank risks inconsistently and even give higher ratings to smaller risks.</w:t>
      </w:r>
    </w:p>
    <w:p>
      <w:pPr>
        <w:spacing w:after="160" w:line="300"/>
        <w:jc w:val="both"/>
      </w:pPr>
      <w:r>
        <w:t xml:space="preserve">Both points apply to my own work. Our group's ISO/IEC 27005 assessment of Pampered Pets rated regulatory non-compliance 'High' from low likelihood and medium impact, while a medium-likelihood, medium-impact insider threat came out 'Moderate'. Nobody questioned this, which is exactly the inconsistency Cox describes. My later Monte Carlo model used triangular distributions built on bounded expert judgement. That is more transparent, but less objective than its tidy percentages suggest. I now see qualitative and quantitative methods as points on a scale of how openly uncertainty is recorded, rather than rival camps. I also rejected Bayesian networks as too data-hungry, yet Wang, Neil and Fenton (2020) show they can extend FAIR by combining expert judgement with limited data. I am less confident in that decision now.</w:t>
      </w:r>
    </w:p>
    <w:p>
      <w:pPr>
        <w:spacing w:after="160" w:line="300"/>
        <w:jc w:val="both"/>
      </w:pPr>
      <w:r>
        <w:t xml:space="preserve">User participation challenged me more. AIRMIC (2010) expects the involvement of staff at all levels, and Salter et al. (1998) argue that countermeasures must be judged against practical constraints such as cost and usability, not technical strength alone. Renn, Beier and Schweizer (2021) go further, calling for affected actors to co-design governance. Our mitigations, such as MFA and network segregation, were sound on paper, but we set likelihoods without asking the staff whose phones shared the shop Wi-Fi. The seminar raised a related concern. Kalogiannidis et al. (2024) report that AI improves predictive risk assessment, but their evidence is a survey of specialists' perceptions, and an AI tool could easily sideline the people who know the business best.</w:t>
      </w:r>
    </w:p>
    <w:p>
      <w:pPr>
        <w:pStyle w:val="Heading1"/>
      </w:pPr>
      <w:r>
        <w:t xml:space="preserve">Now what?</w:t>
      </w:r>
    </w:p>
    <w:p>
      <w:pPr>
        <w:spacing w:after="160" w:line="300"/>
        <w:jc w:val="both"/>
      </w:pPr>
      <w:r>
        <w:t xml:space="preserve">I will record the basis for every likelihood and impact rating and use ranges instead of single labels where possible. I will treat user workshops as part of risk identification rather than something that happens after controls are chosen. When AI tools are proposed, I will ask whose voice they remove. At work, I intend to try the first two on my next risk review and note whether ratings shift once operational staff are involved.</w:t>
      </w:r>
    </w:p>
    <w:p>
      <w:pPr>
        <w:pStyle w:val="Heading1"/>
      </w:pPr>
      <w:r>
        <w:t xml:space="preserve">References</w:t>
      </w:r>
    </w:p>
    <w:p>
      <w:pPr>
        <w:spacing w:after="120"/>
        <w:ind w:left="567" w:hanging="567"/>
      </w:pPr>
      <w:r>
        <w:rPr>
          <w:i w:val="false"/>
          <w:iCs w:val="false"/>
        </w:rPr>
        <w:t xml:space="preserve">AIRMIC (2010) </w:t>
      </w:r>
      <w:r>
        <w:rPr>
          <w:i/>
          <w:iCs/>
        </w:rPr>
        <w:t xml:space="preserve">A structured approach to Enterprise Risk Management (ERM) and the requirements of ISO 31000</w:t>
      </w:r>
      <w:r>
        <w:rPr>
          <w:i w:val="false"/>
          <w:iCs w:val="false"/>
        </w:rPr>
        <w:t xml:space="preserve">. London: AIRMIC, Alarm and IRM. Available at: </w:t>
      </w:r>
      <w:hyperlink w:history="1" r:id="rIdnwrcaqrssw3ofhb9rk4m1">
        <w:r>
          <w:rPr>
            <w:rStyle w:val="Hyperlink"/>
          </w:rPr>
          <w:t xml:space="preserve">https://web-ded.uta.edu/cedwebfiles/osh/library/A%20Structured%20Approach%20to%20ERM%20and%20ISO%2031000.pdf</w:t>
        </w:r>
      </w:hyperlink>
      <w:r>
        <w:rPr>
          <w:i w:val="false"/>
          <w:iCs w:val="false"/>
        </w:rPr>
        <w:t xml:space="preserve"> (Accessed: 3 October 2026).</w:t>
      </w:r>
    </w:p>
    <w:p>
      <w:pPr>
        <w:spacing w:after="120"/>
        <w:ind w:left="567" w:hanging="567"/>
      </w:pPr>
      <w:r>
        <w:rPr>
          <w:i w:val="false"/>
          <w:iCs w:val="false"/>
        </w:rPr>
        <w:t xml:space="preserve">Cox, L.A. (2008) ‘What’s wrong with risk matrices?’, </w:t>
      </w:r>
      <w:r>
        <w:rPr>
          <w:i/>
          <w:iCs/>
        </w:rPr>
        <w:t xml:space="preserve">Risk Analysis</w:t>
      </w:r>
      <w:r>
        <w:rPr>
          <w:i w:val="false"/>
          <w:iCs w:val="false"/>
        </w:rPr>
        <w:t xml:space="preserve">, 28(2), pp. 497–512. Available at: </w:t>
      </w:r>
      <w:hyperlink w:history="1" r:id="rIdbg6fxapo1rbdzrswgfn1o">
        <w:r>
          <w:rPr>
            <w:rStyle w:val="Hyperlink"/>
          </w:rPr>
          <w:t xml:space="preserve">https://doi.org/10.1111/j.1539-6924.2008.01030.x</w:t>
        </w:r>
      </w:hyperlink>
      <w:r>
        <w:rPr>
          <w:i w:val="false"/>
          <w:iCs w:val="false"/>
        </w:rPr>
        <w:t xml:space="preserve"> (Accessed: 3 October 2026).</w:t>
      </w:r>
    </w:p>
    <w:p>
      <w:pPr>
        <w:spacing w:after="120"/>
        <w:ind w:left="567" w:hanging="567"/>
      </w:pPr>
      <w:r>
        <w:rPr>
          <w:i w:val="false"/>
          <w:iCs w:val="false"/>
        </w:rPr>
        <w:t xml:space="preserve">Kalogiannidis, S., Kalfas, D., Papaevangelou, O., Giannarakis, G. and Chatzitheodoridis, F. (2024) ‘The role of artificial intelligence technology in predictive risk assessment for business continuity: a case study of Greece’, </w:t>
      </w:r>
      <w:r>
        <w:rPr>
          <w:i/>
          <w:iCs/>
        </w:rPr>
        <w:t xml:space="preserve">Risks</w:t>
      </w:r>
      <w:r>
        <w:rPr>
          <w:i w:val="false"/>
          <w:iCs w:val="false"/>
        </w:rPr>
        <w:t xml:space="preserve">, 12(2), article 19. Available at: </w:t>
      </w:r>
      <w:hyperlink w:history="1" r:id="rIdalld8bbstq-66_sq5qfbh">
        <w:r>
          <w:rPr>
            <w:rStyle w:val="Hyperlink"/>
          </w:rPr>
          <w:t xml:space="preserve">https://doi.org/10.3390/risks12020019</w:t>
        </w:r>
      </w:hyperlink>
      <w:r>
        <w:rPr>
          <w:i w:val="false"/>
          <w:iCs w:val="false"/>
        </w:rPr>
        <w:t xml:space="preserve"> (Accessed: 3 October 2026).</w:t>
      </w:r>
    </w:p>
    <w:p>
      <w:pPr>
        <w:spacing w:after="120"/>
        <w:ind w:left="567" w:hanging="567"/>
      </w:pPr>
      <w:r>
        <w:rPr>
          <w:i w:val="false"/>
          <w:iCs w:val="false"/>
        </w:rPr>
        <w:t xml:space="preserve">Renn, O., Beier, G. and Schweizer, P.-J. (2021) ‘The opportunities and risks of digitalisation for sustainable development: a systemic perspective’, </w:t>
      </w:r>
      <w:r>
        <w:rPr>
          <w:i/>
          <w:iCs/>
        </w:rPr>
        <w:t xml:space="preserve">GAIA – Ecological Perspectives for Science and Society</w:t>
      </w:r>
      <w:r>
        <w:rPr>
          <w:i w:val="false"/>
          <w:iCs w:val="false"/>
        </w:rPr>
        <w:t xml:space="preserve">, 30(1), pp. 23–28. Available at: </w:t>
      </w:r>
      <w:hyperlink w:history="1" r:id="rIdeykfqeajoq7iahtuxug1c">
        <w:r>
          <w:rPr>
            <w:rStyle w:val="Hyperlink"/>
          </w:rPr>
          <w:t xml:space="preserve">https://doi.org/10.14512/gaia.30.1.6</w:t>
        </w:r>
      </w:hyperlink>
      <w:r>
        <w:rPr>
          <w:i w:val="false"/>
          <w:iCs w:val="false"/>
        </w:rPr>
        <w:t xml:space="preserve"> (Accessed: 3 October 2026).</w:t>
      </w:r>
    </w:p>
    <w:p>
      <w:pPr>
        <w:spacing w:after="120"/>
        <w:ind w:left="567" w:hanging="567"/>
      </w:pPr>
      <w:r>
        <w:rPr>
          <w:i w:val="false"/>
          <w:iCs w:val="false"/>
        </w:rPr>
        <w:t xml:space="preserve">Rolfe, G., Freshwater, D. and Jasper, M. (2001) </w:t>
      </w:r>
      <w:r>
        <w:rPr>
          <w:i/>
          <w:iCs/>
        </w:rPr>
        <w:t>Critical reflection for nursing and the helping professions: a user’s guide</w:t>
      </w:r>
      <w:r>
        <w:rPr>
          <w:i w:val="false"/>
          <w:iCs w:val="false"/>
        </w:rPr>
        <w:t xml:space="preserve">. Basingstoke: Palgrave Macmillan.</w:t>
      </w:r>
    </w:p>
    <w:p>
      <w:pPr>
        <w:spacing w:after="120"/>
        <w:ind w:left="567" w:hanging="567"/>
      </w:pPr>
      <w:r>
        <w:rPr>
          <w:i w:val="false"/>
          <w:iCs w:val="false"/>
        </w:rPr>
        <w:t xml:space="preserve">Salter, C., Saydjari, O.S., Schneier, B. and Wallner, J. (1998) ‘Toward a secure system engineering methodology’, in </w:t>
      </w:r>
      <w:r>
        <w:rPr>
          <w:i/>
          <w:iCs/>
        </w:rPr>
        <w:t xml:space="preserve">Proceedings of the 1998 New Security Paradigms Workshop</w:t>
      </w:r>
      <w:r>
        <w:rPr>
          <w:i w:val="false"/>
          <w:iCs w:val="false"/>
        </w:rPr>
        <w:t xml:space="preserve">. New York: ACM, pp. 2–10. Available at: </w:t>
      </w:r>
      <w:hyperlink w:history="1" r:id="rIdqdvm-yfqjltz13cd4aghu">
        <w:r>
          <w:rPr>
            <w:rStyle w:val="Hyperlink"/>
          </w:rPr>
          <w:t xml:space="preserve">https://www.schneier.com/wp-content/uploads/2016/02/paper-secure-methodology.pdf</w:t>
        </w:r>
      </w:hyperlink>
      <w:r>
        <w:rPr>
          <w:i w:val="false"/>
          <w:iCs w:val="false"/>
        </w:rPr>
        <w:t xml:space="preserve"> (Accessed: 3 October 2026).</w:t>
      </w:r>
    </w:p>
    <w:p>
      <w:pPr>
        <w:spacing w:after="120"/>
        <w:ind w:left="567" w:hanging="567"/>
      </w:pPr>
      <w:r>
        <w:rPr>
          <w:i w:val="false"/>
          <w:iCs w:val="false"/>
        </w:rPr>
        <w:t xml:space="preserve">The Open Group (2018) </w:t>
      </w:r>
      <w:r>
        <w:rPr>
          <w:i/>
          <w:iCs/>
        </w:rPr>
        <w:t xml:space="preserve">Introducing The Open Group Open FAIR™ Risk Analysis Tool</w:t>
      </w:r>
      <w:r>
        <w:rPr>
          <w:i w:val="false"/>
          <w:iCs w:val="false"/>
        </w:rPr>
        <w:t xml:space="preserve">. Available at: </w:t>
      </w:r>
      <w:hyperlink w:history="1" r:id="rIdzbwzr_ipdgn8lqp4fc2wn">
        <w:r>
          <w:rPr>
            <w:rStyle w:val="Hyperlink"/>
          </w:rPr>
          <w:t xml:space="preserve">https://blog.opengroup.org/2018/03/29/introducing-the-open-group-open-fair-risk-analysis-tool/</w:t>
        </w:r>
      </w:hyperlink>
      <w:r>
        <w:rPr>
          <w:i w:val="false"/>
          <w:iCs w:val="false"/>
        </w:rPr>
        <w:t xml:space="preserve"> (Accessed: 3 October 2026).</w:t>
      </w:r>
    </w:p>
    <w:p>
      <w:pPr>
        <w:spacing w:after="120"/>
        <w:ind w:left="567" w:hanging="567"/>
      </w:pPr>
      <w:r>
        <w:rPr>
          <w:i w:val="false"/>
          <w:iCs w:val="false"/>
        </w:rPr>
        <w:t xml:space="preserve">Wang, J., Neil, M. and Fenton, N. (2020) ‘A Bayesian network approach for cybersecurity risk assessment implementing and extending the FAIR model’, </w:t>
      </w:r>
      <w:r>
        <w:rPr>
          <w:i/>
          <w:iCs/>
        </w:rPr>
        <w:t xml:space="preserve">Computers &amp; Security</w:t>
      </w:r>
      <w:r>
        <w:rPr>
          <w:i w:val="false"/>
          <w:iCs w:val="false"/>
        </w:rPr>
        <w:t xml:space="preserve">, 89, article 101659. Available at: </w:t>
      </w:r>
      <w:hyperlink w:history="1" r:id="rIdpwhac41qmrfkzrfxvoaly">
        <w:r>
          <w:rPr>
            <w:rStyle w:val="Hyperlink"/>
          </w:rPr>
          <w:t xml:space="preserve">https://doi.org/10.1016/j.cose.2019.101659</w:t>
        </w:r>
      </w:hyperlink>
      <w:r>
        <w:rPr>
          <w:i w:val="false"/>
          <w:iCs w:val="false"/>
        </w:rPr>
        <w:t xml:space="preserve"> (Accessed: 3 October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4"/>
      <w:szCs w:val="34"/>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wrcaqrssw3ofhb9rk4m1" Type="http://schemas.openxmlformats.org/officeDocument/2006/relationships/hyperlink" Target="https://web-ded.uta.edu/cedwebfiles/osh/library/A%20Structured%20Approach%20to%20ERM%20and%20ISO%2031000.pdf" TargetMode="External"/><Relationship Id="rIdbg6fxapo1rbdzrswgfn1o" Type="http://schemas.openxmlformats.org/officeDocument/2006/relationships/hyperlink" Target="https://doi.org/10.1111/j.1539-6924.2008.01030.x" TargetMode="External"/><Relationship Id="rIdalld8bbstq-66_sq5qfbh" Type="http://schemas.openxmlformats.org/officeDocument/2006/relationships/hyperlink" Target="https://doi.org/10.3390/risks12020019" TargetMode="External"/><Relationship Id="rIdeykfqeajoq7iahtuxug1c" Type="http://schemas.openxmlformats.org/officeDocument/2006/relationships/hyperlink" Target="https://doi.org/10.14512/gaia.30.1.6" TargetMode="External"/><Relationship Id="rIdqdvm-yfqjltz13cd4aghu" Type="http://schemas.openxmlformats.org/officeDocument/2006/relationships/hyperlink" Target="https://www.schneier.com/wp-content/uploads/2016/02/paper-secure-methodology.pdf" TargetMode="External"/><Relationship Id="rIdzbwzr_ipdgn8lqp4fc2wn" Type="http://schemas.openxmlformats.org/officeDocument/2006/relationships/hyperlink" Target="https://blog.opengroup.org/2018/03/29/introducing-the-open-group-open-fair-risk-analysis-tool/" TargetMode="External"/><Relationship Id="rIdpwhac41qmrfkzrfxvoaly" Type="http://schemas.openxmlformats.org/officeDocument/2006/relationships/hyperlink" Target="https://doi.org/10.1016/j.cose.2019.101659" TargetMode="External"/><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2026-10-03T12:32:44.271Z</dcterms:created>
  <dcterms:modified xsi:type="dcterms:W3CDTF">2026-10-03T12:32:44.272Z</dcterms:modified>
</cp:coreProperties>
</file>

<file path=docProps/custom.xml><?xml version="1.0" encoding="utf-8"?>
<Properties xmlns="http://schemas.openxmlformats.org/officeDocument/2006/custom-properties" xmlns:vt="http://schemas.openxmlformats.org/officeDocument/2006/docPropsVTypes"/>
</file>