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Unit 3 Reflection: Threat Modelling and the Difference Between Threats and Vulnerabilities</w:t>
      </w:r>
    </w:p>
    <w:p>
      <w:pPr>
        <w:spacing w:after="80"/>
      </w:pPr>
      <w:r>
        <w:rPr>
          <w:color w:val="555555"/>
        </w:rPr>
        <w:t xml:space="preserve">Ian Stevens  |  Security and Risk Management, October 2025</w:t>
      </w:r>
    </w:p>
    <w:p>
      <w:pPr>
        <w:spacing w:after="240"/>
      </w:pPr>
      <w:r>
        <w:rPr>
          <w:i/>
          <w:iCs/>
          <w:color w:val="555555"/>
        </w:rPr>
        <w:t xml:space="preserve">Structured using the What? So what? Now what? model (Rolfe, Freshwater and Jasper, 2001).</w:t>
      </w:r>
    </w:p>
    <w:p>
      <w:pPr>
        <w:pStyle w:val="Heading1"/>
      </w:pPr>
      <w:r>
        <w:t xml:space="preserve">What?</w:t>
      </w:r>
    </w:p>
    <w:p>
      <w:pPr>
        <w:spacing w:after="160" w:line="300"/>
        <w:jc w:val="both"/>
      </w:pPr>
      <w:r>
        <w:t>Unit 3 moved from risk in general to threat modelling in particular. It began by separating threats from vulnerabilities, then worked through a range of techniques: STRIDE and DREAD, attack trees, and hybrid approaches such as the Process for Attack Simulation and Threat Analysis, or PASTA (UcedaVélez and Morana, 2015). The readings ran from Shevchenko et al.’s (2018) summary of twelve methods to the Threat Modeling Manifesto (Braiterman et al., 2020) and Aven and Thekdi’s (2025) chapter on the basic theory of risk assessment.</w:t>
      </w:r>
    </w:p>
    <w:p>
      <w:pPr>
        <w:pStyle w:val="Heading1"/>
      </w:pPr>
      <w:r>
        <w:t xml:space="preserve">So what?</w:t>
      </w:r>
    </w:p>
    <w:p>
      <w:pPr>
        <w:spacing w:after="160" w:line="300"/>
        <w:jc w:val="both"/>
      </w:pPr>
      <w:r>
        <w:t xml:space="preserve">I expected to skim the section on threats and vulnerabilities because it sounded basic. NIST (2006) defines a vulnerability as a ‘weakness in an information system, system security procedures, internal controls, or implementation that could be exploited or triggered by a threat source’, and a threat as the circumstance or event with the potential to cause harm. Going back to our Pampered Pets assessment with those definitions in mind was uncomfortable. Our status-quo table listed ‘cybersecurity threats’ and justified the rating with ‘unsecured Wi-Fi, legacy systems’, which are vulnerabilities. ‘Data loss’ is a consequence, and ‘no backup’ is a missing control. Because the three were mixed together, we could not show which mitigation reduced which risk, and some exposures were probably counted twice.</w:t>
      </w:r>
    </w:p>
    <w:p>
      <w:pPr>
        <w:spacing w:after="160" w:line="300"/>
        <w:jc w:val="both"/>
      </w:pPr>
      <w:r>
        <w:t xml:space="preserve">The STRIDE section looked more rigorous, but I now think it was weaker than it appeared. We applied the six categories once to the whole digital estate, when STRIDE-per-element is meant to be applied to each process, data store and data flow in turn (Tarandach and Coles, 2020). We had drawn a data flow model of the digitalised business and then never used it for this. We also gave each category a likelihood and impact label, a cut-down form of DREAD scoring that brings back the inconsistency I criticised in Unit 2 (Cox, 2008).</w:t>
      </w:r>
    </w:p>
    <w:p>
      <w:pPr>
        <w:spacing w:after="160" w:line="300"/>
        <w:jc w:val="both"/>
      </w:pPr>
      <w:r>
        <w:t xml:space="preserve">The guidance on choosing a method changed how I see that work. Tarandach and Coles (2020) state plainly that there is no best methodology, and Shevchenko et al. (2018) suggest combining methods to fit the needs of the project. Looking back, our report already held most of what a risk-centric method needs. Section 4.2 set out the business case, with up to 50% growth and a possible 33% loss of customers, but it sat apart from the STRIDE table. PASTA starts from business objectives and works down to technical threats (UcedaVélez and Morana, 2015), so it would have joined the two. An attack tree with the root goal ‘obtain customer payment data’ (Schneier, 1999) would have shown which branches a PCI-DSS-compliant payment provider removes and which stay open, such as phishing a member of staff for admin credentials. I suspect we chose STRIDE because it was familiar, not because it suited a small retailer whose main exposures were people and process.</w:t>
      </w:r>
    </w:p>
    <w:p>
      <w:pPr>
        <w:spacing w:after="160" w:line="300"/>
        <w:jc w:val="both"/>
      </w:pPr>
      <w:r>
        <w:t>The Manifesto’s fourth question, ‘Did we do a good enough job?’, is the one we never asked. Its preference for ‘continuous refinement over a single delivery’ (Braiterman et al., 2020) sits well with Aven and Thekdi’s (2025) view of risk assessment as a way of improving understanding rather than reaching a final verdict. Our report was a snapshot, handed in once and not revisited.</w:t>
      </w:r>
    </w:p>
    <w:p>
      <w:pPr>
        <w:pStyle w:val="Heading1"/>
      </w:pPr>
      <w:r>
        <w:t xml:space="preserve">Now what?</w:t>
      </w:r>
    </w:p>
    <w:p>
      <w:pPr>
        <w:spacing w:after="160" w:line="300"/>
        <w:jc w:val="both"/>
      </w:pPr>
      <w:r>
        <w:t xml:space="preserve">In any risk register I build, I will record threat source, vulnerability and consequence in separate columns so that each control maps to something specific. When I use STRIDE, I will work through the data flow diagram element by element. For business-facing assessments I will start from objectives, as PASTA does, and keep attack trees for the one or two assets that matter most. At work, I plan to close my next threat model with a short review against the four questions before it is signed off.</w:t>
      </w:r>
    </w:p>
    <w:p>
      <w:pPr>
        <w:pStyle w:val="Heading1"/>
      </w:pPr>
      <w:r>
        <w:t xml:space="preserve">References</w:t>
      </w:r>
    </w:p>
    <w:p>
      <w:pPr>
        <w:spacing w:after="120"/>
        <w:ind w:left="567" w:hanging="567"/>
      </w:pPr>
      <w:r>
        <w:rPr>
          <w:i w:val="false"/>
          <w:iCs w:val="false"/>
        </w:rPr>
        <w:t xml:space="preserve">Aven, T. and Thekdi, S. (2025) </w:t>
      </w:r>
      <w:r>
        <w:rPr>
          <w:i/>
          <w:iCs/>
        </w:rPr>
        <w:t xml:space="preserve">Risk science: an introduction</w:t>
      </w:r>
      <w:r>
        <w:rPr>
          <w:i w:val="false"/>
          <w:iCs w:val="false"/>
        </w:rPr>
        <w:t xml:space="preserve">. 2nd edn. Abingdon: Routledge. Available at: </w:t>
      </w:r>
      <w:hyperlink w:history="1" r:id="rIdU3ref0">
        <w:r>
          <w:rPr>
            <w:rStyle w:val="Hyperlink"/>
          </w:rPr>
          <w:t xml:space="preserve">https://doi.org/10.4324/9781003494317</w:t>
        </w:r>
      </w:hyperlink>
      <w:r>
        <w:rPr>
          <w:i w:val="false"/>
          <w:iCs w:val="false"/>
        </w:rPr>
        <w:t xml:space="preserve"> (Accessed: 3 October 2026).</w:t>
      </w:r>
    </w:p>
    <w:p>
      <w:pPr>
        <w:spacing w:after="120"/>
        <w:ind w:left="567" w:hanging="567"/>
      </w:pPr>
      <w:r>
        <w:rPr>
          <w:i w:val="false"/>
          <w:iCs w:val="false"/>
        </w:rPr>
        <w:t xml:space="preserve">Braiterman, Z. et al. (2020) </w:t>
      </w:r>
      <w:r>
        <w:rPr>
          <w:i/>
          <w:iCs/>
        </w:rPr>
        <w:t xml:space="preserve">Threat Modeling Manifesto</w:t>
      </w:r>
      <w:r>
        <w:rPr>
          <w:i w:val="false"/>
          <w:iCs w:val="false"/>
        </w:rPr>
        <w:t xml:space="preserve">. Available at: </w:t>
      </w:r>
      <w:hyperlink w:history="1" r:id="rIdU3ref6">
        <w:r>
          <w:rPr>
            <w:rStyle w:val="Hyperlink"/>
          </w:rPr>
          <w:t xml:space="preserve">https://www.threatmodelingmanifesto.org/</w:t>
        </w:r>
      </w:hyperlink>
      <w:r>
        <w:rPr>
          <w:i w:val="false"/>
          <w:iCs w:val="false"/>
        </w:rPr>
        <w:t xml:space="preserve"> (Accessed: 3 October 2026).</w:t>
      </w:r>
    </w:p>
    <w:p>
      <w:pPr>
        <w:spacing w:after="120"/>
        <w:ind w:left="567" w:hanging="567"/>
      </w:pPr>
      <w:r>
        <w:rPr>
          <w:i w:val="false"/>
          <w:iCs w:val="false"/>
        </w:rPr>
        <w:t xml:space="preserve">Cox, L.A. (2008) ‘What’s wrong with risk matrices?’, </w:t>
      </w:r>
      <w:r>
        <w:rPr>
          <w:i/>
          <w:iCs/>
        </w:rPr>
        <w:t xml:space="preserve">Risk Analysis</w:t>
      </w:r>
      <w:r>
        <w:rPr>
          <w:i w:val="false"/>
          <w:iCs w:val="false"/>
        </w:rPr>
        <w:t xml:space="preserve">, 28(2), pp. 497–512. Available at: </w:t>
      </w:r>
      <w:hyperlink w:history="1" r:id="rIdU3ref1">
        <w:r>
          <w:rPr>
            <w:rStyle w:val="Hyperlink"/>
          </w:rPr>
          <w:t xml:space="preserve">https://doi.org/10.1111/j.1539-6924.2008.01030.x</w:t>
        </w:r>
      </w:hyperlink>
      <w:r>
        <w:rPr>
          <w:i w:val="false"/>
          <w:iCs w:val="false"/>
        </w:rPr>
        <w:t xml:space="preserve"> (Accessed: 3 October 2026).</w:t>
      </w:r>
    </w:p>
    <w:p>
      <w:pPr>
        <w:spacing w:after="120"/>
        <w:ind w:left="567" w:hanging="567"/>
      </w:pPr>
      <w:r>
        <w:rPr>
          <w:i w:val="false"/>
          <w:iCs w:val="false"/>
        </w:rPr>
        <w:t xml:space="preserve">NIST (2006) </w:t>
      </w:r>
      <w:r>
        <w:rPr>
          <w:i/>
          <w:iCs/>
        </w:rPr>
        <w:t xml:space="preserve">FIPS 200: Minimum security requirements for federal information and information systems</w:t>
      </w:r>
      <w:r>
        <w:rPr>
          <w:i w:val="false"/>
          <w:iCs w:val="false"/>
        </w:rPr>
        <w:t xml:space="preserve">. Gaithersburg, MD: National Institute of Standards and Technology. Available at: </w:t>
      </w:r>
      <w:hyperlink w:history="1" r:id="rIdU3ref2">
        <w:r>
          <w:rPr>
            <w:rStyle w:val="Hyperlink"/>
          </w:rPr>
          <w:t xml:space="preserve">https://doi.org/10.6028/NIST.FIPS.200</w:t>
        </w:r>
      </w:hyperlink>
      <w:r>
        <w:rPr>
          <w:i w:val="false"/>
          <w:iCs w:val="false"/>
        </w:rPr>
        <w:t xml:space="preserve"> (Accessed: 3 October 2026).</w:t>
      </w:r>
    </w:p>
    <w:p>
      <w:pPr>
        <w:spacing w:after="120"/>
        <w:ind w:left="567" w:hanging="567"/>
      </w:pPr>
      <w:r>
        <w:rPr>
          <w:i w:val="false"/>
          <w:iCs w:val="false"/>
        </w:rPr>
        <w:t xml:space="preserve">Rolfe, G., Freshwater, D. and Jasper, M. (2001) </w:t>
      </w:r>
      <w:r>
        <w:rPr>
          <w:i/>
          <w:iCs/>
        </w:rPr>
        <w:t>Critical reflection for nursing and the helping professions: a user’s guide</w:t>
      </w:r>
      <w:r>
        <w:rPr>
          <w:i w:val="false"/>
          <w:iCs w:val="false"/>
        </w:rPr>
        <w:t xml:space="preserve">. Basingstoke: Palgrave Macmillan.</w:t>
      </w:r>
    </w:p>
    <w:p>
      <w:pPr>
        <w:spacing w:after="120"/>
        <w:ind w:left="567" w:hanging="567"/>
      </w:pPr>
      <w:r>
        <w:rPr>
          <w:i w:val="false"/>
          <w:iCs w:val="false"/>
        </w:rPr>
        <w:t xml:space="preserve">Schneier, B. (1999) ‘Attack trees’, </w:t>
      </w:r>
      <w:r>
        <w:rPr>
          <w:i/>
          <w:iCs/>
        </w:rPr>
        <w:t xml:space="preserve">Dr. Dobb’s Journal</w:t>
      </w:r>
      <w:r>
        <w:rPr>
          <w:i w:val="false"/>
          <w:iCs w:val="false"/>
        </w:rPr>
        <w:t xml:space="preserve">, December. Available at: </w:t>
      </w:r>
      <w:hyperlink w:history="1" r:id="rIdU3ref4">
        <w:r>
          <w:rPr>
            <w:rStyle w:val="Hyperlink"/>
          </w:rPr>
          <w:t xml:space="preserve">https://www.schneier.com/academic/archives/1999/12/attack_trees.html</w:t>
        </w:r>
      </w:hyperlink>
      <w:r>
        <w:rPr>
          <w:i w:val="false"/>
          <w:iCs w:val="false"/>
        </w:rPr>
        <w:t xml:space="preserve"> (Accessed: 3 October 2026).</w:t>
      </w:r>
    </w:p>
    <w:p>
      <w:pPr>
        <w:spacing w:after="120"/>
        <w:ind w:left="567" w:hanging="567"/>
      </w:pPr>
      <w:r>
        <w:rPr>
          <w:i w:val="false"/>
          <w:iCs w:val="false"/>
        </w:rPr>
        <w:t xml:space="preserve">Shevchenko, N., Chick, T.A., O’Riordan, P., Scanlon, T.P. and Woody, C. (2018) </w:t>
      </w:r>
      <w:r>
        <w:rPr>
          <w:i/>
          <w:iCs/>
        </w:rPr>
        <w:t xml:space="preserve">Threat modeling: a summary of available methods</w:t>
      </w:r>
      <w:r>
        <w:rPr>
          <w:i w:val="false"/>
          <w:iCs w:val="false"/>
        </w:rPr>
        <w:t xml:space="preserve">. Pittsburgh, PA: Carnegie Mellon University Software Engineering Institute. Available at: </w:t>
      </w:r>
      <w:hyperlink w:history="1" r:id="rIdU3ref5">
        <w:r>
          <w:rPr>
            <w:rStyle w:val="Hyperlink"/>
          </w:rPr>
          <w:t xml:space="preserve">https://www.sei.cmu.edu/library/threat-modeling-a-summary-of-available-methods/</w:t>
        </w:r>
      </w:hyperlink>
      <w:r>
        <w:rPr>
          <w:i w:val="false"/>
          <w:iCs w:val="false"/>
        </w:rPr>
        <w:t xml:space="preserve"> (Accessed: 3 October 2026).</w:t>
      </w:r>
    </w:p>
    <w:p>
      <w:pPr>
        <w:spacing w:after="120"/>
        <w:ind w:left="567" w:hanging="567"/>
      </w:pPr>
      <w:r>
        <w:rPr>
          <w:i w:val="false"/>
          <w:iCs w:val="false"/>
        </w:rPr>
        <w:t xml:space="preserve">Tarandach, I. and Coles, M.J. (2020) </w:t>
      </w:r>
      <w:r>
        <w:rPr>
          <w:i/>
          <w:iCs/>
        </w:rPr>
        <w:t xml:space="preserve">Threat modeling: a practical guide for development teams</w:t>
      </w:r>
      <w:r>
        <w:rPr>
          <w:i w:val="false"/>
          <w:iCs w:val="false"/>
        </w:rPr>
        <w:t xml:space="preserve">. Sebastopol, CA: O’Reilly Media. Available at: </w:t>
      </w:r>
      <w:hyperlink w:history="1" r:id="rIdU3ref7">
        <w:r>
          <w:rPr>
            <w:rStyle w:val="Hyperlink"/>
          </w:rPr>
          <w:t xml:space="preserve">https://www.oreilly.com/library/view/threat-modeling/9781492056546/</w:t>
        </w:r>
      </w:hyperlink>
      <w:r>
        <w:rPr>
          <w:i w:val="false"/>
          <w:iCs w:val="false"/>
        </w:rPr>
        <w:t xml:space="preserve"> (Accessed: 3 October 2026).</w:t>
      </w:r>
    </w:p>
    <w:p>
      <w:pPr>
        <w:spacing w:after="120"/>
        <w:ind w:left="567" w:hanging="567"/>
      </w:pPr>
      <w:r>
        <w:rPr>
          <w:i w:val="false"/>
          <w:iCs w:val="false"/>
        </w:rPr>
        <w:t xml:space="preserve">UcedaVélez, T. and Morana, M.M. (2015) </w:t>
      </w:r>
      <w:r>
        <w:rPr>
          <w:i/>
          <w:iCs/>
        </w:rPr>
        <w:t xml:space="preserve">Risk centric threat modeling: process for attack simulation and threat analysis</w:t>
      </w:r>
      <w:r>
        <w:rPr>
          <w:i w:val="false"/>
          <w:iCs w:val="false"/>
        </w:rPr>
        <w:t xml:space="preserve">. Hoboken, NJ: Wiley. Available at: </w:t>
      </w:r>
      <w:hyperlink w:history="1" r:id="rIdU3ref8">
        <w:r>
          <w:rPr>
            <w:rStyle w:val="Hyperlink"/>
          </w:rPr>
          <w:t xml:space="preserve">https://www.wiley.com/en-us/Risk+Centric+Threat+Modeling%3A+Process+for+Attack+Simulation+and+Threat+Analysis-p-9780470500965</w:t>
        </w:r>
      </w:hyperlink>
      <w:r>
        <w:rPr>
          <w:i w:val="false"/>
          <w:iCs w:val="false"/>
        </w:rPr>
        <w:t xml:space="preserve"> (Accessed: 3 October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864"/>
      <w:sz w:val="34"/>
      <w:szCs w:val="34"/>
    </w:rPr>
  </w:style>
  <w:style w:type="paragraph" w:styleId="Heading1">
    <w:name w:val="Heading 1"/>
    <w:basedOn w:val="Normal"/>
    <w:next w:val="Normal"/>
    <w:qFormat/>
    <w:pPr>
      <w:spacing w:after="120" w:before="240"/>
      <w:outlineLvl w:val="0"/>
    </w:pPr>
    <w:rPr>
      <w:rFonts w:ascii="Calibri" w:cs="Calibri" w:eastAsia="Calibri" w:hAnsi="Calibri"/>
      <w:b/>
      <w:bCs/>
      <w:color w:val="1F3864"/>
      <w:sz w:val="27"/>
      <w:szCs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4" Type="http://schemas.openxmlformats.org/officeDocument/2006/relationships/fontTable" Target="fontTable.xml"/><Relationship Id="rIdU3ref0" Type="http://schemas.openxmlformats.org/officeDocument/2006/relationships/hyperlink" Target="https://doi.org/10.4324/9781003494317" TargetMode="External"/><Relationship Id="rIdU3ref1" Type="http://schemas.openxmlformats.org/officeDocument/2006/relationships/hyperlink" Target="https://doi.org/10.1111/j.1539-6924.2008.01030.x" TargetMode="External"/><Relationship Id="rIdU3ref2" Type="http://schemas.openxmlformats.org/officeDocument/2006/relationships/hyperlink" Target="https://doi.org/10.6028/NIST.FIPS.200" TargetMode="External"/><Relationship Id="rIdU3ref4" Type="http://schemas.openxmlformats.org/officeDocument/2006/relationships/hyperlink" Target="https://www.schneier.com/academic/archives/1999/12/attack_trees.html" TargetMode="External"/><Relationship Id="rIdU3ref5" Type="http://schemas.openxmlformats.org/officeDocument/2006/relationships/hyperlink" Target="https://www.sei.cmu.edu/library/threat-modeling-a-summary-of-available-methods/" TargetMode="External"/><Relationship Id="rIdU3ref6" Type="http://schemas.openxmlformats.org/officeDocument/2006/relationships/hyperlink" Target="https://www.threatmodelingmanifesto.org/" TargetMode="External"/><Relationship Id="rIdU3ref7" Type="http://schemas.openxmlformats.org/officeDocument/2006/relationships/hyperlink" Target="https://www.oreilly.com/library/view/threat-modeling/9781492056546/" TargetMode="External"/><Relationship Id="rIdU3ref8" Type="http://schemas.openxmlformats.org/officeDocument/2006/relationships/hyperlink" Target="https://www.wiley.com/en-us/Risk+Centric+Threat+Modeling%3A+Process+for+Attack+Simulation+and+Threat+Analysis-p-9780470500965"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2026-10-03T12:32:44.271Z</dcterms:created>
  <dcterms:modified xsi:type="dcterms:W3CDTF">2026-10-03T12:32:44.272Z</dcterms:modified>
</cp:coreProperties>
</file>

<file path=docProps/custom.xml><?xml version="1.0" encoding="utf-8"?>
<Properties xmlns="http://schemas.openxmlformats.org/officeDocument/2006/custom-properties" xmlns:vt="http://schemas.openxmlformats.org/officeDocument/2006/docPropsVTypes"/>
</file>