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Unit 5 Reflection: Security and Risk Standards in Industry and the Enterprise</w:t>
      </w:r>
    </w:p>
    <w:p>
      <w:pPr>
        <w:spacing w:after="80"/>
      </w:pPr>
      <w:r>
        <w:rPr>
          <w:color w:val="555555"/>
        </w:rPr>
        <w:t xml:space="preserve">Ian Stevens  |  Security and Risk Management, October 2025</w:t>
      </w:r>
    </w:p>
    <w:p>
      <w:pPr>
        <w:spacing w:after="240"/>
      </w:pPr>
      <w:r>
        <w:rPr>
          <w:i/>
          <w:iCs/>
          <w:color w:val="555555"/>
        </w:rPr>
        <w:t xml:space="preserve">Structured using the What? So what? Now what? model (Rolfe, Freshwater and Jasper, 2001).</w:t>
      </w:r>
    </w:p>
    <w:p>
      <w:pPr>
        <w:pStyle w:val="Heading1"/>
      </w:pPr>
      <w:r>
        <w:t xml:space="preserve">What?</w:t>
      </w:r>
    </w:p>
    <w:p>
      <w:pPr>
        <w:spacing w:after="160" w:line="300"/>
        <w:jc w:val="both"/>
      </w:pPr>
      <w:r>
        <w:rPr>
          <w:i w:val="false"/>
          <w:iCs w:val="false"/>
        </w:rPr>
        <w:t xml:space="preserve">Unit 5 moved from the techniques of risk assessment to the standards around them. The readings were Aven and Thekdi’s (2025) chapter on the basic theory of risk management, Barafort, Mesquida and Mas’s (2019) integrated risk management process model built on ISO 31000, Sutton’s (2021) appendix on HM Government cyber security guidance, Kirvan’s (2025) overview of fifteen common security frameworks and standards, and Adhillah et al.’s (2025) systematic review of enterprise risk management (ERM). I used them to revisit the standards cited in our Pampered Pets report and to produce the standards register and threat-to-control mapping below.</w:t>
      </w:r>
    </w:p>
    <w:p>
      <w:pPr>
        <w:pStyle w:val="Heading1"/>
      </w:pPr>
      <w:r>
        <w:t xml:space="preserve">So what?</w:t>
      </w:r>
    </w:p>
    <w:p>
      <w:pPr>
        <w:spacing w:after="160" w:line="300"/>
        <w:jc w:val="both"/>
      </w:pPr>
      <w:r>
        <w:rPr>
          <w:i w:val="false"/>
          <w:iCs w:val="false"/>
        </w:rPr>
        <w:t xml:space="preserve">The first thing I had to correct was my own vocabulary. In the group report we used ‘standard’ for anything with an acronym. Kirvan (2025) separates frameworks, which often carry no compliance requirement, from standards and regulations, which do. Applied to Pampered Pets, our list splits three ways. The GDPR is law, and Article 32 requires security ‘appropriate to the risk’ (Art. 32 GDPR, no date). PCI DSS is not law, but it binds any business that accepts card payments through its agreement with the card schemes (PCI Security Standards Council, 2024). ISO 31000 and ISO/IEC 27005, which we presented as our methodology, are guidance that nobody would ever audit the business against. Our report reduced the GDPR to a single ‘regulatory non-compliance’ row with a low likelihood rating, and PCI DSS to one bullet point among the digitalisation mitigations. The order was backwards: obligations fix part of the risk criteria, so they should be identified before any threat is scored.</w:t>
      </w:r>
    </w:p>
    <w:p>
      <w:pPr>
        <w:spacing w:after="160" w:line="300"/>
        <w:jc w:val="both"/>
      </w:pPr>
      <w:r>
        <w:rPr>
          <w:i w:val="false"/>
          <w:iCs w:val="false"/>
        </w:rPr>
        <w:t xml:space="preserve">Barafort, Mesquida and Mas (2019) start from a practical problem: an IT organisation holding ISO 9001, ISO/IEC 20000-1 and ISO/IEC 27001 can end up with a separate risk process and register for each. Their answer is a single ISO 31000-based process reference model, with an assessment model for measuring that process’s capability. The integration argument supports our pairing of ISO 31000 with ISO/IEC 27005 rather than two separate exercises. The assessment model is less convincing for a business like Pampered Pets. Capability assessment assumes defined processes, named owners and evidence, and Pampered Pets currently has two PCs, no backups and stock control in spreadsheets. Adhillah et al. (2025) find that the benefits of ERM depend on firm size, ownership and industry, and that implementation remains hardest for SMEs and family businesses. Sutton’s (2021) appendix pointed to a more proportionate option among the UK government’s own schemes. Cyber Essentials is the government’s recommended minimum for organisations of any size and covers five technical controls: firewalls, secure configuration, security update management, user access control and malware protection (NCSC, no date). Nearly every status-quo mitigation in our report, from WPA3 and patching to access roles, falls under those five, so certification would give the owners an independent check for far less effort than ISO/IEC 27001.</w:t>
      </w:r>
    </w:p>
    <w:p>
      <w:pPr>
        <w:spacing w:after="160" w:line="300"/>
        <w:jc w:val="both"/>
      </w:pPr>
      <w:r>
        <w:rPr>
          <w:i w:val="false"/>
          <w:iCs w:val="false"/>
        </w:rPr>
        <w:t xml:space="preserve">Aven and Thekdi (2025) gave me a reason to be careful about how far standards should drive the analysis. They describe risk management as a balance between creating value and protecting against loss, handled through a mix of risk-informed, cautionary and resilience-based strategies. PCI DSS is essentially cautionary: it prescribes controls whatever the assessed risk happens to be. Aven and Ylönen (2019) go further, arguing that ISO 31000 has gained influence despite weak scientific foundations and inconsistent terminology, and that growing reliance on standards threatens the development of the field. I think this is overstated for a small retailer, which needs a ready-made structure more than a research-informed one. It does describe a weakness in our work. We named ISO 31000 and ISO/IEC 27005 in the title and methodology and then used a likelihood-impact matrix that neither requires, and the names lent the report an authority that the judgements behind it did not have. Following a standard’s process is not evidence that the risks were understood.</w:t>
      </w:r>
    </w:p>
    <w:p>
      <w:pPr>
        <w:spacing w:after="160" w:line="300"/>
        <w:jc w:val="both"/>
      </w:pPr>
      <w:r>
        <w:rPr>
          <w:i w:val="false"/>
          <w:iCs w:val="false"/>
        </w:rPr>
        <w:t xml:space="preserve">Allowing for standards in threat models made the most practical difference, because a standard can change the model itself, not just the list of controls. If Pampered Pets takes online payments through a hosted payment page from a PCI DSS validated provider, card data never touches its own systems, and the merchant may be able to validate with SAQ A, the shortest self-assessment questionnaire (PCI Security Standards Council, 2025). On the data flow diagram this moves the cardholder data trust boundary off the company’s servers, and several of the tampering and information disclosure threats in our STRIDE table fall out of scope. The shop page that loads the payment form stays in scope, which is where the January 2025 SAQ A criteria place the merchant’s responsibility. Standards can also distort a model, because each covers what it was written for: a threat model built to satisfy PCI DSS and the GDPR will concentrate on payment and personal data. Neither says anything about the warehouse temperature controls I identified in Unit 4, whose failure would spoil stock rather than leak data.</w:t>
      </w:r>
    </w:p>
    <w:p>
      <w:pPr>
        <w:pStyle w:val="Heading1"/>
      </w:pPr>
      <w:r>
        <w:t xml:space="preserve">Now what?</w:t>
      </w:r>
    </w:p>
    <w:p>
      <w:pPr>
        <w:spacing w:after="160" w:line="300"/>
        <w:jc w:val="both"/>
      </w:pPr>
      <w:r>
        <w:rPr>
          <w:i w:val="false"/>
          <w:iCs w:val="false"/>
        </w:rPr>
        <w:t xml:space="preserve">Three changes follow. First, before scoring threats I will build a register of the standards in play, recording whether each is law, contract or voluntary, what it covers and who owns it; the first table below does this for Pampered Pets. Second, I will put standards inside the threat model rather than in a compliance appendix, with a column referencing the control that treats each threat, so a threat with no control shows a gap in treatment and a mandatory control with no threat shows a gap in the analysis. Third, I will match the standard to the organisation’s maturity. For Pampered Pets that means Cyber Essentials and the GDPR basics now, and ISO/IEC 27001 only once the ERP and international supply chain make a formal management system worth its cost. I have read about certification but never seen what an auditor asks for, so before Unit 6 I will work through the ISO/IEC 27001:2022 Annex A controls and the NCSC’s Cyber Essentials requirements and note the evidence each would need.</w:t>
      </w:r>
    </w:p>
    <w:p>
      <w:pPr>
        <w:pStyle w:val="Heading1"/>
      </w:pPr>
      <w:r>
        <w:t xml:space="preserve">Artefact: Selecting Standards for Pampered Pets</w:t>
      </w:r>
    </w:p>
    <w:p>
      <w:pPr>
        <w:spacing w:after="160"/>
      </w:pPr>
      <w:r>
        <w:rPr>
          <w:i/>
          <w:iCs/>
          <w:color w:val="555555"/>
        </w:rPr>
        <w:t xml:space="preserve">Applying the unit’s learning outcomes to the Pampered Pets case from the group risk assessment and the executive summary.</w:t>
      </w:r>
    </w:p>
    <w:p>
      <w:pPr>
        <w:pStyle w:val="Heading2"/>
      </w:pPr>
      <w:r>
        <w:t xml:space="preserve">1. Standards register</w:t>
      </w:r>
    </w:p>
    <w:p>
      <w:pPr>
        <w:spacing w:after="160" w:line="300"/>
        <w:jc w:val="both"/>
      </w:pPr>
      <w:r>
        <w:rPr>
          <w:i w:val="false"/>
          <w:iCs w:val="false"/>
        </w:rPr>
        <w:t xml:space="preserve">The register separates obligations the business cannot opt out of from voluntary standards it can adopt as it grows.</w:t>
      </w:r>
    </w:p>
    <w:tbl>
      <w:tblPr>
        <w:tblW w:w="902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2000"/>
        <w:gridCol w:w="1750"/>
        <w:gridCol w:w="4000"/>
        <w:gridCol w:w="1276"/>
      </w:tblGrid>
      <w:tr>
        <w:trPr>
          <w:cantSplit/>
          <w:tblHeader/>
        </w:trPr>
        <w:tc>
          <w:tcPr>
            <w:tcW w:w="2000" w:type="dxa"/>
            <w:shd w:val="clear" w:color="auto" w:fill="1F3864"/>
          </w:tcPr>
          <w:p>
            <w:pPr>
              <w:spacing w:after="0"/>
            </w:pPr>
            <w:r>
              <w:rPr>
                <w:b/>
                <w:bCs/>
                <w:i w:val="false"/>
                <w:iCs w:val="false"/>
                <w:color w:val="FFFFFF"/>
                <w:sz w:val="20"/>
                <w:szCs w:val="20"/>
              </w:rPr>
              <w:t xml:space="preserve">Standard</w:t>
            </w:r>
          </w:p>
        </w:tc>
        <w:tc>
          <w:tcPr>
            <w:tcW w:w="1750" w:type="dxa"/>
            <w:shd w:val="clear" w:color="auto" w:fill="1F3864"/>
          </w:tcPr>
          <w:p>
            <w:pPr>
              <w:spacing w:after="0"/>
            </w:pPr>
            <w:r>
              <w:rPr>
                <w:b/>
                <w:bCs/>
                <w:i w:val="false"/>
                <w:iCs w:val="false"/>
                <w:color w:val="FFFFFF"/>
                <w:sz w:val="20"/>
                <w:szCs w:val="20"/>
              </w:rPr>
              <w:t xml:space="preserve">Type</w:t>
            </w:r>
          </w:p>
        </w:tc>
        <w:tc>
          <w:tcPr>
            <w:tcW w:w="4000" w:type="dxa"/>
            <w:shd w:val="clear" w:color="auto" w:fill="1F3864"/>
          </w:tcPr>
          <w:p>
            <w:pPr>
              <w:spacing w:after="0"/>
            </w:pPr>
            <w:r>
              <w:rPr>
                <w:b/>
                <w:bCs/>
                <w:i w:val="false"/>
                <w:iCs w:val="false"/>
                <w:color w:val="FFFFFF"/>
                <w:sz w:val="20"/>
                <w:szCs w:val="20"/>
              </w:rPr>
              <w:t xml:space="preserve">Why it applies to Pampered Pets</w:t>
            </w:r>
          </w:p>
        </w:tc>
        <w:tc>
          <w:tcPr>
            <w:tcW w:w="1276" w:type="dxa"/>
            <w:shd w:val="clear" w:color="auto" w:fill="1F3864"/>
          </w:tcPr>
          <w:p>
            <w:pPr>
              <w:spacing w:after="0"/>
            </w:pPr>
            <w:r>
              <w:rPr>
                <w:b/>
                <w:bCs/>
                <w:i w:val="false"/>
                <w:iCs w:val="false"/>
                <w:color w:val="FFFFFF"/>
                <w:sz w:val="20"/>
                <w:szCs w:val="20"/>
              </w:rPr>
              <w:t xml:space="preserve">When</w:t>
            </w:r>
          </w:p>
        </w:tc>
      </w:tr>
      <w:tr>
        <w:trPr>
          <w:cantSplit/>
        </w:trPr>
        <w:tc>
          <w:tcPr>
            <w:tcW w:w="2000" w:type="dxa"/>
          </w:tcPr>
          <w:p>
            <w:pPr>
              <w:spacing w:after="0"/>
            </w:pPr>
            <w:r>
              <w:rPr>
                <w:i w:val="false"/>
                <w:iCs w:val="false"/>
                <w:sz w:val="20"/>
                <w:szCs w:val="20"/>
              </w:rPr>
              <w:t xml:space="preserve">UK GDPR and Data Protection Act 2018</w:t>
            </w:r>
          </w:p>
        </w:tc>
        <w:tc>
          <w:tcPr>
            <w:tcW w:w="1750" w:type="dxa"/>
          </w:tcPr>
          <w:p>
            <w:pPr>
              <w:spacing w:after="0"/>
            </w:pPr>
            <w:r>
              <w:rPr>
                <w:i w:val="false"/>
                <w:iCs w:val="false"/>
                <w:sz w:val="20"/>
                <w:szCs w:val="20"/>
              </w:rPr>
              <w:t xml:space="preserve">Law</w:t>
            </w:r>
          </w:p>
        </w:tc>
        <w:tc>
          <w:tcPr>
            <w:tcW w:w="4000" w:type="dxa"/>
          </w:tcPr>
          <w:p>
            <w:pPr>
              <w:spacing w:after="0"/>
            </w:pPr>
            <w:r>
              <w:rPr>
                <w:i w:val="false"/>
                <w:iCs w:val="false"/>
                <w:sz w:val="20"/>
                <w:szCs w:val="20"/>
              </w:rPr>
              <w:t xml:space="preserve">Customer profiles, delivery addresses and CRM data are personal data. Article 32 requires security appropriate to the risk (Art. 32 GDPR, no date).</w:t>
            </w:r>
          </w:p>
        </w:tc>
        <w:tc>
          <w:tcPr>
            <w:tcW w:w="1276" w:type="dxa"/>
          </w:tcPr>
          <w:p>
            <w:pPr>
              <w:spacing w:after="0"/>
            </w:pPr>
            <w:r>
              <w:rPr>
                <w:i w:val="false"/>
                <w:iCs w:val="false"/>
                <w:sz w:val="20"/>
                <w:szCs w:val="20"/>
              </w:rPr>
              <w:t xml:space="preserve">Now</w:t>
            </w:r>
          </w:p>
        </w:tc>
      </w:tr>
      <w:tr>
        <w:trPr>
          <w:cantSplit/>
        </w:trPr>
        <w:tc>
          <w:tcPr>
            <w:tcW w:w="2000" w:type="dxa"/>
            <w:shd w:val="clear" w:color="auto" w:fill="F2F2F2"/>
          </w:tcPr>
          <w:p>
            <w:pPr>
              <w:spacing w:after="0"/>
            </w:pPr>
            <w:r>
              <w:rPr>
                <w:i w:val="false"/>
                <w:iCs w:val="false"/>
                <w:sz w:val="20"/>
                <w:szCs w:val="20"/>
              </w:rPr>
              <w:t xml:space="preserve">PCI DSS v4.0.1</w:t>
            </w:r>
          </w:p>
        </w:tc>
        <w:tc>
          <w:tcPr>
            <w:tcW w:w="1750" w:type="dxa"/>
            <w:shd w:val="clear" w:color="auto" w:fill="F2F2F2"/>
          </w:tcPr>
          <w:p>
            <w:pPr>
              <w:spacing w:after="0"/>
            </w:pPr>
            <w:r>
              <w:rPr>
                <w:i w:val="false"/>
                <w:iCs w:val="false"/>
                <w:sz w:val="20"/>
                <w:szCs w:val="20"/>
              </w:rPr>
              <w:t xml:space="preserve">Contractual</w:t>
            </w:r>
          </w:p>
        </w:tc>
        <w:tc>
          <w:tcPr>
            <w:tcW w:w="4000" w:type="dxa"/>
            <w:shd w:val="clear" w:color="auto" w:fill="F2F2F2"/>
          </w:tcPr>
          <w:p>
            <w:pPr>
              <w:spacing w:after="0"/>
            </w:pPr>
            <w:r>
              <w:rPr>
                <w:i w:val="false"/>
                <w:iCs w:val="false"/>
                <w:sz w:val="20"/>
                <w:szCs w:val="20"/>
              </w:rPr>
              <w:t xml:space="preserve">Already applies to in-store card terminals. Online scope is kept small by using a validated hosted payment page and SAQ A (PCI Security Standards Council, 2024; 2025).</w:t>
            </w:r>
          </w:p>
        </w:tc>
        <w:tc>
          <w:tcPr>
            <w:tcW w:w="1276" w:type="dxa"/>
            <w:shd w:val="clear" w:color="auto" w:fill="F2F2F2"/>
          </w:tcPr>
          <w:p>
            <w:pPr>
              <w:spacing w:after="0"/>
            </w:pPr>
            <w:r>
              <w:rPr>
                <w:i w:val="false"/>
                <w:iCs w:val="false"/>
                <w:sz w:val="20"/>
                <w:szCs w:val="20"/>
              </w:rPr>
              <w:t xml:space="preserve">Now; review at website launch</w:t>
            </w:r>
          </w:p>
        </w:tc>
      </w:tr>
      <w:tr>
        <w:trPr>
          <w:cantSplit/>
        </w:trPr>
        <w:tc>
          <w:tcPr>
            <w:tcW w:w="2000" w:type="dxa"/>
          </w:tcPr>
          <w:p>
            <w:pPr>
              <w:spacing w:after="0"/>
            </w:pPr>
            <w:r>
              <w:rPr>
                <w:i w:val="false"/>
                <w:iCs w:val="false"/>
                <w:sz w:val="20"/>
                <w:szCs w:val="20"/>
              </w:rPr>
              <w:t xml:space="preserve">Cyber Essentials</w:t>
            </w:r>
          </w:p>
        </w:tc>
        <w:tc>
          <w:tcPr>
            <w:tcW w:w="1750" w:type="dxa"/>
          </w:tcPr>
          <w:p>
            <w:pPr>
              <w:spacing w:after="0"/>
            </w:pPr>
            <w:r>
              <w:rPr>
                <w:i w:val="false"/>
                <w:iCs w:val="false"/>
                <w:sz w:val="20"/>
                <w:szCs w:val="20"/>
              </w:rPr>
              <w:t xml:space="preserve">Government-backed certification (voluntary)</w:t>
            </w:r>
          </w:p>
        </w:tc>
        <w:tc>
          <w:tcPr>
            <w:tcW w:w="4000" w:type="dxa"/>
          </w:tcPr>
          <w:p>
            <w:pPr>
              <w:spacing w:after="0"/>
            </w:pPr>
            <w:r>
              <w:rPr>
                <w:i w:val="false"/>
                <w:iCs w:val="false"/>
                <w:sz w:val="20"/>
                <w:szCs w:val="20"/>
              </w:rPr>
              <w:t xml:space="preserve">Its five controls match the status-quo weaknesses: shared Wi-Fi, unpatched PCs and no access roles (NCSC, no date).</w:t>
            </w:r>
          </w:p>
        </w:tc>
        <w:tc>
          <w:tcPr>
            <w:tcW w:w="1276" w:type="dxa"/>
          </w:tcPr>
          <w:p>
            <w:pPr>
              <w:spacing w:after="0"/>
            </w:pPr>
            <w:r>
              <w:rPr>
                <w:i w:val="false"/>
                <w:iCs w:val="false"/>
                <w:sz w:val="20"/>
                <w:szCs w:val="20"/>
              </w:rPr>
              <w:t xml:space="preserve">Now</w:t>
            </w:r>
          </w:p>
        </w:tc>
      </w:tr>
      <w:tr>
        <w:trPr>
          <w:cantSplit/>
        </w:trPr>
        <w:tc>
          <w:tcPr>
            <w:tcW w:w="2000" w:type="dxa"/>
            <w:shd w:val="clear" w:color="auto" w:fill="F2F2F2"/>
          </w:tcPr>
          <w:p>
            <w:pPr>
              <w:spacing w:after="0"/>
            </w:pPr>
            <w:r>
              <w:rPr>
                <w:i w:val="false"/>
                <w:iCs w:val="false"/>
                <w:sz w:val="20"/>
                <w:szCs w:val="20"/>
              </w:rPr>
              <w:t xml:space="preserve">ISO 31000:2018 and ISO/IEC 27005:2022</w:t>
            </w:r>
          </w:p>
        </w:tc>
        <w:tc>
          <w:tcPr>
            <w:tcW w:w="1750" w:type="dxa"/>
            <w:shd w:val="clear" w:color="auto" w:fill="F2F2F2"/>
          </w:tcPr>
          <w:p>
            <w:pPr>
              <w:spacing w:after="0"/>
            </w:pPr>
            <w:r>
              <w:rPr>
                <w:i w:val="false"/>
                <w:iCs w:val="false"/>
                <w:sz w:val="20"/>
                <w:szCs w:val="20"/>
              </w:rPr>
              <w:t xml:space="preserve">Guidance (not certifiable)</w:t>
            </w:r>
          </w:p>
        </w:tc>
        <w:tc>
          <w:tcPr>
            <w:tcW w:w="4000" w:type="dxa"/>
            <w:shd w:val="clear" w:color="auto" w:fill="F2F2F2"/>
          </w:tcPr>
          <w:p>
            <w:pPr>
              <w:spacing w:after="0"/>
            </w:pPr>
            <w:r>
              <w:rPr>
                <w:i w:val="false"/>
                <w:iCs w:val="false"/>
                <w:sz w:val="20"/>
                <w:szCs w:val="20"/>
              </w:rPr>
              <w:t xml:space="preserve">Provide the business-wide and information security risk processes already used in the group report.</w:t>
            </w:r>
          </w:p>
        </w:tc>
        <w:tc>
          <w:tcPr>
            <w:tcW w:w="1276" w:type="dxa"/>
            <w:shd w:val="clear" w:color="auto" w:fill="F2F2F2"/>
          </w:tcPr>
          <w:p>
            <w:pPr>
              <w:spacing w:after="0"/>
            </w:pPr>
            <w:r>
              <w:rPr>
                <w:i w:val="false"/>
                <w:iCs w:val="false"/>
                <w:sz w:val="20"/>
                <w:szCs w:val="20"/>
              </w:rPr>
              <w:t xml:space="preserve">Ongoing</w:t>
            </w:r>
          </w:p>
        </w:tc>
      </w:tr>
      <w:tr>
        <w:trPr>
          <w:cantSplit/>
        </w:trPr>
        <w:tc>
          <w:tcPr>
            <w:tcW w:w="2000" w:type="dxa"/>
          </w:tcPr>
          <w:p>
            <w:pPr>
              <w:spacing w:after="0"/>
            </w:pPr>
            <w:r>
              <w:rPr>
                <w:i w:val="false"/>
                <w:iCs w:val="false"/>
                <w:sz w:val="20"/>
                <w:szCs w:val="20"/>
              </w:rPr>
              <w:t xml:space="preserve">ISO 22301:2019</w:t>
            </w:r>
          </w:p>
        </w:tc>
        <w:tc>
          <w:tcPr>
            <w:tcW w:w="1750" w:type="dxa"/>
          </w:tcPr>
          <w:p>
            <w:pPr>
              <w:spacing w:after="0"/>
            </w:pPr>
            <w:r>
              <w:rPr>
                <w:i w:val="false"/>
                <w:iCs w:val="false"/>
                <w:sz w:val="20"/>
                <w:szCs w:val="20"/>
              </w:rPr>
              <w:t xml:space="preserve">Voluntary, certifiable</w:t>
            </w:r>
          </w:p>
        </w:tc>
        <w:tc>
          <w:tcPr>
            <w:tcW w:w="4000" w:type="dxa"/>
          </w:tcPr>
          <w:p>
            <w:pPr>
              <w:spacing w:after="0"/>
            </w:pPr>
            <w:r>
              <w:rPr>
                <w:i w:val="false"/>
                <w:iCs w:val="false"/>
                <w:sz w:val="20"/>
                <w:szCs w:val="20"/>
              </w:rPr>
              <w:t xml:space="preserve">Gives a management system around the BC/DR strategy and the sub-minute RTO and RPO targets in the executive summary (ISO, 2019).</w:t>
            </w:r>
          </w:p>
        </w:tc>
        <w:tc>
          <w:tcPr>
            <w:tcW w:w="1276" w:type="dxa"/>
          </w:tcPr>
          <w:p>
            <w:pPr>
              <w:spacing w:after="0"/>
            </w:pPr>
            <w:r>
              <w:rPr>
                <w:i w:val="false"/>
                <w:iCs w:val="false"/>
                <w:sz w:val="20"/>
                <w:szCs w:val="20"/>
              </w:rPr>
              <w:t xml:space="preserve">With the cloud migration</w:t>
            </w:r>
          </w:p>
        </w:tc>
      </w:tr>
      <w:tr>
        <w:trPr>
          <w:cantSplit/>
        </w:trPr>
        <w:tc>
          <w:tcPr>
            <w:tcW w:w="2000" w:type="dxa"/>
            <w:shd w:val="clear" w:color="auto" w:fill="F2F2F2"/>
          </w:tcPr>
          <w:p>
            <w:pPr>
              <w:spacing w:after="0"/>
            </w:pPr>
            <w:r>
              <w:rPr>
                <w:i w:val="false"/>
                <w:iCs w:val="false"/>
                <w:sz w:val="20"/>
                <w:szCs w:val="20"/>
              </w:rPr>
              <w:t xml:space="preserve">ISO/IEC 27001:2022</w:t>
            </w:r>
          </w:p>
        </w:tc>
        <w:tc>
          <w:tcPr>
            <w:tcW w:w="1750" w:type="dxa"/>
            <w:shd w:val="clear" w:color="auto" w:fill="F2F2F2"/>
          </w:tcPr>
          <w:p>
            <w:pPr>
              <w:spacing w:after="0"/>
            </w:pPr>
            <w:r>
              <w:rPr>
                <w:i w:val="false"/>
                <w:iCs w:val="false"/>
                <w:sz w:val="20"/>
                <w:szCs w:val="20"/>
              </w:rPr>
              <w:t xml:space="preserve">Voluntary, certifiable</w:t>
            </w:r>
          </w:p>
        </w:tc>
        <w:tc>
          <w:tcPr>
            <w:tcW w:w="4000" w:type="dxa"/>
            <w:shd w:val="clear" w:color="auto" w:fill="F2F2F2"/>
          </w:tcPr>
          <w:p>
            <w:pPr>
              <w:spacing w:after="0"/>
            </w:pPr>
            <w:r>
              <w:rPr>
                <w:i w:val="false"/>
                <w:iCs w:val="false"/>
                <w:sz w:val="20"/>
                <w:szCs w:val="20"/>
              </w:rPr>
              <w:t xml:space="preserve">A full information security management system; worth the cost once the ERP, international suppliers and investor due diligence call for formal assurance (ISO, 2022).</w:t>
            </w:r>
          </w:p>
        </w:tc>
        <w:tc>
          <w:tcPr>
            <w:tcW w:w="1276" w:type="dxa"/>
            <w:shd w:val="clear" w:color="auto" w:fill="F2F2F2"/>
          </w:tcPr>
          <w:p>
            <w:pPr>
              <w:spacing w:after="0"/>
            </w:pPr>
            <w:r>
              <w:rPr>
                <w:i w:val="false"/>
                <w:iCs w:val="false"/>
                <w:sz w:val="20"/>
                <w:szCs w:val="20"/>
              </w:rPr>
              <w:t xml:space="preserve">After digitalisation</w:t>
            </w:r>
          </w:p>
        </w:tc>
      </w:tr>
      <w:tr>
        <w:trPr>
          <w:cantSplit/>
        </w:trPr>
        <w:tc>
          <w:tcPr>
            <w:tcW w:w="2000" w:type="dxa"/>
          </w:tcPr>
          <w:p>
            <w:pPr>
              <w:spacing w:after="0"/>
            </w:pPr>
            <w:r>
              <w:rPr>
                <w:i w:val="false"/>
                <w:iCs w:val="false"/>
                <w:sz w:val="20"/>
                <w:szCs w:val="20"/>
              </w:rPr>
              <w:t xml:space="preserve">NIST CSF 2.0</w:t>
            </w:r>
          </w:p>
        </w:tc>
        <w:tc>
          <w:tcPr>
            <w:tcW w:w="1750" w:type="dxa"/>
          </w:tcPr>
          <w:p>
            <w:pPr>
              <w:spacing w:after="0"/>
            </w:pPr>
            <w:r>
              <w:rPr>
                <w:i w:val="false"/>
                <w:iCs w:val="false"/>
                <w:sz w:val="20"/>
                <w:szCs w:val="20"/>
              </w:rPr>
              <w:t xml:space="preserve">Framework (voluntary)</w:t>
            </w:r>
          </w:p>
        </w:tc>
        <w:tc>
          <w:tcPr>
            <w:tcW w:w="4000" w:type="dxa"/>
          </w:tcPr>
          <w:p>
            <w:pPr>
              <w:spacing w:after="0"/>
            </w:pPr>
            <w:r>
              <w:rPr>
                <w:i w:val="false"/>
                <w:iCs w:val="false"/>
                <w:sz w:val="20"/>
                <w:szCs w:val="20"/>
              </w:rPr>
              <w:t xml:space="preserve">Its six functions (Govern, Identify, Protect, Detect, Respond, Recover) offer a simple way to report progress to the investor (NIST, 2024).</w:t>
            </w:r>
          </w:p>
        </w:tc>
        <w:tc>
          <w:tcPr>
            <w:tcW w:w="1276" w:type="dxa"/>
          </w:tcPr>
          <w:p>
            <w:pPr>
              <w:spacing w:after="0"/>
            </w:pPr>
            <w:r>
              <w:rPr>
                <w:i w:val="false"/>
                <w:iCs w:val="false"/>
                <w:sz w:val="20"/>
                <w:szCs w:val="20"/>
              </w:rPr>
              <w:t xml:space="preserve">Optional</w:t>
            </w:r>
          </w:p>
        </w:tc>
      </w:tr>
    </w:tbl>
    <w:p>
      <w:pPr>
        <w:spacing w:after="120"/>
      </w:pPr>
    </w:p>
    <w:p>
      <w:pPr>
        <w:pStyle w:val="Heading2"/>
      </w:pPr>
      <w:r>
        <w:t xml:space="preserve">2. Allowing for standards in the threat model</w:t>
      </w:r>
    </w:p>
    <w:p>
      <w:pPr>
        <w:spacing w:after="160" w:line="300"/>
        <w:jc w:val="both"/>
      </w:pPr>
      <w:r>
        <w:rPr>
          <w:i w:val="false"/>
          <w:iCs w:val="false"/>
        </w:rPr>
        <w:t xml:space="preserve">Each threat from the group’s STRIDE assessment is mapped to the clauses that treat it. The final row, carried over from Unit 4, has no owner in any of the standards selected, which is the reason for building the mapping.</w:t>
      </w:r>
    </w:p>
    <w:tbl>
      <w:tblPr>
        <w:tblW w:w="902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3000"/>
        <w:gridCol w:w="6026"/>
      </w:tblGrid>
      <w:tr>
        <w:trPr>
          <w:cantSplit/>
          <w:tblHeader/>
        </w:trPr>
        <w:tc>
          <w:tcPr>
            <w:tcW w:w="3000" w:type="dxa"/>
            <w:shd w:val="clear" w:color="auto" w:fill="1F3864"/>
          </w:tcPr>
          <w:p>
            <w:pPr>
              <w:spacing w:after="0"/>
            </w:pPr>
            <w:r>
              <w:rPr>
                <w:b/>
                <w:bCs/>
                <w:i w:val="false"/>
                <w:iCs w:val="false"/>
                <w:color w:val="FFFFFF"/>
                <w:sz w:val="20"/>
                <w:szCs w:val="20"/>
              </w:rPr>
              <w:t xml:space="preserve">STRIDE threat</w:t>
            </w:r>
          </w:p>
        </w:tc>
        <w:tc>
          <w:tcPr>
            <w:tcW w:w="6026" w:type="dxa"/>
            <w:shd w:val="clear" w:color="auto" w:fill="1F3864"/>
          </w:tcPr>
          <w:p>
            <w:pPr>
              <w:spacing w:after="0"/>
            </w:pPr>
            <w:r>
              <w:rPr>
                <w:b/>
                <w:bCs/>
                <w:i w:val="false"/>
                <w:iCs w:val="false"/>
                <w:color w:val="FFFFFF"/>
                <w:sz w:val="20"/>
                <w:szCs w:val="20"/>
              </w:rPr>
              <w:t xml:space="preserve">Control references</w:t>
            </w:r>
          </w:p>
        </w:tc>
      </w:tr>
      <w:tr>
        <w:trPr>
          <w:cantSplit/>
        </w:trPr>
        <w:tc>
          <w:tcPr>
            <w:tcW w:w="3000" w:type="dxa"/>
          </w:tcPr>
          <w:p>
            <w:pPr>
              <w:spacing w:after="0"/>
            </w:pPr>
            <w:r>
              <w:rPr>
                <w:i w:val="false"/>
                <w:iCs w:val="false"/>
                <w:sz w:val="20"/>
                <w:szCs w:val="20"/>
              </w:rPr>
              <w:t xml:space="preserve">Spoofing: phishing and stolen credentials</w:t>
            </w:r>
          </w:p>
        </w:tc>
        <w:tc>
          <w:tcPr>
            <w:tcW w:w="6026" w:type="dxa"/>
          </w:tcPr>
          <w:p>
            <w:pPr>
              <w:spacing w:after="0"/>
            </w:pPr>
            <w:r>
              <w:rPr>
                <w:i w:val="false"/>
                <w:iCs w:val="false"/>
                <w:sz w:val="20"/>
                <w:szCs w:val="20"/>
              </w:rPr>
              <w:t xml:space="preserve">Cyber Essentials user access control; PCI DSS Req. 8; ISO/IEC 27001 A.8.5 Secure authentication, A.6.3 Awareness, education and training</w:t>
            </w:r>
          </w:p>
        </w:tc>
      </w:tr>
      <w:tr>
        <w:trPr>
          <w:cantSplit/>
        </w:trPr>
        <w:tc>
          <w:tcPr>
            <w:tcW w:w="3000" w:type="dxa"/>
            <w:shd w:val="clear" w:color="auto" w:fill="F2F2F2"/>
          </w:tcPr>
          <w:p>
            <w:pPr>
              <w:spacing w:after="0"/>
            </w:pPr>
            <w:r>
              <w:rPr>
                <w:i w:val="false"/>
                <w:iCs w:val="false"/>
                <w:sz w:val="20"/>
                <w:szCs w:val="20"/>
              </w:rPr>
              <w:t xml:space="preserve">Tampering: ERP or e-commerce data manipulated</w:t>
            </w:r>
          </w:p>
        </w:tc>
        <w:tc>
          <w:tcPr>
            <w:tcW w:w="6026" w:type="dxa"/>
            <w:shd w:val="clear" w:color="auto" w:fill="F2F2F2"/>
          </w:tcPr>
          <w:p>
            <w:pPr>
              <w:spacing w:after="0"/>
            </w:pPr>
            <w:r>
              <w:rPr>
                <w:i w:val="false"/>
                <w:iCs w:val="false"/>
                <w:sz w:val="20"/>
                <w:szCs w:val="20"/>
              </w:rPr>
              <w:t xml:space="preserve">Cyber Essentials secure configuration; ISO/IEC 27001 A.8.32 Change management, A.8.15 Logging</w:t>
            </w:r>
          </w:p>
        </w:tc>
      </w:tr>
      <w:tr>
        <w:trPr>
          <w:cantSplit/>
        </w:trPr>
        <w:tc>
          <w:tcPr>
            <w:tcW w:w="3000" w:type="dxa"/>
          </w:tcPr>
          <w:p>
            <w:pPr>
              <w:spacing w:after="0"/>
            </w:pPr>
            <w:r>
              <w:rPr>
                <w:i w:val="false"/>
                <w:iCs w:val="false"/>
                <w:sz w:val="20"/>
                <w:szCs w:val="20"/>
              </w:rPr>
              <w:t xml:space="preserve">Repudiation: no audit trail for online orders</w:t>
            </w:r>
          </w:p>
        </w:tc>
        <w:tc>
          <w:tcPr>
            <w:tcW w:w="6026" w:type="dxa"/>
          </w:tcPr>
          <w:p>
            <w:pPr>
              <w:spacing w:after="0"/>
            </w:pPr>
            <w:r>
              <w:rPr>
                <w:i w:val="false"/>
                <w:iCs w:val="false"/>
                <w:sz w:val="20"/>
                <w:szCs w:val="20"/>
              </w:rPr>
              <w:t xml:space="preserve">PCI DSS Req. 10; ISO/IEC 27001 A.8.15 Logging</w:t>
            </w:r>
          </w:p>
        </w:tc>
      </w:tr>
      <w:tr>
        <w:trPr>
          <w:cantSplit/>
        </w:trPr>
        <w:tc>
          <w:tcPr>
            <w:tcW w:w="3000" w:type="dxa"/>
            <w:shd w:val="clear" w:color="auto" w:fill="F2F2F2"/>
          </w:tcPr>
          <w:p>
            <w:pPr>
              <w:spacing w:after="0"/>
            </w:pPr>
            <w:r>
              <w:rPr>
                <w:i w:val="false"/>
                <w:iCs w:val="false"/>
                <w:sz w:val="20"/>
                <w:szCs w:val="20"/>
              </w:rPr>
              <w:t xml:space="preserve">Information disclosure: customer or supplier data leaked</w:t>
            </w:r>
          </w:p>
        </w:tc>
        <w:tc>
          <w:tcPr>
            <w:tcW w:w="6026" w:type="dxa"/>
            <w:shd w:val="clear" w:color="auto" w:fill="F2F2F2"/>
          </w:tcPr>
          <w:p>
            <w:pPr>
              <w:spacing w:after="0"/>
            </w:pPr>
            <w:r>
              <w:rPr>
                <w:i w:val="false"/>
                <w:iCs w:val="false"/>
                <w:sz w:val="20"/>
                <w:szCs w:val="20"/>
              </w:rPr>
              <w:t xml:space="preserve">GDPR Art. 32; ISO/IEC 27001 A.8.24 Use of cryptography; card data removed from scope by the hosted payment page</w:t>
            </w:r>
          </w:p>
        </w:tc>
      </w:tr>
      <w:tr>
        <w:trPr>
          <w:cantSplit/>
        </w:trPr>
        <w:tc>
          <w:tcPr>
            <w:tcW w:w="3000" w:type="dxa"/>
          </w:tcPr>
          <w:p>
            <w:pPr>
              <w:spacing w:after="0"/>
            </w:pPr>
            <w:r>
              <w:rPr>
                <w:i w:val="false"/>
                <w:iCs w:val="false"/>
                <w:sz w:val="20"/>
                <w:szCs w:val="20"/>
              </w:rPr>
              <w:t xml:space="preserve">Denial of service: website or ERP outage</w:t>
            </w:r>
          </w:p>
        </w:tc>
        <w:tc>
          <w:tcPr>
            <w:tcW w:w="6026" w:type="dxa"/>
          </w:tcPr>
          <w:p>
            <w:pPr>
              <w:spacing w:after="0"/>
            </w:pPr>
            <w:r>
              <w:rPr>
                <w:i w:val="false"/>
                <w:iCs w:val="false"/>
                <w:sz w:val="20"/>
                <w:szCs w:val="20"/>
              </w:rPr>
              <w:t xml:space="preserve">ISO 22301; ISO/IEC 27001 A.5.30 ICT readiness for business continuity, A.8.13 Information backup</w:t>
            </w:r>
          </w:p>
        </w:tc>
      </w:tr>
      <w:tr>
        <w:trPr>
          <w:cantSplit/>
        </w:trPr>
        <w:tc>
          <w:tcPr>
            <w:tcW w:w="3000" w:type="dxa"/>
            <w:shd w:val="clear" w:color="auto" w:fill="F2F2F2"/>
          </w:tcPr>
          <w:p>
            <w:pPr>
              <w:spacing w:after="0"/>
            </w:pPr>
            <w:r>
              <w:rPr>
                <w:i w:val="false"/>
                <w:iCs w:val="false"/>
                <w:sz w:val="20"/>
                <w:szCs w:val="20"/>
              </w:rPr>
              <w:t xml:space="preserve">Elevation of privilege: weak role-based access control</w:t>
            </w:r>
          </w:p>
        </w:tc>
        <w:tc>
          <w:tcPr>
            <w:tcW w:w="6026" w:type="dxa"/>
            <w:shd w:val="clear" w:color="auto" w:fill="F2F2F2"/>
          </w:tcPr>
          <w:p>
            <w:pPr>
              <w:spacing w:after="0"/>
            </w:pPr>
            <w:r>
              <w:rPr>
                <w:i w:val="false"/>
                <w:iCs w:val="false"/>
                <w:sz w:val="20"/>
                <w:szCs w:val="20"/>
              </w:rPr>
              <w:t xml:space="preserve">Cyber Essentials user access control; PCI DSS Req. 7; ISO/IEC 27001 A.8.2 Privileged access rights</w:t>
            </w:r>
          </w:p>
        </w:tc>
      </w:tr>
      <w:tr>
        <w:trPr>
          <w:cantSplit/>
        </w:trPr>
        <w:tc>
          <w:tcPr>
            <w:tcW w:w="3000" w:type="dxa"/>
          </w:tcPr>
          <w:p>
            <w:pPr>
              <w:spacing w:after="0"/>
            </w:pPr>
            <w:r>
              <w:rPr>
                <w:i w:val="false"/>
                <w:iCs w:val="false"/>
                <w:sz w:val="20"/>
                <w:szCs w:val="20"/>
              </w:rPr>
              <w:t xml:space="preserve">Tampering: warehouse temperature controller set point changed (Unit 4)</w:t>
            </w:r>
          </w:p>
        </w:tc>
        <w:tc>
          <w:tcPr>
            <w:tcW w:w="6026" w:type="dxa"/>
          </w:tcPr>
          <w:p>
            <w:pPr>
              <w:spacing w:after="0"/>
            </w:pPr>
            <w:r>
              <w:rPr>
                <w:i w:val="false"/>
                <w:iCs w:val="false"/>
                <w:sz w:val="20"/>
                <w:szCs w:val="20"/>
              </w:rPr>
              <w:t xml:space="preserve">No direct control in the GDPR, PCI DSS or Cyber Essentials; covered by ISO/IEC 27001 only if the warehouse systems are brought into the ISMS scope. Needs an operational technology and product quality view.</w:t>
            </w:r>
          </w:p>
        </w:tc>
      </w:tr>
    </w:tbl>
    <w:p>
      <w:pPr>
        <w:spacing w:after="120"/>
      </w:pPr>
    </w:p>
    <w:p>
      <w:pPr>
        <w:pStyle w:val="Heading1"/>
      </w:pPr>
      <w:r>
        <w:t xml:space="preserve">References</w:t>
      </w:r>
    </w:p>
    <w:p>
      <w:pPr>
        <w:spacing w:after="120"/>
        <w:ind w:left="567" w:hanging="567"/>
      </w:pPr>
      <w:r>
        <w:rPr>
          <w:i w:val="false"/>
          <w:iCs w:val="false"/>
        </w:rPr>
        <w:t xml:space="preserve">Adhillah, M.N., Syalwa, M., Meilanda, P. and Sari, R. (2025) ‘Systematic literature review the development of enterprise risk management’, </w:t>
      </w:r>
      <w:r>
        <w:rPr>
          <w:i/>
          <w:iCs/>
        </w:rPr>
        <w:t xml:space="preserve">Jurnal Manajemen Bisnis, Akuntansi dan Keuangan</w:t>
      </w:r>
      <w:r>
        <w:rPr>
          <w:i w:val="false"/>
          <w:iCs w:val="false"/>
        </w:rPr>
        <w:t xml:space="preserve">, 4(1), pp. 81–100. Available at: </w:t>
      </w:r>
      <w:hyperlink w:history="1" r:id="rIdU5ref0">
        <w:r>
          <w:rPr>
            <w:rStyle w:val="Hyperlink"/>
          </w:rPr>
          <w:t xml:space="preserve">https://doi.org/10.55927/jambak.v4i1.16407</w:t>
        </w:r>
      </w:hyperlink>
      <w:r>
        <w:rPr>
          <w:i w:val="false"/>
          <w:iCs w:val="false"/>
        </w:rPr>
        <w:t xml:space="preserve"> (Accessed: 3 October 2026).</w:t>
      </w:r>
    </w:p>
    <w:p>
      <w:pPr>
        <w:spacing w:after="120"/>
        <w:ind w:left="567" w:hanging="567"/>
      </w:pPr>
      <w:r>
        <w:rPr>
          <w:i w:val="false"/>
          <w:iCs w:val="false"/>
        </w:rPr>
        <w:t xml:space="preserve">Art. 32 GDPR – Security of processing (no date) </w:t>
      </w:r>
      <w:r>
        <w:rPr>
          <w:i/>
          <w:iCs/>
        </w:rPr>
        <w:t xml:space="preserve">General Data Protection Regulation (GDPR)</w:t>
      </w:r>
      <w:r>
        <w:rPr>
          <w:i w:val="false"/>
          <w:iCs w:val="false"/>
        </w:rPr>
        <w:t xml:space="preserve">. Available at: </w:t>
      </w:r>
      <w:hyperlink w:history="1" r:id="rIdU5ref1">
        <w:r>
          <w:rPr>
            <w:rStyle w:val="Hyperlink"/>
          </w:rPr>
          <w:t xml:space="preserve">https://gdpr-info.eu/art-32-gdpr/</w:t>
        </w:r>
      </w:hyperlink>
      <w:r>
        <w:rPr>
          <w:i w:val="false"/>
          <w:iCs w:val="false"/>
        </w:rPr>
        <w:t xml:space="preserve"> (Accessed: 3 October 2026).</w:t>
      </w:r>
    </w:p>
    <w:p>
      <w:pPr>
        <w:spacing w:after="120"/>
        <w:ind w:left="567" w:hanging="567"/>
      </w:pPr>
      <w:r>
        <w:rPr>
          <w:i w:val="false"/>
          <w:iCs w:val="false"/>
        </w:rPr>
        <w:t xml:space="preserve">Aven, T. and Thekdi, S. (2025) </w:t>
      </w:r>
      <w:r>
        <w:rPr>
          <w:i/>
          <w:iCs/>
        </w:rPr>
        <w:t xml:space="preserve">Risk science: an introduction</w:t>
      </w:r>
      <w:r>
        <w:rPr>
          <w:i w:val="false"/>
          <w:iCs w:val="false"/>
        </w:rPr>
        <w:t xml:space="preserve">. 2nd edn. Abingdon: Routledge. Chapter 8: Basic theory of risk management. Available at: </w:t>
      </w:r>
      <w:hyperlink w:history="1" r:id="rIdU5ref2">
        <w:r>
          <w:rPr>
            <w:rStyle w:val="Hyperlink"/>
          </w:rPr>
          <w:t xml:space="preserve">https://www.routledge.com/Risk-Science-An-Introduction/Aven-Thekdi/p/book/9781032798905</w:t>
        </w:r>
      </w:hyperlink>
      <w:r>
        <w:rPr>
          <w:i w:val="false"/>
          <w:iCs w:val="false"/>
        </w:rPr>
        <w:t xml:space="preserve"> (Accessed: 3 October 2026).</w:t>
      </w:r>
    </w:p>
    <w:p>
      <w:pPr>
        <w:spacing w:after="120"/>
        <w:ind w:left="567" w:hanging="567"/>
      </w:pPr>
      <w:r>
        <w:rPr>
          <w:i w:val="false"/>
          <w:iCs w:val="false"/>
        </w:rPr>
        <w:t xml:space="preserve">Aven, T. and Ylönen, M. (2019) ‘The strong power of standards in the safety and risk fields: a threat to proper developments of these fields?’, </w:t>
      </w:r>
      <w:r>
        <w:rPr>
          <w:i/>
          <w:iCs/>
        </w:rPr>
        <w:t xml:space="preserve">Reliability Engineering &amp; System Safety</w:t>
      </w:r>
      <w:r>
        <w:rPr>
          <w:i w:val="false"/>
          <w:iCs w:val="false"/>
        </w:rPr>
        <w:t xml:space="preserve">, 189, pp. 279–286. Available at: </w:t>
      </w:r>
      <w:hyperlink w:history="1" r:id="rIdU5ref3">
        <w:r>
          <w:rPr>
            <w:rStyle w:val="Hyperlink"/>
          </w:rPr>
          <w:t xml:space="preserve">https://doi.org/10.1016/j.ress.2019.04.035</w:t>
        </w:r>
      </w:hyperlink>
      <w:r>
        <w:rPr>
          <w:i w:val="false"/>
          <w:iCs w:val="false"/>
        </w:rPr>
        <w:t xml:space="preserve"> (Accessed: 3 October 2026).</w:t>
      </w:r>
    </w:p>
    <w:p>
      <w:pPr>
        <w:spacing w:after="120"/>
        <w:ind w:left="567" w:hanging="567"/>
      </w:pPr>
      <w:r>
        <w:rPr>
          <w:i w:val="false"/>
          <w:iCs w:val="false"/>
        </w:rPr>
        <w:t xml:space="preserve">Barafort, B., Mesquida, A.-L. and Mas, A. (2019) ‘ISO 31000-based integrated risk management process assessment model for IT organizations’, </w:t>
      </w:r>
      <w:r>
        <w:rPr>
          <w:i/>
          <w:iCs/>
        </w:rPr>
        <w:t xml:space="preserve">Journal of Software: Evolution and Process</w:t>
      </w:r>
      <w:r>
        <w:rPr>
          <w:i w:val="false"/>
          <w:iCs w:val="false"/>
        </w:rPr>
        <w:t xml:space="preserve">, 31(1), e1984. Available at: </w:t>
      </w:r>
      <w:hyperlink w:history="1" r:id="rIdU5ref4">
        <w:r>
          <w:rPr>
            <w:rStyle w:val="Hyperlink"/>
          </w:rPr>
          <w:t xml:space="preserve">https://doi.org/10.1002/smr.1984</w:t>
        </w:r>
      </w:hyperlink>
      <w:r>
        <w:rPr>
          <w:i w:val="false"/>
          <w:iCs w:val="false"/>
        </w:rPr>
        <w:t xml:space="preserve"> (Accessed: 3 October 2026).</w:t>
      </w:r>
    </w:p>
    <w:p>
      <w:pPr>
        <w:spacing w:after="120"/>
        <w:ind w:left="567" w:hanging="567"/>
      </w:pPr>
      <w:r>
        <w:rPr>
          <w:i w:val="false"/>
          <w:iCs w:val="false"/>
        </w:rPr>
        <w:t xml:space="preserve">ISO (2019) </w:t>
      </w:r>
      <w:r>
        <w:rPr>
          <w:i/>
          <w:iCs/>
        </w:rPr>
        <w:t xml:space="preserve">ISO 22301:2019 Security and resilience – Business continuity management systems – Requirements</w:t>
      </w:r>
      <w:r>
        <w:rPr>
          <w:i w:val="false"/>
          <w:iCs w:val="false"/>
        </w:rPr>
        <w:t xml:space="preserve">. Geneva: International Organization for Standardization. Available at: </w:t>
      </w:r>
      <w:hyperlink w:history="1" r:id="rIdU5ref5">
        <w:r>
          <w:rPr>
            <w:rStyle w:val="Hyperlink"/>
          </w:rPr>
          <w:t xml:space="preserve">https://www.iso.org/standard/75106.html</w:t>
        </w:r>
      </w:hyperlink>
      <w:r>
        <w:rPr>
          <w:i w:val="false"/>
          <w:iCs w:val="false"/>
        </w:rPr>
        <w:t xml:space="preserve"> (Accessed: 3 October 2026).</w:t>
      </w:r>
    </w:p>
    <w:p>
      <w:pPr>
        <w:spacing w:after="120"/>
        <w:ind w:left="567" w:hanging="567"/>
      </w:pPr>
      <w:r>
        <w:rPr>
          <w:i w:val="false"/>
          <w:iCs w:val="false"/>
        </w:rPr>
        <w:t xml:space="preserve">ISO (2022) </w:t>
      </w:r>
      <w:r>
        <w:rPr>
          <w:i/>
          <w:iCs/>
        </w:rPr>
        <w:t xml:space="preserve">ISO/IEC 27001:2022 Information security, cybersecurity and privacy protection – Information security management systems – Requirements</w:t>
      </w:r>
      <w:r>
        <w:rPr>
          <w:i w:val="false"/>
          <w:iCs w:val="false"/>
        </w:rPr>
        <w:t xml:space="preserve">. Geneva: International Organization for Standardization. Available at: </w:t>
      </w:r>
      <w:hyperlink w:history="1" r:id="rIdU5ref6">
        <w:r>
          <w:rPr>
            <w:rStyle w:val="Hyperlink"/>
          </w:rPr>
          <w:t xml:space="preserve">https://www.iso.org/standard/27001</w:t>
        </w:r>
      </w:hyperlink>
      <w:r>
        <w:rPr>
          <w:i w:val="false"/>
          <w:iCs w:val="false"/>
        </w:rPr>
        <w:t xml:space="preserve"> (Accessed: 3 October 2026).</w:t>
      </w:r>
    </w:p>
    <w:p>
      <w:pPr>
        <w:spacing w:after="120"/>
        <w:ind w:left="567" w:hanging="567"/>
      </w:pPr>
      <w:r>
        <w:rPr>
          <w:i w:val="false"/>
          <w:iCs w:val="false"/>
        </w:rPr>
        <w:t xml:space="preserve">Kirvan, P. (2025) </w:t>
      </w:r>
      <w:r>
        <w:rPr>
          <w:i/>
          <w:iCs/>
        </w:rPr>
        <w:t xml:space="preserve">Top 15 IT security frameworks and standards explained</w:t>
      </w:r>
      <w:r>
        <w:rPr>
          <w:i w:val="false"/>
          <w:iCs w:val="false"/>
        </w:rPr>
        <w:t xml:space="preserve">. TechTarget. Available at: </w:t>
      </w:r>
      <w:hyperlink w:history="1" r:id="rIdU5ref7">
        <w:r>
          <w:rPr>
            <w:rStyle w:val="Hyperlink"/>
          </w:rPr>
          <w:t xml:space="preserve">https://www.techtarget.com/cybersecurity/tip/Top-15-IT-security-frameworks-and-standards-explained</w:t>
        </w:r>
      </w:hyperlink>
      <w:r>
        <w:rPr>
          <w:i w:val="false"/>
          <w:iCs w:val="false"/>
        </w:rPr>
        <w:t xml:space="preserve"> (Accessed: 3 October 2026).</w:t>
      </w:r>
    </w:p>
    <w:p>
      <w:pPr>
        <w:spacing w:after="120"/>
        <w:ind w:left="567" w:hanging="567"/>
      </w:pPr>
      <w:r>
        <w:rPr>
          <w:i w:val="false"/>
          <w:iCs w:val="false"/>
        </w:rPr>
        <w:t xml:space="preserve">NCSC (no date) </w:t>
      </w:r>
      <w:r>
        <w:rPr>
          <w:i/>
          <w:iCs/>
        </w:rPr>
        <w:t xml:space="preserve">Cyber Essentials</w:t>
      </w:r>
      <w:r>
        <w:rPr>
          <w:i w:val="false"/>
          <w:iCs w:val="false"/>
        </w:rPr>
        <w:t xml:space="preserve">. London: National Cyber Security Centre. Available at: </w:t>
      </w:r>
      <w:hyperlink w:history="1" r:id="rIdU5ref8">
        <w:r>
          <w:rPr>
            <w:rStyle w:val="Hyperlink"/>
          </w:rPr>
          <w:t xml:space="preserve">https://www.ncsc.gov.uk/cyberessentials/overview</w:t>
        </w:r>
      </w:hyperlink>
      <w:r>
        <w:rPr>
          <w:i w:val="false"/>
          <w:iCs w:val="false"/>
        </w:rPr>
        <w:t xml:space="preserve"> (Accessed: 3 October 2026).</w:t>
      </w:r>
    </w:p>
    <w:p>
      <w:pPr>
        <w:spacing w:after="120"/>
        <w:ind w:left="567" w:hanging="567"/>
      </w:pPr>
      <w:r>
        <w:rPr>
          <w:i w:val="false"/>
          <w:iCs w:val="false"/>
        </w:rPr>
        <w:t xml:space="preserve">NIST (2024) </w:t>
      </w:r>
      <w:r>
        <w:rPr>
          <w:i/>
          <w:iCs/>
        </w:rPr>
        <w:t xml:space="preserve">The NIST Cybersecurity Framework (CSF) 2.0</w:t>
      </w:r>
      <w:r>
        <w:rPr>
          <w:i w:val="false"/>
          <w:iCs w:val="false"/>
        </w:rPr>
        <w:t xml:space="preserve">. NIST Cybersecurity White Paper 29. Gaithersburg, MD: National Institute of Standards and Technology. Available at: </w:t>
      </w:r>
      <w:hyperlink w:history="1" r:id="rIdU5ref9">
        <w:r>
          <w:rPr>
            <w:rStyle w:val="Hyperlink"/>
          </w:rPr>
          <w:t xml:space="preserve">https://doi.org/10.6028/NIST.CSWP.29</w:t>
        </w:r>
      </w:hyperlink>
      <w:r>
        <w:rPr>
          <w:i w:val="false"/>
          <w:iCs w:val="false"/>
        </w:rPr>
        <w:t xml:space="preserve"> (Accessed: 3 October 2026).</w:t>
      </w:r>
    </w:p>
    <w:p>
      <w:pPr>
        <w:spacing w:after="120"/>
        <w:ind w:left="567" w:hanging="567"/>
      </w:pPr>
      <w:r>
        <w:rPr>
          <w:i w:val="false"/>
          <w:iCs w:val="false"/>
        </w:rPr>
        <w:t xml:space="preserve">PCI Security Standards Council (2024) </w:t>
      </w:r>
      <w:r>
        <w:rPr>
          <w:i/>
          <w:iCs/>
        </w:rPr>
        <w:t xml:space="preserve">Payment Card Industry Data Security Standard: requirements and testing procedures, version 4.0.1</w:t>
      </w:r>
      <w:r>
        <w:rPr>
          <w:i w:val="false"/>
          <w:iCs w:val="false"/>
        </w:rPr>
        <w:t xml:space="preserve">. Wakefield, MA: PCI Security Standards Council. Available at: </w:t>
      </w:r>
      <w:hyperlink w:history="1" r:id="rIdU5ref10">
        <w:r>
          <w:rPr>
            <w:rStyle w:val="Hyperlink"/>
          </w:rPr>
          <w:t xml:space="preserve">https://www.pcisecuritystandards.org/document_library/</w:t>
        </w:r>
      </w:hyperlink>
      <w:r>
        <w:rPr>
          <w:i w:val="false"/>
          <w:iCs w:val="false"/>
        </w:rPr>
        <w:t xml:space="preserve"> (Accessed: 3 October 2026).</w:t>
      </w:r>
    </w:p>
    <w:p>
      <w:pPr>
        <w:spacing w:after="120"/>
        <w:ind w:left="567" w:hanging="567"/>
      </w:pPr>
      <w:r>
        <w:rPr>
          <w:i w:val="false"/>
          <w:iCs w:val="false"/>
        </w:rPr>
        <w:t xml:space="preserve">PCI Security Standards Council (2025) ‘Important updates announced for merchants validating to Self-Assessment Questionnaire A’, </w:t>
      </w:r>
      <w:r>
        <w:rPr>
          <w:i/>
          <w:iCs/>
        </w:rPr>
        <w:t xml:space="preserve">PCI Perspectives</w:t>
      </w:r>
      <w:r>
        <w:rPr>
          <w:i w:val="false"/>
          <w:iCs w:val="false"/>
        </w:rPr>
        <w:t xml:space="preserve">, 30 January. Available at: </w:t>
      </w:r>
      <w:hyperlink w:history="1" r:id="rIdU5ref11">
        <w:r>
          <w:rPr>
            <w:rStyle w:val="Hyperlink"/>
          </w:rPr>
          <w:t xml:space="preserve">https://blog.pcisecuritystandards.org/important-updates-announced-for-merchants-validating-to-self-assessment-questionnaire-a</w:t>
        </w:r>
      </w:hyperlink>
      <w:r>
        <w:rPr>
          <w:i w:val="false"/>
          <w:iCs w:val="false"/>
        </w:rPr>
        <w:t xml:space="preserve"> (Accessed: 3 October 2026).</w:t>
      </w:r>
    </w:p>
    <w:p>
      <w:pPr>
        <w:spacing w:after="120"/>
        <w:ind w:left="567" w:hanging="567"/>
      </w:pPr>
      <w:r>
        <w:rPr>
          <w:i w:val="false"/>
          <w:iCs w:val="false"/>
        </w:rPr>
        <w:t xml:space="preserve">Rolfe, G., Freshwater, D. and Jasper, M. (2001) </w:t>
      </w:r>
      <w:r>
        <w:rPr>
          <w:i/>
          <w:iCs/>
        </w:rPr>
        <w:t xml:space="preserve">Critical reflection in nursing and the helping professions: a user’s guide</w:t>
      </w:r>
      <w:r>
        <w:rPr>
          <w:i w:val="false"/>
          <w:iCs w:val="false"/>
        </w:rPr>
        <w:t xml:space="preserve">. Basingstoke: Palgrave Macmillan.</w:t>
      </w:r>
    </w:p>
    <w:p>
      <w:pPr>
        <w:spacing w:after="120"/>
        <w:ind w:left="567" w:hanging="567"/>
      </w:pPr>
      <w:r>
        <w:rPr>
          <w:i w:val="false"/>
          <w:iCs w:val="false"/>
        </w:rPr>
        <w:t xml:space="preserve">Sutton, D. (2021) </w:t>
      </w:r>
      <w:r>
        <w:rPr>
          <w:i/>
          <w:iCs/>
        </w:rPr>
        <w:t xml:space="preserve">Information risk management: a practitioner’s guide</w:t>
      </w:r>
      <w:r>
        <w:rPr>
          <w:i w:val="false"/>
          <w:iCs w:val="false"/>
        </w:rPr>
        <w:t xml:space="preserve">. 2nd edn. Swindon: BCS, The Chartered Institute for IT. Appendix G: HMG cyber security guidelines. Available at: </w:t>
      </w:r>
      <w:hyperlink w:history="1" r:id="rIdU5ref12">
        <w:r>
          <w:rPr>
            <w:rStyle w:val="Hyperlink"/>
          </w:rPr>
          <w:t xml:space="preserve">https://www.oreilly.com/library/view/information-risk-management/9781780175751/</w:t>
        </w:r>
      </w:hyperlink>
      <w:r>
        <w:rPr>
          <w:i w:val="false"/>
          <w:iCs w:val="false"/>
        </w:rPr>
        <w:t xml:space="preserve"> (Accessed: 3 October 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20"/>
    </w:pPr>
    <w:rPr>
      <w:rFonts w:ascii="Calibri" w:cs="Calibri" w:eastAsia="Calibri" w:hAnsi="Calibri"/>
      <w:b/>
      <w:bCs/>
      <w:color w:val="1F3864"/>
      <w:sz w:val="34"/>
      <w:szCs w:val="34"/>
    </w:rPr>
  </w:style>
  <w:style w:type="paragraph" w:styleId="Heading1">
    <w:name w:val="Heading 1"/>
    <w:basedOn w:val="Normal"/>
    <w:next w:val="Normal"/>
    <w:qFormat/>
    <w:pPr>
      <w:spacing w:after="120" w:before="240"/>
      <w:outlineLvl w:val="0"/>
    </w:pPr>
    <w:rPr>
      <w:rFonts w:ascii="Calibri" w:cs="Calibri" w:eastAsia="Calibri" w:hAnsi="Calibri"/>
      <w:b/>
      <w:bCs/>
      <w:color w:val="1F3864"/>
      <w:sz w:val="27"/>
      <w:szCs w:val="2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14" Type="http://schemas.openxmlformats.org/officeDocument/2006/relationships/fontTable" Target="fontTable.xml"/><Relationship Id="rIdU5ref0" Type="http://schemas.openxmlformats.org/officeDocument/2006/relationships/hyperlink" Target="https://doi.org/10.55927/jambak.v4i1.16407" TargetMode="External"/><Relationship Id="rIdU5ref1" Type="http://schemas.openxmlformats.org/officeDocument/2006/relationships/hyperlink" Target="https://gdpr-info.eu/art-32-gdpr/" TargetMode="External"/><Relationship Id="rIdU5ref2" Type="http://schemas.openxmlformats.org/officeDocument/2006/relationships/hyperlink" Target="https://www.routledge.com/Risk-Science-An-Introduction/Aven-Thekdi/p/book/9781032798905" TargetMode="External"/><Relationship Id="rIdU5ref3" Type="http://schemas.openxmlformats.org/officeDocument/2006/relationships/hyperlink" Target="https://doi.org/10.1016/j.ress.2019.04.035" TargetMode="External"/><Relationship Id="rIdU5ref4" Type="http://schemas.openxmlformats.org/officeDocument/2006/relationships/hyperlink" Target="https://doi.org/10.1002/smr.1984" TargetMode="External"/><Relationship Id="rIdU5ref5" Type="http://schemas.openxmlformats.org/officeDocument/2006/relationships/hyperlink" Target="https://www.iso.org/standard/75106.html" TargetMode="External"/><Relationship Id="rIdU5ref6" Type="http://schemas.openxmlformats.org/officeDocument/2006/relationships/hyperlink" Target="https://www.iso.org/standard/27001" TargetMode="External"/><Relationship Id="rIdU5ref7" Type="http://schemas.openxmlformats.org/officeDocument/2006/relationships/hyperlink" Target="https://www.techtarget.com/cybersecurity/tip/Top-15-IT-security-frameworks-and-standards-explained" TargetMode="External"/><Relationship Id="rIdU5ref8" Type="http://schemas.openxmlformats.org/officeDocument/2006/relationships/hyperlink" Target="https://www.ncsc.gov.uk/cyberessentials/overview" TargetMode="External"/><Relationship Id="rIdU5ref9" Type="http://schemas.openxmlformats.org/officeDocument/2006/relationships/hyperlink" Target="https://doi.org/10.6028/NIST.CSWP.29" TargetMode="External"/><Relationship Id="rIdU5ref10" Type="http://schemas.openxmlformats.org/officeDocument/2006/relationships/hyperlink" Target="https://www.pcisecuritystandards.org/document_library/" TargetMode="External"/><Relationship Id="rIdU5ref11" Type="http://schemas.openxmlformats.org/officeDocument/2006/relationships/hyperlink" Target="https://blog.pcisecuritystandards.org/important-updates-announced-for-merchants-validating-to-self-assessment-questionnaire-a" TargetMode="External"/><Relationship Id="rIdU5ref12" Type="http://schemas.openxmlformats.org/officeDocument/2006/relationships/hyperlink" Target="https://www.oreilly.com/library/view/information-risk-management/9781780175751/" TargetMode="Externa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2026-10-03T12:32:44.271Z</dcterms:created>
  <dcterms:modified xsi:type="dcterms:W3CDTF">2026-10-03T12:32:44.272Z</dcterms:modified>
</cp:coreProperties>
</file>

<file path=docProps/custom.xml><?xml version="1.0" encoding="utf-8"?>
<Properties xmlns="http://schemas.openxmlformats.org/officeDocument/2006/custom-properties" xmlns:vt="http://schemas.openxmlformats.org/officeDocument/2006/docPropsVTypes"/>
</file>