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Security and Risk Management: Final Reflection</w:t>
      </w:r>
    </w:p>
    <w:p>
      <w:pPr>
        <w:spacing w:line="480" w:lineRule="auto"/>
      </w:pPr>
      <w:r>
        <w:rPr>
          <w:rFonts w:ascii="Arial" w:hAnsi="Arial" w:cs="Arial" w:eastAsia="Arial"/>
          <w:b/>
        </w:rPr>
        <w:t xml:space="preserve">e-Portfolio: </w:t>
      </w:r>
      <w:r>
        <w:t>https://ianstagib.github.io/portfolio/SubPages/Security_Risk/srm_eportfolio_summary.html</w:t>
      </w:r>
    </w:p>
    <w:p>
      <w:pPr>
        <w:spacing w:line="480" w:lineRule="auto"/>
      </w:pPr>
      <w:r>
        <w:t>Ian Stevens  |  Security and Risk Management, October 2025 (resubmitted October 2026)  |  University of Essex Online</w:t>
      </w:r>
    </w:p>
    <w:p>
      <w:pPr>
        <w:spacing w:line="480" w:lineRule="auto"/>
      </w:pPr>
      <w:r>
        <w:rPr>
          <w:rFonts w:ascii="Arial" w:hAnsi="Arial" w:cs="Arial" w:eastAsia="Arial"/>
          <w:i/>
        </w:rPr>
        <w:t>Structured using the What? So what? Now what? model (Rolfe, Freshwater and Jasper, 2001). 996 words, excluding headings and references.</w:t>
      </w:r>
    </w:p>
    <w:p>
      <w:pPr>
        <w:pStyle w:val="Heading1"/>
        <w:spacing w:line="480" w:lineRule="auto"/>
      </w:pPr>
      <w:r>
        <w:t>What?</w:t>
      </w:r>
    </w:p>
    <w:p>
      <w:pPr>
        <w:spacing w:line="480" w:lineRule="auto"/>
      </w:pPr>
      <w:r>
        <w:t>Over twelve units the module moved from definitions of risk, through threat modelling, standards, quantitative modelling and business continuity, to emerging trends, applied to Pampered Pets, a four-person pet food retailer deciding whether to digitalise. Our team of three, Group 2, submitted an ISO 31000 and ISO/IEC 27005 risk assessment at the end of Unit 6, which scored 83 out of 100. My part was the digitalised data flow model, the STRIDE and threat tables, the methodology and standards section and the phased implementation plan, and I did the final edit and the references. My individual executive summary in Unit 11 added Monte Carlo, fault tree and weighted-sum models and received 55%. I also rebuilt published models in Python and checked my own work the same way.</w:t>
      </w:r>
    </w:p>
    <w:p>
      <w:pPr>
        <w:spacing w:line="480" w:lineRule="auto"/>
      </w:pPr>
      <w:r>
        <w:t>This is a resubmission. I have ADHD, and when I first put this e-portfolio together I did not read the module’s requirements properly. When I realised how much was missing I became overwhelmed, stopped, and took six months away from my studies.</w:t>
      </w:r>
    </w:p>
    <w:p>
      <w:pPr>
        <w:pStyle w:val="Heading1"/>
        <w:spacing w:line="480" w:lineRule="auto"/>
      </w:pPr>
      <w:r>
        <w:t>So what?</w:t>
      </w:r>
    </w:p>
    <w:p>
      <w:pPr>
        <w:spacing w:line="480" w:lineRule="auto"/>
      </w:pPr>
      <w:r>
        <w:t>The biggest change was in what I think risk management produces. I began the module treating it as a way of producing ratings and ended it treating it as a way of making decisions under stated assumptions. Our matrix rated regulatory non-compliance ‘High’ from a low likelihood and a medium impact, the inconsistency Cox (2008) describes (Unit 2). In my own model, the ±0.08% I reported was simulation error, not uncertainty, and the input driving the result, staff detection of faulty batches, was a behaviour I had assumed rather than measured (Units 7 and 11). The Unit 9 business impact analysis showed that the active-active architecture I recommended had no requirement behind it; Unit 10 costed it at about £45,000 a year against £3,400 for a better-fitting design. Rebuilding Aijaz and Nazir’s (2024) model in Unit 8, I found its faults faster than my own, which was uncomfortable but taught me that reproducing a number is the minimum test before trusting it.</w:t>
      </w:r>
    </w:p>
    <w:p>
      <w:pPr>
        <w:spacing w:line="480" w:lineRule="auto"/>
      </w:pPr>
      <w:r>
        <w:t>My contribution to the team report carried several of the weaknesses I later criticised. I applied STRIDE once to the whole digital estate rather than per element of my own data flow diagram, and the table had no row for elevation of privilege, although the status-quo assessment recorded poor access control. My standards section named ISO 31000 and ISO/IEC 27005, which are guidance, and not the UK GDPR or PCI DSS, which bind the business. The phased plan, with policy, training and the network ahead of the website, held up best. My final edit missed the inconsistent rating because I edited for length and presentation, not against the report’s own method.</w:t>
      </w:r>
    </w:p>
    <w:p>
      <w:pPr>
        <w:spacing w:line="480" w:lineRule="auto"/>
      </w:pPr>
      <w:r>
        <w:t>Rereading my peer evaluation sheet changed how I see the team. I scored Jens and Amnon 4 on every criterion and 5 for finishing a week early, and called the team ‘very effective’, with a Teams channel, delegated tasks and a joint review of the combined result. The work was split evenly and without conflict, but identical scores do not tell two people apart, and the joint review still missed the regulatory row. Each section had an owner; nobody owned the joins. No one brought an operations view of the warehouse either, the multidisciplinary gap Ross, McEvilley and Oren (2016) warn about. My self-evaluation is more revealing. I gave myself 3 for coming to meetings prepared, named preparing ahead of time as the skill to improve, and wrote 35 as my total, the maximum possible, when my scores add up to 27. Similarly, the tutor’s feedback on the team report named the faults that later cost me most marks in my executive summary, but I read it as feedback on the group, not on my own habits.</w:t>
      </w:r>
    </w:p>
    <w:p>
      <w:pPr>
        <w:spacing w:line="480" w:lineRule="auto"/>
      </w:pPr>
      <w:r>
        <w:t>The resubmission is the hardest part to write about. My first reaction was embarrassment: I had done the work in the units and lost marks for not reading the brief. Being overwhelmed made the gap look bigger than it was, and stepping away felt easier than starting. Looking back, the same pattern runs through the module: I acted on the parts of a task I noticed first and missed the requirements around them. That is how ADHD affects me, not a lack of effort, but it is still mine to manage. The break did help: coming back, I read my work as a stranger would, and the checks I had learned in Units 7 to 12 worked on the portfolio as well as the models.</w:t>
      </w:r>
    </w:p>
    <w:p>
      <w:pPr>
        <w:spacing w:line="480" w:lineRule="auto"/>
      </w:pPr>
      <w:r>
        <w:t>For my professional development the main gain is a habit, not a technique. Every number I now produce comes with its formula, a range, a sensitivity analysis and a check in code others can rerun, and I read standards such as Cyber Essentials for the evidence they demand, not the topics they list. In the Unit 12 debate I conceded, before being challenged, that the headline time-to-exploit figure mixes zero-days and n-days, the kind of metric Nicol et al. (2012) say must be ‘validated’ before it is trusted.</w:t>
      </w:r>
    </w:p>
    <w:p>
      <w:pPr>
        <w:pStyle w:val="Heading1"/>
        <w:spacing w:line="480" w:lineRule="auto"/>
      </w:pPr>
      <w:r>
        <w:t>Now what?</w:t>
      </w:r>
    </w:p>
    <w:p>
      <w:pPr>
        <w:spacing w:line="480" w:lineRule="auto"/>
      </w:pPr>
      <w:r>
        <w:t>Five actions follow, each with a check in my action plan. First, I will turn every brief into a checklist of requirements and marking criteria, and check the finished work against it. Second, when a task starts to feel overwhelming I will break it into small dated steps and contact my tutor early rather than stepping away. Third, every assessment I lead will open with the definition of risk, the assumptions to confirm and a register of applicable obligations. Fourth, every figure I report will state what it measures, its range and its source date; my peer evaluation total shows this applies to forms as much as models. Fifth, in team work I will propose an integrator who reviews the whole document against its method, keep meeting notes and a feedback log, and justify each peer score. At work I will start a register of automated security rules with named owners, because Unit 12 showed that delegated decisions are where risk will increasingly sit.</w:t>
      </w:r>
    </w:p>
    <w:p>
      <w:pPr>
        <w:pStyle w:val="Heading1"/>
        <w:spacing w:line="480" w:lineRule="auto"/>
      </w:pPr>
      <w:r>
        <w:t>References</w:t>
      </w:r>
    </w:p>
    <w:p>
      <w:pPr>
        <w:spacing w:line="480" w:lineRule="auto"/>
      </w:pPr>
      <w:r>
        <w:rPr>
          <w:rFonts w:ascii="Arial" w:hAnsi="Arial" w:cs="Arial" w:eastAsia="Arial"/>
        </w:rPr>
        <w:t xml:space="preserve">Aijaz, M. and Nazir, M. (2024) ‘Modelling and analysis of social engineering threats using the attack tree and the Markov model’, </w:t>
      </w:r>
      <w:r>
        <w:rPr>
          <w:rFonts w:ascii="Arial" w:hAnsi="Arial" w:cs="Arial" w:eastAsia="Arial"/>
          <w:i/>
        </w:rPr>
        <w:t>International Journal of Information Technology</w:t>
      </w:r>
      <w:r>
        <w:rPr>
          <w:rFonts w:ascii="Arial" w:hAnsi="Arial" w:cs="Arial" w:eastAsia="Arial"/>
        </w:rPr>
        <w:t xml:space="preserve">, 16(2), pp. 1231–1238. Available at: </w:t>
      </w:r>
      <w:r>
        <w:rPr>
          <w:rFonts w:ascii="Arial" w:hAnsi="Arial" w:cs="Arial" w:eastAsia="Arial"/>
        </w:rPr>
        <w:t>https://doi.org/10.1007/s41870-023-01540-z</w:t>
      </w:r>
      <w:r>
        <w:rPr>
          <w:rFonts w:ascii="Arial" w:hAnsi="Arial" w:cs="Arial" w:eastAsia="Arial"/>
        </w:rPr>
        <w:t xml:space="preserve"> (Accessed: 3 October 2026).</w:t>
      </w:r>
    </w:p>
    <w:p>
      <w:pPr>
        <w:spacing w:line="480" w:lineRule="auto"/>
      </w:pPr>
      <w:r>
        <w:rPr>
          <w:rFonts w:ascii="Arial" w:hAnsi="Arial" w:cs="Arial" w:eastAsia="Arial"/>
        </w:rPr>
        <w:t xml:space="preserve">Cox, L.A. (2008) ‘What’s wrong with risk matrices?’, </w:t>
      </w:r>
      <w:r>
        <w:rPr>
          <w:rFonts w:ascii="Arial" w:hAnsi="Arial" w:cs="Arial" w:eastAsia="Arial"/>
          <w:i/>
        </w:rPr>
        <w:t>Risk Analysis</w:t>
      </w:r>
      <w:r>
        <w:rPr>
          <w:rFonts w:ascii="Arial" w:hAnsi="Arial" w:cs="Arial" w:eastAsia="Arial"/>
        </w:rPr>
        <w:t xml:space="preserve">, 28(2), pp. 497–512. Available at: </w:t>
      </w:r>
      <w:r>
        <w:rPr>
          <w:rFonts w:ascii="Arial" w:hAnsi="Arial" w:cs="Arial" w:eastAsia="Arial"/>
        </w:rPr>
        <w:t>https://doi.org/10.1111/j.1539-6924.2008.01030.x</w:t>
      </w:r>
      <w:r>
        <w:rPr>
          <w:rFonts w:ascii="Arial" w:hAnsi="Arial" w:cs="Arial" w:eastAsia="Arial"/>
        </w:rPr>
        <w:t xml:space="preserve"> (Accessed: 3 October 2026).</w:t>
      </w:r>
    </w:p>
    <w:p>
      <w:pPr>
        <w:spacing w:line="480" w:lineRule="auto"/>
      </w:pPr>
      <w:r>
        <w:rPr>
          <w:rFonts w:ascii="Arial" w:hAnsi="Arial" w:cs="Arial" w:eastAsia="Arial"/>
        </w:rPr>
        <w:t xml:space="preserve">Group 2 (2025) </w:t>
      </w:r>
      <w:r>
        <w:rPr>
          <w:rFonts w:ascii="Arial" w:hAnsi="Arial" w:cs="Arial" w:eastAsia="Arial"/>
          <w:i/>
        </w:rPr>
        <w:t>A risk assessment report for Pampered Pets based on IEC27005:2022 / ISO/IEC31000:2018</w:t>
      </w:r>
      <w:r>
        <w:rPr>
          <w:rFonts w:ascii="Arial" w:hAnsi="Arial" w:cs="Arial" w:eastAsia="Arial"/>
        </w:rPr>
        <w:t xml:space="preserve"> [sic]. Unpublished team report, Security and Risk Management module. University of Essex Online.</w:t>
      </w:r>
    </w:p>
    <w:p>
      <w:pPr>
        <w:spacing w:line="480" w:lineRule="auto"/>
      </w:pPr>
      <w:r>
        <w:rPr>
          <w:rFonts w:ascii="Arial" w:hAnsi="Arial" w:cs="Arial" w:eastAsia="Arial"/>
        </w:rPr>
        <w:t xml:space="preserve">Nicol, D.M., Sanders, W.H., Scherlis, W.L. and Williams, L.A. (2012) </w:t>
      </w:r>
      <w:r>
        <w:rPr>
          <w:rFonts w:ascii="Arial" w:hAnsi="Arial" w:cs="Arial" w:eastAsia="Arial"/>
          <w:i/>
        </w:rPr>
        <w:t>Science of security hard problems: a lablet perspective</w:t>
      </w:r>
      <w:r>
        <w:rPr>
          <w:rFonts w:ascii="Arial" w:hAnsi="Arial" w:cs="Arial" w:eastAsia="Arial"/>
        </w:rPr>
        <w:t xml:space="preserve">. Science of Security Virtual Organization, 27 November. Available at: </w:t>
      </w:r>
      <w:r>
        <w:rPr>
          <w:rFonts w:ascii="Arial" w:hAnsi="Arial" w:cs="Arial" w:eastAsia="Arial"/>
        </w:rPr>
        <w:t>https://sos-vo.org/node/6394</w:t>
      </w:r>
      <w:r>
        <w:rPr>
          <w:rFonts w:ascii="Arial" w:hAnsi="Arial" w:cs="Arial" w:eastAsia="Arial"/>
        </w:rPr>
        <w:t xml:space="preserve"> (Accessed: 3 October 2026).</w:t>
      </w:r>
    </w:p>
    <w:p>
      <w:pPr>
        <w:spacing w:line="480" w:lineRule="auto"/>
      </w:pPr>
      <w:r>
        <w:rPr>
          <w:rFonts w:ascii="Arial" w:hAnsi="Arial" w:cs="Arial" w:eastAsia="Arial"/>
        </w:rPr>
        <w:t xml:space="preserve">Rolfe, G., Freshwater, D. and Jasper, M. (2001) </w:t>
      </w:r>
      <w:r>
        <w:rPr>
          <w:rFonts w:ascii="Arial" w:hAnsi="Arial" w:cs="Arial" w:eastAsia="Arial"/>
          <w:i/>
        </w:rPr>
        <w:t>Critical reflection for nursing and the helping professions: a user’s guide</w:t>
      </w:r>
      <w:r>
        <w:rPr>
          <w:rFonts w:ascii="Arial" w:hAnsi="Arial" w:cs="Arial" w:eastAsia="Arial"/>
        </w:rPr>
        <w:t>. Basingstoke: Palgrave Macmillan.</w:t>
      </w:r>
    </w:p>
    <w:p>
      <w:pPr>
        <w:spacing w:line="480" w:lineRule="auto"/>
      </w:pPr>
      <w:r>
        <w:rPr>
          <w:rFonts w:ascii="Arial" w:hAnsi="Arial" w:cs="Arial" w:eastAsia="Arial"/>
        </w:rPr>
        <w:t xml:space="preserve">Ross, R., McEvilley, M. and Oren, J.C. (2016) </w:t>
      </w:r>
      <w:r>
        <w:rPr>
          <w:rFonts w:ascii="Arial" w:hAnsi="Arial" w:cs="Arial" w:eastAsia="Arial"/>
          <w:i/>
        </w:rPr>
        <w:t>Systems security engineering: considerations for a multidisciplinary approach in the engineering of trustworthy secure systems</w:t>
      </w:r>
      <w:r>
        <w:rPr>
          <w:rFonts w:ascii="Arial" w:hAnsi="Arial" w:cs="Arial" w:eastAsia="Arial"/>
        </w:rPr>
        <w:t xml:space="preserve">. NIST Special Publication 800-160 (withdrawn 21 March 2018 and superseded by SP 800-160 Vol. 1). Gaithersburg, MD: National Institute of Standards and Technology. Available at: </w:t>
      </w:r>
      <w:r>
        <w:rPr>
          <w:rFonts w:ascii="Arial" w:hAnsi="Arial" w:cs="Arial" w:eastAsia="Arial"/>
        </w:rPr>
        <w:t>https://doi.org/10.6028/NIST.SP.800-160</w:t>
      </w:r>
      <w:r>
        <w:rPr>
          <w:rFonts w:ascii="Arial" w:hAnsi="Arial" w:cs="Arial" w:eastAsia="Arial"/>
        </w:rPr>
        <w:t xml:space="preserve"> (Accessed: 3 October 2026).</w:t>
      </w:r>
    </w:p>
    <w:p>
      <w:pPr>
        <w:spacing w:line="480" w:lineRule="auto"/>
      </w:pPr>
      <w:r>
        <w:rPr>
          <w:rFonts w:ascii="Arial" w:hAnsi="Arial" w:cs="Arial" w:eastAsia="Arial"/>
        </w:rPr>
        <w:t xml:space="preserve">Stevens, I. (2026) </w:t>
      </w:r>
      <w:r>
        <w:rPr>
          <w:rFonts w:ascii="Arial" w:hAnsi="Arial" w:cs="Arial" w:eastAsia="Arial"/>
          <w:i/>
        </w:rPr>
        <w:t>Quantitative risk assessment and digital resilience strategy for Pampered Pets: executive summary</w:t>
      </w:r>
      <w:r>
        <w:rPr>
          <w:rFonts w:ascii="Arial" w:hAnsi="Arial" w:cs="Arial" w:eastAsia="Arial"/>
        </w:rPr>
        <w:t>. Unpublished assignment, Security and Risk Management module. University of Essex Online.</w:t>
      </w:r>
    </w:p>
    <w:sectPr w:rsidR="00FC693F" w:rsidRPr="0006063C" w:rsidSect="00034616">
      <w:headerReference w:type="default" r:id="rId13"/>
      <w:footerReference w:type="default" r:id="rId1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Arial" w:hAnsi="Arial" w:cs="Arial" w:eastAsia="Arial"/>
        <w:sz w:val="24"/>
        <w:szCs w:val="24"/>
      </w:rPr>
      <w:fldChar w:fldCharType="begin"/>
    </w:r>
    <w:r>
      <w:rPr>
        <w:rFonts w:ascii="Arial" w:hAnsi="Arial" w:cs="Arial" w:eastAsia="Arial"/>
        <w:sz w:val="24"/>
        <w:szCs w:val="24"/>
      </w:rPr>
      <w:instrText xml:space="preserve"> PAGE </w:instrText>
    </w:r>
    <w:r>
      <w:rPr>
        <w:rFonts w:ascii="Arial" w:hAnsi="Arial" w:cs="Arial" w:eastAsia="Arial"/>
        <w:sz w:val="24"/>
        <w:szCs w:val="24"/>
      </w:rPr>
      <w:fldChar w:fldCharType="separate"/>
    </w:r>
    <w:r>
      <w:rPr>
        <w:rFonts w:ascii="Arial" w:hAnsi="Arial" w:cs="Arial" w:eastAsia="Arial"/>
        <w:sz w:val="24"/>
        <w:szCs w:val="24"/>
      </w:rPr>
      <w:t>1</w:t>
    </w:r>
    <w:r>
      <w:rPr>
        <w:rFonts w:ascii="Arial" w:hAnsi="Arial" w:cs="Arial" w:eastAsia="Arial"/>
        <w:sz w:val="24"/>
        <w:szCs w:val="2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before="0" w:after="0"/>
    </w:pPr>
    <w:r>
      <w:t>https://ianstagib.github.io/portfolio/SubPages/Security_Risk/srm_eportfolio_summary.html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4"/>
        <w:szCs w:val="24"/>
        <w:lang w:val="en-US" w:eastAsia="en-US" w:bidi="ar-SA"/>
      </w:rPr>
    </w:rPrDefault>
    <w:pPrDefault>
      <w:pPr>
        <w:spacing w:after="200" w:line="48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48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48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cs="Arial" w:eastAsia="Arial"/>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eastAsia="Arial"/>
      <w:b/>
      <w:bCs/>
      <w:i/>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i/>
      <w:color w:val="4F81BD"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cs="Arial" w:eastAsia="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cs="Arial" w:eastAsia="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cs="Arial" w:eastAsia="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cs="Arial" w:eastAsia="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cs="Arial" w:eastAsia="Arial"/>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cs="Arial" w:eastAsia="Arial"/>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480" w:lineRule="auto"/>
    </w:pPr>
  </w:style>
  <w:style w:type="character" w:customStyle="1" w:styleId="Heading1Char">
    <w:name w:val="Heading 1 Char"/>
    <w:basedOn w:val="DefaultParagraphFont"/>
    <w:link w:val="Heading1"/>
    <w:uiPriority w:val="9"/>
    <w:rsid w:val="00FC693F"/>
    <w:rPr>
      <w:rFonts w:ascii="Arial" w:hAnsi="Arial" w:cs="Arial" w:eastAsia="Arial"/>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Arial" w:hAnsi="Arial" w:cs="Arial" w:eastAsia="Arial"/>
      <w:b/>
      <w:bCs/>
      <w:color w:val="4F81BD" w:themeColor="accent1"/>
      <w:sz w:val="24"/>
      <w:szCs w:val="24"/>
    </w:rPr>
  </w:style>
  <w:style w:type="character" w:customStyle="1" w:styleId="Heading3Char">
    <w:name w:val="Heading 3 Char"/>
    <w:basedOn w:val="DefaultParagraphFont"/>
    <w:link w:val="Heading3"/>
    <w:uiPriority w:val="9"/>
    <w:rsid w:val="00FC693F"/>
    <w:rPr>
      <w:rFonts w:ascii="Arial" w:hAnsi="Arial" w:cs="Arial" w:eastAsia="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Arial" w:hAnsi="Arial" w:cs="Arial" w:eastAsia="Arial"/>
      <w:b/>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Arial" w:hAnsi="Arial" w:cs="Arial" w:eastAsia="Arial"/>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cs="Arial" w:eastAsia="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cs="Arial" w:eastAsia="Arial"/>
      <w:sz w:val="24"/>
      <w:szCs w:val="24"/>
    </w:rPr>
  </w:style>
  <w:style w:type="character" w:customStyle="1" w:styleId="BodyText3Char">
    <w:name w:val="Body Text 3 Char"/>
    <w:basedOn w:val="DefaultParagraphFont"/>
    <w:link w:val="BodyText3"/>
    <w:uiPriority w:val="99"/>
    <w:rsid w:val="00AA1D8D"/>
    <w:rPr>
      <w:rFonts w:ascii="Arial" w:hAnsi="Arial" w:cs="Arial" w:eastAsia="Arial"/>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s="Arial" w:eastAsia="Arial"/>
      <w:sz w:val="24"/>
      <w:szCs w:val="24"/>
    </w:rPr>
  </w:style>
  <w:style w:type="character" w:customStyle="1" w:styleId="MacroTextChar">
    <w:name w:val="Macro Text Char"/>
    <w:basedOn w:val="DefaultParagraphFont"/>
    <w:link w:val="MacroText"/>
    <w:uiPriority w:val="99"/>
    <w:rsid w:val="0029639D"/>
    <w:rPr>
      <w:rFonts w:ascii="Arial" w:hAnsi="Arial" w:cs="Arial" w:eastAsia="Arial"/>
      <w:sz w:val="24"/>
      <w:szCs w:val="24"/>
    </w:rPr>
  </w:style>
  <w:style w:type="paragraph" w:styleId="Quote">
    <w:name w:val="Quote"/>
    <w:basedOn w:val="Normal"/>
    <w:next w:val="Normal"/>
    <w:link w:val="QuoteChar"/>
    <w:uiPriority w:val="29"/>
    <w:qFormat/>
    <w:rsid w:val="00FC693F"/>
    <w:rPr>
      <w:rFonts w:ascii="Arial" w:hAnsi="Arial" w:cs="Arial" w:eastAsia="Arial"/>
      <w:i/>
      <w:iCs/>
      <w:color w:val="000000" w:themeColor="text1"/>
    </w:rPr>
  </w:style>
  <w:style w:type="character" w:customStyle="1" w:styleId="QuoteChar">
    <w:name w:val="Quote Char"/>
    <w:basedOn w:val="DefaultParagraphFont"/>
    <w:link w:val="Quote"/>
    <w:uiPriority w:val="29"/>
    <w:rsid w:val="00FC693F"/>
    <w:rPr>
      <w:rFonts w:ascii="Arial" w:hAnsi="Arial" w:cs="Arial" w:eastAsia="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cs="Arial" w:eastAsia="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cs="Arial" w:eastAsia="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cs="Arial" w:eastAsia="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cs="Arial" w:eastAsia="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cs="Arial" w:eastAsia="Arial"/>
      <w:color w:val="4F81BD" w:themeColor="accent1"/>
      <w:sz w:val="24"/>
      <w:szCs w:val="24"/>
    </w:rPr>
  </w:style>
  <w:style w:type="character" w:customStyle="1" w:styleId="Heading9Char">
    <w:name w:val="Heading 9 Char"/>
    <w:basedOn w:val="DefaultParagraphFont"/>
    <w:link w:val="Heading9"/>
    <w:uiPriority w:val="9"/>
    <w:semiHidden/>
    <w:rsid w:val="00FC693F"/>
    <w:rPr>
      <w:rFonts w:ascii="Arial" w:hAnsi="Arial" w:cs="Arial" w:eastAsia="Arial"/>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480" w:lineRule="auto"/>
    </w:pPr>
    <w:rPr>
      <w:rFonts w:ascii="Arial" w:hAnsi="Arial" w:cs="Arial" w:eastAsia="Arial"/>
      <w:b/>
      <w:bCs/>
      <w:color w:val="4F81BD" w:themeColor="accent1"/>
      <w:sz w:val="24"/>
      <w:szCs w:val="24"/>
    </w:rPr>
  </w:style>
  <w:style w:type="character" w:styleId="Strong">
    <w:name w:val="Strong"/>
    <w:basedOn w:val="DefaultParagraphFont"/>
    <w:uiPriority w:val="22"/>
    <w:qFormat/>
    <w:rsid w:val="00FC693F"/>
    <w:rPr>
      <w:rFonts w:ascii="Arial" w:hAnsi="Arial" w:cs="Arial" w:eastAsia="Arial"/>
      <w:b/>
      <w:bCs/>
    </w:rPr>
  </w:style>
  <w:style w:type="character" w:styleId="Emphasis">
    <w:name w:val="Emphasis"/>
    <w:basedOn w:val="DefaultParagraphFont"/>
    <w:uiPriority w:val="20"/>
    <w:qFormat/>
    <w:rsid w:val="00FC693F"/>
    <w:rPr>
      <w:rFonts w:ascii="Arial" w:hAnsi="Arial" w:cs="Arial" w:eastAsia="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cs="Arial" w:eastAsia="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cs="Arial" w:eastAsia="Arial"/>
      <w:b/>
      <w:bCs/>
      <w:i/>
      <w:iCs/>
      <w:color w:val="4F81BD" w:themeColor="accent1"/>
    </w:rPr>
  </w:style>
  <w:style w:type="character" w:styleId="SubtleEmphasis">
    <w:name w:val="Subtle Emphasis"/>
    <w:basedOn w:val="DefaultParagraphFont"/>
    <w:uiPriority w:val="19"/>
    <w:qFormat/>
    <w:rsid w:val="00FC693F"/>
    <w:rPr>
      <w:rFonts w:ascii="Arial" w:hAnsi="Arial" w:cs="Arial" w:eastAsia="Arial"/>
      <w:i/>
      <w:iCs/>
      <w:color w:val="808080" w:themeColor="text1" w:themeTint="7F"/>
    </w:rPr>
  </w:style>
  <w:style w:type="character" w:styleId="IntenseEmphasis">
    <w:name w:val="Intense Emphasis"/>
    <w:basedOn w:val="DefaultParagraphFont"/>
    <w:uiPriority w:val="21"/>
    <w:qFormat/>
    <w:rsid w:val="00FC693F"/>
    <w:rPr>
      <w:rFonts w:ascii="Arial" w:hAnsi="Arial" w:cs="Arial" w:eastAsia="Arial"/>
      <w:b/>
      <w:bCs/>
      <w:i/>
      <w:iCs/>
      <w:color w:val="4F81BD" w:themeColor="accent1"/>
    </w:rPr>
  </w:style>
  <w:style w:type="character" w:styleId="SubtleReference">
    <w:name w:val="Subtle Reference"/>
    <w:basedOn w:val="DefaultParagraphFont"/>
    <w:uiPriority w:val="31"/>
    <w:qFormat/>
    <w:rsid w:val="00FC693F"/>
    <w:rPr>
      <w:rFonts w:ascii="Arial" w:hAnsi="Arial" w:cs="Arial" w:eastAsia="Arial"/>
      <w:smallCaps/>
      <w:color w:val="C0504D" w:themeColor="accent2"/>
      <w:u w:val="single"/>
    </w:rPr>
  </w:style>
  <w:style w:type="character" w:styleId="IntenseReference">
    <w:name w:val="Intense Reference"/>
    <w:basedOn w:val="DefaultParagraphFont"/>
    <w:uiPriority w:val="32"/>
    <w:qFormat/>
    <w:rsid w:val="00FC693F"/>
    <w:rPr>
      <w:rFonts w:ascii="Arial" w:hAnsi="Arial" w:cs="Arial" w:eastAsia="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cs="Arial" w:eastAsia="Arial"/>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48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480" w:lineRule="auto"/>
    </w:pPr>
    <w:rPr>
      <w:rFonts w:ascii="Arial" w:hAnsi="Arial" w:cs="Arial" w:eastAsia="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480" w:lineRule="auto"/>
    </w:pPr>
    <w:rPr>
      <w:rFonts w:ascii="Arial" w:hAnsi="Arial" w:cs="Arial" w:eastAsia="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480" w:lineRule="auto"/>
    </w:pPr>
    <w:rPr>
      <w:rFonts w:ascii="Arial" w:hAnsi="Arial" w:cs="Arial" w:eastAsia="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480" w:lineRule="auto"/>
    </w:pPr>
    <w:rPr>
      <w:rFonts w:ascii="Arial" w:hAnsi="Arial" w:cs="Arial" w:eastAsia="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480" w:lineRule="auto"/>
    </w:pPr>
    <w:rPr>
      <w:rFonts w:ascii="Arial" w:hAnsi="Arial" w:cs="Arial" w:eastAsia="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480" w:lineRule="auto"/>
    </w:pPr>
    <w:rPr>
      <w:rFonts w:ascii="Arial" w:hAnsi="Arial" w:cs="Arial" w:eastAsia="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480" w:lineRule="auto"/>
    </w:pPr>
    <w:rPr>
      <w:rFonts w:ascii="Arial" w:hAnsi="Arial" w:cs="Arial" w:eastAsia="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000000" w:themeColor="text1"/>
        </w:tcBorders>
      </w:tcPr>
    </w:tblStylePr>
    <w:tblStylePr w:type="lastRow">
      <w:rPr>
        <w:rFonts w:ascii="Arial" w:hAnsi="Arial" w:cs="Arial" w:eastAsia="Arial"/>
        <w:b/>
        <w:bCs/>
        <w:color w:val="1F497D" w:themeColor="text2"/>
      </w:rPr>
      <w:tblPr/>
      <w:tcPr>
        <w:tcBorders>
          <w:top w:val="single" w:sz="8" w:space="0" w:color="000000" w:themeColor="text1"/>
          <w:bottom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F81BD" w:themeColor="accent1"/>
        </w:tcBorders>
      </w:tcPr>
    </w:tblStylePr>
    <w:tblStylePr w:type="lastRow">
      <w:rPr>
        <w:rFonts w:ascii="Arial" w:hAnsi="Arial" w:cs="Arial" w:eastAsia="Arial"/>
        <w:b/>
        <w:bCs/>
        <w:color w:val="1F497D" w:themeColor="text2"/>
      </w:rPr>
      <w:tblPr/>
      <w:tcPr>
        <w:tcBorders>
          <w:top w:val="single" w:sz="8" w:space="0" w:color="4F81BD" w:themeColor="accent1"/>
          <w:bottom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C0504D" w:themeColor="accent2"/>
        </w:tcBorders>
      </w:tcPr>
    </w:tblStylePr>
    <w:tblStylePr w:type="lastRow">
      <w:rPr>
        <w:rFonts w:ascii="Arial" w:hAnsi="Arial" w:cs="Arial" w:eastAsia="Arial"/>
        <w:b/>
        <w:bCs/>
        <w:color w:val="1F497D" w:themeColor="text2"/>
      </w:rPr>
      <w:tblPr/>
      <w:tcPr>
        <w:tcBorders>
          <w:top w:val="single" w:sz="8" w:space="0" w:color="C0504D" w:themeColor="accent2"/>
          <w:bottom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9BBB59" w:themeColor="accent3"/>
        </w:tcBorders>
      </w:tcPr>
    </w:tblStylePr>
    <w:tblStylePr w:type="lastRow">
      <w:rPr>
        <w:rFonts w:ascii="Arial" w:hAnsi="Arial" w:cs="Arial" w:eastAsia="Arial"/>
        <w:b/>
        <w:bCs/>
        <w:color w:val="1F497D" w:themeColor="text2"/>
      </w:rPr>
      <w:tblPr/>
      <w:tcPr>
        <w:tcBorders>
          <w:top w:val="single" w:sz="8" w:space="0" w:color="9BBB59" w:themeColor="accent3"/>
          <w:bottom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8064A2" w:themeColor="accent4"/>
        </w:tcBorders>
      </w:tcPr>
    </w:tblStylePr>
    <w:tblStylePr w:type="lastRow">
      <w:rPr>
        <w:rFonts w:ascii="Arial" w:hAnsi="Arial" w:cs="Arial" w:eastAsia="Arial"/>
        <w:b/>
        <w:bCs/>
        <w:color w:val="1F497D" w:themeColor="text2"/>
      </w:rPr>
      <w:tblPr/>
      <w:tcPr>
        <w:tcBorders>
          <w:top w:val="single" w:sz="8" w:space="0" w:color="8064A2" w:themeColor="accent4"/>
          <w:bottom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BACC6" w:themeColor="accent5"/>
        </w:tcBorders>
      </w:tcPr>
    </w:tblStylePr>
    <w:tblStylePr w:type="lastRow">
      <w:rPr>
        <w:rFonts w:ascii="Arial" w:hAnsi="Arial" w:cs="Arial" w:eastAsia="Arial"/>
        <w:b/>
        <w:bCs/>
        <w:color w:val="1F497D" w:themeColor="text2"/>
      </w:rPr>
      <w:tblPr/>
      <w:tcPr>
        <w:tcBorders>
          <w:top w:val="single" w:sz="8" w:space="0" w:color="4BACC6" w:themeColor="accent5"/>
          <w:bottom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F79646" w:themeColor="accent6"/>
        </w:tcBorders>
      </w:tcPr>
    </w:tblStylePr>
    <w:tblStylePr w:type="lastRow">
      <w:rPr>
        <w:rFonts w:ascii="Arial" w:hAnsi="Arial" w:cs="Arial" w:eastAsia="Arial"/>
        <w:b/>
        <w:bCs/>
        <w:color w:val="1F497D" w:themeColor="text2"/>
      </w:rPr>
      <w:tblPr/>
      <w:tcPr>
        <w:tcBorders>
          <w:top w:val="single" w:sz="8" w:space="0" w:color="F79646" w:themeColor="accent6"/>
          <w:bottom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404040" w:themeColor="tex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BA0CD" w:themeColor="accen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CF7B79" w:themeColor="accent2"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B3CC82" w:themeColor="accent3"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9F8AB9" w:themeColor="accent4"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8C0D4" w:themeColor="accent5"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F9B074" w:themeColor="accent6"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color w:val="000000" w:themeColor="text1"/>
      </w:rPr>
      <w:tblPr/>
      <w:tcPr>
        <w:shd w:val="clear" w:color="auto" w:fill="E6E6E6" w:themeFill="tex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color w:val="000000" w:themeColor="text1"/>
      </w:rPr>
      <w:tblPr/>
      <w:tcPr>
        <w:shd w:val="clear" w:color="auto" w:fill="EDF2F8" w:themeFill="accen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color w:val="000000" w:themeColor="text1"/>
      </w:rPr>
      <w:tblPr/>
      <w:tcPr>
        <w:shd w:val="clear" w:color="auto" w:fill="F8EDED" w:themeFill="accent2"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color w:val="000000" w:themeColor="text1"/>
      </w:rPr>
      <w:tblPr/>
      <w:tcPr>
        <w:shd w:val="clear" w:color="auto" w:fill="F5F8EE" w:themeFill="accent3"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color w:val="000000" w:themeColor="text1"/>
      </w:rPr>
      <w:tblPr/>
      <w:tcPr>
        <w:shd w:val="clear" w:color="auto" w:fill="F2EFF6" w:themeFill="accent4"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color w:val="000000" w:themeColor="text1"/>
      </w:rPr>
      <w:tblPr/>
      <w:tcPr>
        <w:shd w:val="clear" w:color="auto" w:fill="EDF6F9" w:themeFill="accent5"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color w:val="000000" w:themeColor="text1"/>
      </w:rPr>
      <w:tblPr/>
      <w:tcPr>
        <w:shd w:val="clear" w:color="auto" w:fill="FEF4EC" w:themeFill="accent6"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1">
    <w:name w:val="Colorful Shading Accent 1"/>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2">
    <w:name w:val="Colorful Shading Accent 2"/>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3">
    <w:name w:val="Colorful Shading Accent 3"/>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5">
    <w:name w:val="Colorful Shading Accent 5"/>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6">
    <w:name w:val="Colorful Shading Accent 6"/>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List">
    <w:name w:val="Colorful List"/>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w:hAnsi="Arial" w:cs="Arial" w:eastAsia="Arial"/>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w:hAnsi="Arial" w:cs="Arial" w:eastAsia="Arial"/>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w:hAnsi="Arial" w:cs="Arial" w:eastAsia="Arial"/>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w:hAnsi="Arial" w:cs="Arial" w:eastAsia="Arial"/>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Arial" w:hAnsi="Arial" w:cs="Arial" w:eastAsia="Arial"/>
        <w:b/>
        <w:bCs/>
      </w:rPr>
      <w:tblPr/>
      <w:tcPr>
        <w:shd w:val="clear" w:color="auto" w:fill="999999" w:themeFill="text1" w:themeFillTint="66"/>
      </w:tcPr>
    </w:tblStylePr>
    <w:tblStylePr w:type="lastRow">
      <w:rPr>
        <w:rFonts w:ascii="Arial" w:hAnsi="Arial" w:cs="Arial" w:eastAsia="Arial"/>
        <w:b/>
        <w:bCs/>
        <w:color w:val="000000" w:themeColor="text1"/>
      </w:rPr>
      <w:tblPr/>
      <w:tcPr>
        <w:shd w:val="clear" w:color="auto" w:fill="999999" w:themeFill="text1" w:themeFillTint="66"/>
      </w:tcPr>
    </w:tblStylePr>
    <w:tblStylePr w:type="firstCol">
      <w:rPr>
        <w:rFonts w:ascii="Arial" w:hAnsi="Arial" w:cs="Arial" w:eastAsia="Arial"/>
        <w:color w:val="FFFFFF" w:themeColor="background1"/>
      </w:rPr>
      <w:tblPr/>
      <w:tcPr>
        <w:shd w:val="clear" w:color="auto" w:fill="000000" w:themeFill="text1" w:themeFillShade="BF"/>
      </w:tcPr>
    </w:tblStylePr>
    <w:tblStylePr w:type="lastCol">
      <w:rPr>
        <w:rFonts w:ascii="Arial" w:hAnsi="Arial" w:cs="Arial" w:eastAsia="Arial"/>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Arial" w:hAnsi="Arial" w:cs="Arial" w:eastAsia="Arial"/>
        <w:b/>
        <w:bCs/>
      </w:rPr>
      <w:tblPr/>
      <w:tcPr>
        <w:shd w:val="clear" w:color="auto" w:fill="B8CCE4" w:themeFill="accent1" w:themeFillTint="66"/>
      </w:tcPr>
    </w:tblStylePr>
    <w:tblStylePr w:type="lastRow">
      <w:rPr>
        <w:rFonts w:ascii="Arial" w:hAnsi="Arial" w:cs="Arial" w:eastAsia="Arial"/>
        <w:b/>
        <w:bCs/>
        <w:color w:val="000000" w:themeColor="text1"/>
      </w:rPr>
      <w:tblPr/>
      <w:tcPr>
        <w:shd w:val="clear" w:color="auto" w:fill="B8CCE4" w:themeFill="accent1" w:themeFillTint="66"/>
      </w:tcPr>
    </w:tblStylePr>
    <w:tblStylePr w:type="firstCol">
      <w:rPr>
        <w:rFonts w:ascii="Arial" w:hAnsi="Arial" w:cs="Arial" w:eastAsia="Arial"/>
        <w:color w:val="FFFFFF" w:themeColor="background1"/>
      </w:rPr>
      <w:tblPr/>
      <w:tcPr>
        <w:shd w:val="clear" w:color="auto" w:fill="365F91" w:themeFill="accent1" w:themeFillShade="BF"/>
      </w:tcPr>
    </w:tblStylePr>
    <w:tblStylePr w:type="lastCol">
      <w:rPr>
        <w:rFonts w:ascii="Arial" w:hAnsi="Arial" w:cs="Arial" w:eastAsia="Arial"/>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Arial" w:hAnsi="Arial" w:cs="Arial" w:eastAsia="Arial"/>
        <w:b/>
        <w:bCs/>
      </w:rPr>
      <w:tblPr/>
      <w:tcPr>
        <w:shd w:val="clear" w:color="auto" w:fill="E5B8B7" w:themeFill="accent2" w:themeFillTint="66"/>
      </w:tcPr>
    </w:tblStylePr>
    <w:tblStylePr w:type="lastRow">
      <w:rPr>
        <w:rFonts w:ascii="Arial" w:hAnsi="Arial" w:cs="Arial" w:eastAsia="Arial"/>
        <w:b/>
        <w:bCs/>
        <w:color w:val="000000" w:themeColor="text1"/>
      </w:rPr>
      <w:tblPr/>
      <w:tcPr>
        <w:shd w:val="clear" w:color="auto" w:fill="E5B8B7" w:themeFill="accent2" w:themeFillTint="66"/>
      </w:tcPr>
    </w:tblStylePr>
    <w:tblStylePr w:type="firstCol">
      <w:rPr>
        <w:rFonts w:ascii="Arial" w:hAnsi="Arial" w:cs="Arial" w:eastAsia="Arial"/>
        <w:color w:val="FFFFFF" w:themeColor="background1"/>
      </w:rPr>
      <w:tblPr/>
      <w:tcPr>
        <w:shd w:val="clear" w:color="auto" w:fill="943634" w:themeFill="accent2" w:themeFillShade="BF"/>
      </w:tcPr>
    </w:tblStylePr>
    <w:tblStylePr w:type="lastCol">
      <w:rPr>
        <w:rFonts w:ascii="Arial" w:hAnsi="Arial" w:cs="Arial" w:eastAsia="Arial"/>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Arial" w:hAnsi="Arial" w:cs="Arial" w:eastAsia="Arial"/>
        <w:b/>
        <w:bCs/>
      </w:rPr>
      <w:tblPr/>
      <w:tcPr>
        <w:shd w:val="clear" w:color="auto" w:fill="D6E3BC" w:themeFill="accent3" w:themeFillTint="66"/>
      </w:tcPr>
    </w:tblStylePr>
    <w:tblStylePr w:type="lastRow">
      <w:rPr>
        <w:rFonts w:ascii="Arial" w:hAnsi="Arial" w:cs="Arial" w:eastAsia="Arial"/>
        <w:b/>
        <w:bCs/>
        <w:color w:val="000000" w:themeColor="text1"/>
      </w:rPr>
      <w:tblPr/>
      <w:tcPr>
        <w:shd w:val="clear" w:color="auto" w:fill="D6E3BC" w:themeFill="accent3" w:themeFillTint="66"/>
      </w:tcPr>
    </w:tblStylePr>
    <w:tblStylePr w:type="firstCol">
      <w:rPr>
        <w:rFonts w:ascii="Arial" w:hAnsi="Arial" w:cs="Arial" w:eastAsia="Arial"/>
        <w:color w:val="FFFFFF" w:themeColor="background1"/>
      </w:rPr>
      <w:tblPr/>
      <w:tcPr>
        <w:shd w:val="clear" w:color="auto" w:fill="76923C" w:themeFill="accent3" w:themeFillShade="BF"/>
      </w:tcPr>
    </w:tblStylePr>
    <w:tblStylePr w:type="lastCol">
      <w:rPr>
        <w:rFonts w:ascii="Arial" w:hAnsi="Arial" w:cs="Arial" w:eastAsia="Arial"/>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Arial" w:hAnsi="Arial" w:cs="Arial" w:eastAsia="Arial"/>
        <w:b/>
        <w:bCs/>
      </w:rPr>
      <w:tblPr/>
      <w:tcPr>
        <w:shd w:val="clear" w:color="auto" w:fill="CCC0D9" w:themeFill="accent4" w:themeFillTint="66"/>
      </w:tcPr>
    </w:tblStylePr>
    <w:tblStylePr w:type="lastRow">
      <w:rPr>
        <w:rFonts w:ascii="Arial" w:hAnsi="Arial" w:cs="Arial" w:eastAsia="Arial"/>
        <w:b/>
        <w:bCs/>
        <w:color w:val="000000" w:themeColor="text1"/>
      </w:rPr>
      <w:tblPr/>
      <w:tcPr>
        <w:shd w:val="clear" w:color="auto" w:fill="CCC0D9" w:themeFill="accent4" w:themeFillTint="66"/>
      </w:tcPr>
    </w:tblStylePr>
    <w:tblStylePr w:type="firstCol">
      <w:rPr>
        <w:rFonts w:ascii="Arial" w:hAnsi="Arial" w:cs="Arial" w:eastAsia="Arial"/>
        <w:color w:val="FFFFFF" w:themeColor="background1"/>
      </w:rPr>
      <w:tblPr/>
      <w:tcPr>
        <w:shd w:val="clear" w:color="auto" w:fill="5F497A" w:themeFill="accent4" w:themeFillShade="BF"/>
      </w:tcPr>
    </w:tblStylePr>
    <w:tblStylePr w:type="lastCol">
      <w:rPr>
        <w:rFonts w:ascii="Arial" w:hAnsi="Arial" w:cs="Arial" w:eastAsia="Arial"/>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Arial" w:hAnsi="Arial" w:cs="Arial" w:eastAsia="Arial"/>
        <w:b/>
        <w:bCs/>
      </w:rPr>
      <w:tblPr/>
      <w:tcPr>
        <w:shd w:val="clear" w:color="auto" w:fill="B6DDE8" w:themeFill="accent5" w:themeFillTint="66"/>
      </w:tcPr>
    </w:tblStylePr>
    <w:tblStylePr w:type="lastRow">
      <w:rPr>
        <w:rFonts w:ascii="Arial" w:hAnsi="Arial" w:cs="Arial" w:eastAsia="Arial"/>
        <w:b/>
        <w:bCs/>
        <w:color w:val="000000" w:themeColor="text1"/>
      </w:rPr>
      <w:tblPr/>
      <w:tcPr>
        <w:shd w:val="clear" w:color="auto" w:fill="B6DDE8" w:themeFill="accent5" w:themeFillTint="66"/>
      </w:tcPr>
    </w:tblStylePr>
    <w:tblStylePr w:type="firstCol">
      <w:rPr>
        <w:rFonts w:ascii="Arial" w:hAnsi="Arial" w:cs="Arial" w:eastAsia="Arial"/>
        <w:color w:val="FFFFFF" w:themeColor="background1"/>
      </w:rPr>
      <w:tblPr/>
      <w:tcPr>
        <w:shd w:val="clear" w:color="auto" w:fill="31849B" w:themeFill="accent5" w:themeFillShade="BF"/>
      </w:tcPr>
    </w:tblStylePr>
    <w:tblStylePr w:type="lastCol">
      <w:rPr>
        <w:rFonts w:ascii="Arial" w:hAnsi="Arial" w:cs="Arial" w:eastAsia="Arial"/>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Arial" w:hAnsi="Arial" w:cs="Arial" w:eastAsia="Arial"/>
        <w:b/>
        <w:bCs/>
      </w:rPr>
      <w:tblPr/>
      <w:tcPr>
        <w:shd w:val="clear" w:color="auto" w:fill="FBD4B4" w:themeFill="accent6" w:themeFillTint="66"/>
      </w:tcPr>
    </w:tblStylePr>
    <w:tblStylePr w:type="lastRow">
      <w:rPr>
        <w:rFonts w:ascii="Arial" w:hAnsi="Arial" w:cs="Arial" w:eastAsia="Arial"/>
        <w:b/>
        <w:bCs/>
        <w:color w:val="000000" w:themeColor="text1"/>
      </w:rPr>
      <w:tblPr/>
      <w:tcPr>
        <w:shd w:val="clear" w:color="auto" w:fill="FBD4B4" w:themeFill="accent6" w:themeFillTint="66"/>
      </w:tcPr>
    </w:tblStylePr>
    <w:tblStylePr w:type="firstCol">
      <w:rPr>
        <w:rFonts w:ascii="Arial" w:hAnsi="Arial" w:cs="Arial" w:eastAsia="Arial"/>
        <w:color w:val="FFFFFF" w:themeColor="background1"/>
      </w:rPr>
      <w:tblPr/>
      <w:tcPr>
        <w:shd w:val="clear" w:color="auto" w:fill="E36C0A" w:themeFill="accent6" w:themeFillShade="BF"/>
      </w:tcPr>
    </w:tblStylePr>
    <w:tblStylePr w:type="lastCol">
      <w:rPr>
        <w:rFonts w:ascii="Arial" w:hAnsi="Arial" w:cs="Arial" w:eastAsia="Arial"/>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and Risk Management: Final Reflection</dc:title>
  <dc:subject/>
  <dc:creator>Ian Stevens</dc:creator>
  <cp:keywords/>
  <dc:description>generated by python-docx</dc:description>
  <cp:lastModifiedBy/>
  <cp:revision>1</cp:revision>
  <dcterms:created xsi:type="dcterms:W3CDTF">2013-12-23T23:15:00Z</dcterms:created>
  <dcterms:modified xsi:type="dcterms:W3CDTF">2013-12-23T23:15:00Z</dcterms:modified>
  <cp:category/>
</cp:coreProperties>
</file>