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480" w:lineRule="auto"/>
      </w:pPr>
      <w:r>
        <w:t xml:space="preserve">Unit 1 Reflection: Definitions of Risk and the Risk Management Process</w:t>
      </w:r>
    </w:p>
    <w:p>
      <w:pPr>
        <w:spacing w:after="80" w:line="480" w:lineRule="auto"/>
      </w:pPr>
      <w:r>
        <w:rPr>
          <w:rFonts w:ascii="Arial" w:hAnsi="Arial" w:cs="Arial" w:eastAsia="Arial"/>
          <w:color w:val="555555"/>
        </w:rPr>
        <w:t xml:space="preserve">Ian Stevens  |  Security and Risk Management, October 2025</w:t>
      </w:r>
    </w:p>
    <w:p>
      <w:pPr>
        <w:spacing w:after="240" w:line="480" w:lineRule="auto"/>
      </w:pPr>
      <w:r>
        <w:rPr>
          <w:rFonts w:ascii="Arial" w:hAnsi="Arial" w:cs="Arial" w:eastAsia="Arial"/>
          <w:i/>
          <w:iCs/>
          <w:color w:val="555555"/>
        </w:rPr>
        <w:t xml:space="preserve">Structured using the What? So what? Now what? model (Rolfe, Freshwater and Jasper, 2001).</w:t>
      </w:r>
    </w:p>
    <w:p>
      <w:pPr>
        <w:pStyle w:val="Heading1"/>
        <w:spacing w:line="480" w:lineRule="auto"/>
      </w:pPr>
      <w:r>
        <w:t xml:space="preserve">What?</w:t>
      </w:r>
    </w:p>
    <w:p>
      <w:pPr>
        <w:spacing w:after="160" w:line="480" w:lineRule="auto"/>
        <w:jc w:val="both"/>
      </w:pPr>
      <w:r>
        <w:t xml:space="preserve">Unit 1 set out the vocabulary for the rest of the module: what risk means, how threats and vulnerabilities relate to it, and how the risk management process (RMP) fits together. The required reading was the illustrative cases in chapter 1 of Aven and Thekdi (2025), NIST’s original guide to risk management for IT systems (Stoneburner, Goguen and Feringa, 2002) and Hubbard’s (2020) chapter on the confusion about risk. Sutton’s (2021) opening chapter and Hancock et al.’s (2024) study of data and human rights at sea were recommended alongside them. Outside the reading, our team was formed for the Pampered Pets assessment and agreed its group contract, and I set up this section of my e-portfolio.</w:t>
      </w:r>
    </w:p>
    <w:p>
      <w:pPr>
        <w:pStyle w:val="Heading1"/>
        <w:spacing w:line="480" w:lineRule="auto"/>
      </w:pPr>
      <w:r>
        <w:t xml:space="preserve">So what?</w:t>
      </w:r>
    </w:p>
    <w:p>
      <w:pPr>
        <w:spacing w:after="160" w:line="480" w:lineRule="auto"/>
        <w:jc w:val="both"/>
      </w:pPr>
      <w:r>
        <w:t xml:space="preserve">I started the week thinking the definition of risk was settled: likelihood multiplied by impact. The readings did not agree with each other, and the disagreement turned out to matter. Stoneburner, Goguen and Feringa (2002) define risk as ‘the net negative impact of the exercise of a vulnerability, considering both the probability and the impact of occurrence’, and turn it into a three-by-three matrix in which a likelihood of 1.0, 0.5 or 0.1 is multiplied by an impact of 100, 50 or 10. ISO 31000 calls risk the ‘effect of uncertainty on objectives’ and allows that effect to be positive as well as negative (ISO, 2018). Aven and Thekdi (2025) describe risk through the consequences of an activity and the uncertainty about them, with probability as only one way of expressing that uncertainty. Hubbard (2020) has little patience with any of this. In the chapter before, he traces the muddle to the separate traditions of actuaries, ‘war quants’, economists and management consultants, each with its own vocabulary. His own answer is to keep ‘risk’ for possible losses, measured by their probability and size, and to call the wider idea uncertainty.</w:t>
      </w:r>
    </w:p>
    <w:p>
      <w:pPr>
        <w:spacing w:after="160" w:line="480" w:lineRule="auto"/>
        <w:jc w:val="both"/>
      </w:pPr>
      <w:r>
        <w:t xml:space="preserve">This could have stayed an academic argument, but the week’s reading and the team brief overlapped. One of Aven and Thekdi’s (2025) cases is a retailer moving most of its sales online and deciding whether to invest in its own supply chain, which is very close to the Pampered Pets brief we were given the same week. Through NIST’s or Hubbard’s definition, the brief’s possible 50% growth is not a risk at all, and only the possible 33% loss of customers is. Through ISO 31000 or Aven and Thekdi, both are effects of the same uncertainty about digitalisation and belong in the same analysis. Our team report took the narrow view without ever deciding to (Group 2, 2025). It named ISO 31000 as its method but kept the business case apart from the risk tables, as I noted in Unit 3. I do not think either definition is wrong. Hubbard’s is easier to measure for a single loss event, and the wider one suits a decision such as whether to digitalise at all. What I had not appreciated is that choosing a definition is itself a decision, and it should be made openly at the start of an assessment rather than slipping in by default.</w:t>
      </w:r>
    </w:p>
    <w:p>
      <w:pPr>
        <w:spacing w:after="160" w:line="480" w:lineRule="auto"/>
        <w:jc w:val="both"/>
      </w:pPr>
      <w:r>
        <w:t xml:space="preserve">The NIST guide gave me clear definitions of threat and vulnerability and a nine-step method running from system characterisation to results documentation. It was also withdrawn in 2012 and replaced by Revision 1, which covers risk assessment only and places it inside a wider organisational risk management process (Joint Task Force Transformation Initiative, 2012). I did not check this at the time. Our tutor later marked the team report down for sources that were too old for a technology topic (see Unit 6), and I can see the habit starting here: a reading being on the list made me trust it without asking whether it was still current. The guide admits that its risk levels ‘may be subjective’ (Stoneburner, Goguen and Feringa, 2002), yet the numbers in its matrix make the result look more precise than the judgements behind it. Sutton (2021) offered a useful correction to my starting point. His first chapter asks what information is, and who should be managing risk to it, before it reaches any threats, and it puts the legal framework into the context of risk from the outset. Our report never named the GDPR (see Unit 5), although the warning was in the first week’s reading.</w:t>
      </w:r>
    </w:p>
    <w:p>
      <w:pPr>
        <w:spacing w:after="160" w:line="480" w:lineRule="auto"/>
        <w:jc w:val="both"/>
      </w:pPr>
      <w:r>
        <w:t xml:space="preserve">Hancock et al. (2024) widened the question in a way I did not expect from a security module. Practitioners investigating labour abuse on fishing vessels described their field as ‘a data poor environment’: vessels without tracking equipment were invisible to monitoring systems, and the authors warn that biased data and tools can look objective to the people using them. NIST measures impact on the organisation. Hancock et al. show that the people who bear the harm may have the least say in the data used to assess it. Pampered Pets is a long way from a fishing fleet, but two points carry over. The customers whose details sit in emailed orders, and the staff, carry some of the consequences of a breach, not just the business. And a four-person shop has no incident history to speak of, so every likelihood in our assessment was a judgement and should have been presented as one.</w:t>
      </w:r>
    </w:p>
    <w:p>
      <w:pPr>
        <w:spacing w:after="160" w:line="480" w:lineRule="auto"/>
        <w:jc w:val="both"/>
      </w:pPr>
      <w:r>
        <w:t xml:space="preserve">The team project also began this week. We agreed the group contract and split the work by section, so that no one person carried the whole load or made the key decisions alone, and we could pool what each of us knew. Looking back, the contract was our first piece of risk treatment, because it dealt with the risk of uneven contribution before it arose. Splitting the work treated one risk and created another, though. Each section had an owner, but nobody owned the joins between them, and that is where the report’s weaknesses later turned up: a business case that never met the STRIDE table (Unit 3), and a risk rating that contradicted our own matrix without anyone questioning it (Unit 2).</w:t>
      </w:r>
    </w:p>
    <w:p>
      <w:pPr>
        <w:pStyle w:val="Heading1"/>
        <w:spacing w:line="480" w:lineRule="auto"/>
      </w:pPr>
      <w:r>
        <w:t xml:space="preserve">Now what?</w:t>
      </w:r>
    </w:p>
    <w:p>
      <w:pPr>
        <w:spacing w:after="160" w:line="480" w:lineRule="auto"/>
        <w:jc w:val="both"/>
      </w:pPr>
      <w:r>
        <w:t xml:space="preserve">Four changes follow. First, I will open every assessment with a short statement of the definition of risk it uses, why, and whether upside effects are in scope, so the reader knows what the ratings mean. Second, before relying on a standard or guide I will check its status and date and use the current version, citing an older one only when I need it for history. Third, I will ask who bears the consequences besides the organisation, and record which likelihoods rest on data and which on judgement. Fourth, in group work I will make sure someone owns the joins, with a final read-through of the whole document against its stated method before submission. I will also add the four definitions from this unit to the Module Wiki with their sources, so that the group works from shared terms. At work, I intend to try the first change on my next risk review by agreeing the definition with stakeholders before any scoring begins.</w:t>
      </w:r>
    </w:p>
    <w:p>
      <w:pPr>
        <w:pStyle w:val="Heading1"/>
        <w:spacing w:line="480" w:lineRule="auto"/>
      </w:pPr>
      <w:r>
        <w:t xml:space="preserve">References</w:t>
      </w:r>
    </w:p>
    <w:p>
      <w:pPr>
        <w:spacing w:after="120" w:line="480" w:lineRule="auto"/>
        <w:ind w:left="567" w:hanging="567"/>
      </w:pPr>
      <w:r>
        <w:rPr>
          <w:rFonts w:ascii="Arial" w:hAnsi="Arial" w:cs="Arial" w:eastAsia="Arial"/>
          <w:i w:val="false"/>
          <w:iCs w:val="false"/>
        </w:rPr>
        <w:t xml:space="preserve">Aven, T. and Thekdi, S. (2025) </w:t>
      </w:r>
      <w:r>
        <w:rPr>
          <w:rFonts w:ascii="Arial" w:hAnsi="Arial" w:cs="Arial" w:eastAsia="Arial"/>
          <w:i/>
          <w:iCs/>
        </w:rPr>
        <w:t xml:space="preserve">Risk science: an introduction</w:t>
      </w:r>
      <w:r>
        <w:rPr>
          <w:rFonts w:ascii="Arial" w:hAnsi="Arial" w:cs="Arial" w:eastAsia="Arial"/>
          <w:i w:val="false"/>
          <w:iCs w:val="false"/>
        </w:rPr>
        <w:t xml:space="preserve">. 2nd edn. Abingdon: Routledge. Chapter 1: Illustrative examples. Available at: </w:t>
      </w:r>
      <w:hyperlink w:history="1" r:id="rIdU1ref0">
        <w:r>
          <w:rPr>
            <w:rStyle w:val="Hyperlink"/>
            <w:rFonts w:ascii="Arial" w:hAnsi="Arial" w:cs="Arial" w:eastAsia="Arial"/>
          </w:rPr>
          <w:t xml:space="preserve">https://doi.org/10.4324/9781003494317</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Group 2 (2025) </w:t>
      </w:r>
      <w:r>
        <w:rPr>
          <w:rFonts w:ascii="Arial" w:hAnsi="Arial" w:cs="Arial" w:eastAsia="Arial"/>
          <w:i/>
          <w:iCs/>
        </w:rPr>
        <w:t>A risk assessment report for Pampered Pets based on IEC27005:2022 / ISO/IEC31000:2018</w:t>
      </w:r>
      <w:r>
        <w:rPr>
          <w:rFonts w:ascii="Arial" w:hAnsi="Arial" w:cs="Arial" w:eastAsia="Arial"/>
          <w:i w:val="false"/>
          <w:iCs w:val="false"/>
        </w:rPr>
        <w:t xml:space="preserve"> [sic]. Unpublished team report, Security and Risk Management module. University of Essex Online.</w:t>
      </w:r>
    </w:p>
    <w:p>
      <w:pPr>
        <w:spacing w:after="120" w:line="480" w:lineRule="auto"/>
        <w:ind w:left="567" w:hanging="567"/>
      </w:pPr>
      <w:r>
        <w:rPr>
          <w:rFonts w:ascii="Arial" w:hAnsi="Arial" w:cs="Arial" w:eastAsia="Arial"/>
          <w:i w:val="false"/>
          <w:iCs w:val="false"/>
        </w:rPr>
        <w:t xml:space="preserve">Hancock, J., Hui, R., Singh, J. and Mazumder, A. (2024) ‘Trouble at sea: data and digital technology challenges for maritime human rights concerns’, in </w:t>
      </w:r>
      <w:r>
        <w:rPr>
          <w:rFonts w:ascii="Arial" w:hAnsi="Arial" w:cs="Arial" w:eastAsia="Arial"/>
          <w:i/>
          <w:iCs/>
        </w:rPr>
        <w:t xml:space="preserve">Proceedings of the 2024 ACM Conference on Fairness, Accountability, and Transparency (FAccT ’24)</w:t>
      </w:r>
      <w:r>
        <w:rPr>
          <w:rFonts w:ascii="Arial" w:hAnsi="Arial" w:cs="Arial" w:eastAsia="Arial"/>
          <w:i w:val="false"/>
          <w:iCs w:val="false"/>
        </w:rPr>
        <w:t xml:space="preserve">. New York: ACM, pp. 988–1001. Available at: </w:t>
      </w:r>
      <w:hyperlink w:history="1" r:id="rIdU1ref1">
        <w:r>
          <w:rPr>
            <w:rStyle w:val="Hyperlink"/>
            <w:rFonts w:ascii="Arial" w:hAnsi="Arial" w:cs="Arial" w:eastAsia="Arial"/>
          </w:rPr>
          <w:t xml:space="preserve">https://doi.org/10.1145/3630106.3658950</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Hubbard, D.W. (2020) </w:t>
      </w:r>
      <w:r>
        <w:rPr>
          <w:rFonts w:ascii="Arial" w:hAnsi="Arial" w:cs="Arial" w:eastAsia="Arial"/>
          <w:i/>
          <w:iCs/>
        </w:rPr>
        <w:t xml:space="preserve">The failure of risk management: why it’s broken and how to fix it</w:t>
      </w:r>
      <w:r>
        <w:rPr>
          <w:rFonts w:ascii="Arial" w:hAnsi="Arial" w:cs="Arial" w:eastAsia="Arial"/>
          <w:i w:val="false"/>
          <w:iCs w:val="false"/>
        </w:rPr>
        <w:t xml:space="preserve">. 2nd edn. Hoboken, NJ: Wiley. Chapters 5 and 6. Available at: </w:t>
      </w:r>
      <w:hyperlink w:history="1" r:id="rIdU1ref2">
        <w:r>
          <w:rPr>
            <w:rStyle w:val="Hyperlink"/>
            <w:rFonts w:ascii="Arial" w:hAnsi="Arial" w:cs="Arial" w:eastAsia="Arial"/>
          </w:rPr>
          <w:t xml:space="preserve">https://www.oreilly.com/library/view/the-failure-of/9781119522034/</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ISO (2018) </w:t>
      </w:r>
      <w:r>
        <w:rPr>
          <w:rFonts w:ascii="Arial" w:hAnsi="Arial" w:cs="Arial" w:eastAsia="Arial"/>
          <w:i/>
          <w:iCs/>
        </w:rPr>
        <w:t xml:space="preserve">ISO 31000:2018 Risk management – Guidelines</w:t>
      </w:r>
      <w:r>
        <w:rPr>
          <w:rFonts w:ascii="Arial" w:hAnsi="Arial" w:cs="Arial" w:eastAsia="Arial"/>
          <w:i w:val="false"/>
          <w:iCs w:val="false"/>
        </w:rPr>
        <w:t xml:space="preserve">. Geneva: International Organization for Standardization. Available at: </w:t>
      </w:r>
      <w:hyperlink w:history="1" r:id="rIdU1ref3">
        <w:r>
          <w:rPr>
            <w:rStyle w:val="Hyperlink"/>
            <w:rFonts w:ascii="Arial" w:hAnsi="Arial" w:cs="Arial" w:eastAsia="Arial"/>
          </w:rPr>
          <w:t xml:space="preserve">https://www.iso.org/standard/65694.html</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Joint Task Force Transformation Initiative (2012) </w:t>
      </w:r>
      <w:r>
        <w:rPr>
          <w:rFonts w:ascii="Arial" w:hAnsi="Arial" w:cs="Arial" w:eastAsia="Arial"/>
          <w:i/>
          <w:iCs/>
        </w:rPr>
        <w:t xml:space="preserve">Guide for conducting risk assessments</w:t>
      </w:r>
      <w:r>
        <w:rPr>
          <w:rFonts w:ascii="Arial" w:hAnsi="Arial" w:cs="Arial" w:eastAsia="Arial"/>
          <w:i w:val="false"/>
          <w:iCs w:val="false"/>
        </w:rPr>
        <w:t xml:space="preserve">. NIST Special Publication 800-30 Revision 1. Gaithersburg, MD: National Institute of Standards and Technology. Available at: </w:t>
      </w:r>
      <w:hyperlink w:history="1" r:id="rIdU1ref4">
        <w:r>
          <w:rPr>
            <w:rStyle w:val="Hyperlink"/>
            <w:rFonts w:ascii="Arial" w:hAnsi="Arial" w:cs="Arial" w:eastAsia="Arial"/>
          </w:rPr>
          <w:t xml:space="preserve">https://doi.org/10.6028/NIST.SP.800-30r1</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Rolfe, G., Freshwater, D. and Jasper, M. (2001) </w:t>
      </w:r>
      <w:r>
        <w:rPr>
          <w:rFonts w:ascii="Arial" w:hAnsi="Arial" w:cs="Arial" w:eastAsia="Arial"/>
          <w:i/>
          <w:iCs/>
        </w:rPr>
        <w:t>Critical reflection for nursing and the helping professions: a user’s guide</w:t>
      </w:r>
      <w:r>
        <w:rPr>
          <w:rFonts w:ascii="Arial" w:hAnsi="Arial" w:cs="Arial" w:eastAsia="Arial"/>
          <w:i w:val="false"/>
          <w:iCs w:val="false"/>
        </w:rPr>
        <w:t xml:space="preserve">. Basingstoke: Palgrave Macmillan.</w:t>
      </w:r>
    </w:p>
    <w:p>
      <w:pPr>
        <w:spacing w:after="120" w:line="480" w:lineRule="auto"/>
        <w:ind w:left="567" w:hanging="567"/>
      </w:pPr>
      <w:r>
        <w:rPr>
          <w:rFonts w:ascii="Arial" w:hAnsi="Arial" w:cs="Arial" w:eastAsia="Arial"/>
          <w:i w:val="false"/>
          <w:iCs w:val="false"/>
        </w:rPr>
        <w:t xml:space="preserve">Stoneburner, G., Goguen, A. and Feringa, A. (2002) </w:t>
      </w:r>
      <w:r>
        <w:rPr>
          <w:rFonts w:ascii="Arial" w:hAnsi="Arial" w:cs="Arial" w:eastAsia="Arial"/>
          <w:i/>
          <w:iCs/>
        </w:rPr>
        <w:t xml:space="preserve">Risk management guide for information technology systems</w:t>
      </w:r>
      <w:r>
        <w:rPr>
          <w:rFonts w:ascii="Arial" w:hAnsi="Arial" w:cs="Arial" w:eastAsia="Arial"/>
          <w:i w:val="false"/>
          <w:iCs w:val="false"/>
        </w:rPr>
        <w:t xml:space="preserve">. NIST Special Publication 800-30. Gaithersburg, MD: National Institute of Standards and Technology. Available at: </w:t>
      </w:r>
      <w:hyperlink w:history="1" r:id="rIdU1ref5">
        <w:r>
          <w:rPr>
            <w:rStyle w:val="Hyperlink"/>
            <w:rFonts w:ascii="Arial" w:hAnsi="Arial" w:cs="Arial" w:eastAsia="Arial"/>
          </w:rPr>
          <w:t xml:space="preserve">https://doi.org/10.6028/NIST.SP.800-30</w:t>
        </w:r>
      </w:hyperlink>
      <w:r>
        <w:rPr>
          <w:rFonts w:ascii="Arial" w:hAnsi="Arial" w:cs="Arial" w:eastAsia="Arial"/>
          <w:i w:val="false"/>
          <w:iCs w:val="false"/>
        </w:rPr>
        <w:t xml:space="preserve"> (Accessed: 3 October 2026).</w:t>
      </w:r>
    </w:p>
    <w:p>
      <w:pPr>
        <w:spacing w:after="120" w:line="480" w:lineRule="auto"/>
        <w:ind w:left="567" w:hanging="567"/>
      </w:pPr>
      <w:r>
        <w:rPr>
          <w:rFonts w:ascii="Arial" w:hAnsi="Arial" w:cs="Arial" w:eastAsia="Arial"/>
          <w:i w:val="false"/>
          <w:iCs w:val="false"/>
        </w:rPr>
        <w:t xml:space="preserve">Sutton, D. (2021) </w:t>
      </w:r>
      <w:r>
        <w:rPr>
          <w:rFonts w:ascii="Arial" w:hAnsi="Arial" w:cs="Arial" w:eastAsia="Arial"/>
          <w:i/>
          <w:iCs/>
        </w:rPr>
        <w:t xml:space="preserve">Information risk management: a practitioner’s guide</w:t>
      </w:r>
      <w:r>
        <w:rPr>
          <w:rFonts w:ascii="Arial" w:hAnsi="Arial" w:cs="Arial" w:eastAsia="Arial"/>
          <w:i w:val="false"/>
          <w:iCs w:val="false"/>
        </w:rPr>
        <w:t xml:space="preserve">. 2nd edn. Swindon: BCS, The Chartered Institute for IT. Chapter 1: The need for information risk management. Available at: </w:t>
      </w:r>
      <w:hyperlink w:history="1" r:id="rIdU1ref6">
        <w:r>
          <w:rPr>
            <w:rStyle w:val="Hyperlink"/>
            <w:rFonts w:ascii="Arial" w:hAnsi="Arial" w:cs="Arial" w:eastAsia="Arial"/>
          </w:rPr>
          <w:t xml:space="preserve">https://www.oreilly.com/library/view/information-risk-management/9781780175751/</w:t>
        </w:r>
      </w:hyperlink>
      <w:r>
        <w:rPr>
          <w:rFonts w:ascii="Arial" w:hAnsi="Arial" w:cs="Arial" w:eastAsia="Arial"/>
          <w:i w:val="false"/>
          <w:iCs w:val="false"/>
        </w:rPr>
        <w:t xml:space="preserve"> (Accessed: 3 October 2026).</w:t>
      </w:r>
    </w:p>
    <w:sectPr>
      <w:footerReference w:type="default" r:id="rId7"/>
      <w:pgSz w:w="11906" w:h="16838"/>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sz w:val="24"/>
        <w:szCs w:val="24"/>
      </w:rPr>
    </w:rPrDefault>
    <w:pPrDefault>
      <w:pPr>
        <w:spacing w:line="480" w:lineRule="auto"/>
      </w:pPr>
    </w:pPrDefault>
  </w:docDefaults>
  <w:style w:type="paragraph" w:styleId="Title">
    <w:name w:val="Title"/>
    <w:basedOn w:val="Normal"/>
    <w:next w:val="Normal"/>
    <w:qFormat/>
    <w:rPr>
      <w:rFonts w:ascii="Arial" w:hAnsi="Arial" w:cs="Arial" w:eastAsia="Arial"/>
      <w:b/>
      <w:sz w:val="24"/>
      <w:szCs w:val="24"/>
    </w:rPr>
  </w:style>
  <w:style w:type="paragraph" w:styleId="Heading1">
    <w:name w:val="Heading 1"/>
    <w:basedOn w:val="Normal"/>
    <w:next w:val="Normal"/>
    <w:qFormat/>
    <w:rPr>
      <w:rFonts w:ascii="Arial" w:hAnsi="Arial" w:cs="Arial" w:eastAsia="Arial"/>
      <w:b/>
      <w:color w:val="2E74B5"/>
      <w:sz w:val="24"/>
      <w:szCs w:val="24"/>
    </w:rPr>
  </w:style>
  <w:style w:type="paragraph" w:styleId="Heading2">
    <w:name w:val="Heading 2"/>
    <w:basedOn w:val="Normal"/>
    <w:next w:val="Normal"/>
    <w:qFormat/>
    <w:rPr>
      <w:rFonts w:ascii="Arial" w:hAnsi="Arial" w:cs="Arial" w:eastAsia="Arial"/>
      <w:b/>
      <w:i/>
      <w:color w:val="2E74B5"/>
      <w:sz w:val="24"/>
      <w:szCs w:val="24"/>
    </w:rPr>
  </w:style>
  <w:style w:type="paragraph" w:styleId="Heading3">
    <w:name w:val="Heading 3"/>
    <w:basedOn w:val="Normal"/>
    <w:next w:val="Normal"/>
    <w:qFormat/>
    <w:rPr>
      <w:rFonts w:ascii="Arial" w:hAnsi="Arial" w:cs="Arial" w:eastAsia="Arial"/>
      <w:b/>
      <w:i/>
      <w:color w:val="1F4D78"/>
      <w:sz w:val="24"/>
      <w:szCs w:val="24"/>
    </w:rPr>
  </w:style>
  <w:style w:type="paragraph" w:styleId="Heading4">
    <w:name w:val="Heading 4"/>
    <w:basedOn w:val="Normal"/>
    <w:next w:val="Normal"/>
    <w:qFormat/>
    <w:rPr>
      <w:rFonts w:ascii="Arial" w:hAnsi="Arial" w:cs="Arial" w:eastAsia="Arial"/>
      <w:i/>
      <w:iCs/>
      <w:color w:val="2E74B5"/>
    </w:rPr>
  </w:style>
  <w:style w:type="paragraph" w:styleId="Heading5">
    <w:name w:val="Heading 5"/>
    <w:basedOn w:val="Normal"/>
    <w:next w:val="Normal"/>
    <w:qFormat/>
    <w:rPr>
      <w:rFonts w:ascii="Arial" w:hAnsi="Arial" w:cs="Arial" w:eastAsia="Arial"/>
      <w:color w:val="2E74B5"/>
    </w:rPr>
  </w:style>
  <w:style w:type="paragraph" w:styleId="Heading6">
    <w:name w:val="Heading 6"/>
    <w:basedOn w:val="Normal"/>
    <w:next w:val="Normal"/>
    <w:qFormat/>
    <w:rPr>
      <w:rFonts w:ascii="Arial" w:hAnsi="Arial" w:cs="Arial" w:eastAsia="Arial"/>
      <w:color w:val="1F4D78"/>
    </w:rPr>
  </w:style>
  <w:style w:type="paragraph" w:styleId="Strong">
    <w:name w:val="Strong"/>
    <w:basedOn w:val="Normal"/>
    <w:next w:val="Normal"/>
    <w:qFormat/>
    <w:rPr>
      <w:rFonts w:ascii="Arial" w:hAnsi="Arial" w:cs="Arial" w:eastAsia="Arial"/>
      <w:b/>
      <w:bCs/>
    </w:rPr>
  </w:style>
  <w:style w:type="paragraph" w:styleId="ListParagraph">
    <w:name w:val="List Paragraph"/>
    <w:basedOn w:val="Normal"/>
    <w:qFormat/>
  </w:style>
  <w:style w:type="character" w:styleId="Hyperlink">
    <w:name w:val="Hyperlink"/>
    <w:basedOn w:val="DefaultParagraphFont"/>
    <w:uiPriority w:val="99"/>
    <w:unhideWhenUsed/>
    <w:rPr>
      <w:rFonts w:ascii="Arial" w:hAnsi="Arial" w:cs="Arial" w:eastAsia="Arial"/>
      <w:color w:val="0563C1"/>
      <w:u w:val="single"/>
    </w:rPr>
  </w:style>
  <w:style w:type="character" w:styleId="FootnoteReference">
    <w:name w:val="footnote reference"/>
    <w:basedOn w:val="DefaultParagraphFont"/>
    <w:uiPriority w:val="99"/>
    <w:semiHidden/>
    <w:unhideWhenUsed/>
    <w:rPr>
      <w:rFonts w:ascii="Arial" w:hAnsi="Arial" w:cs="Arial" w:eastAsia="Arial"/>
      <w:vertAlign w:val="superscript"/>
    </w:rPr>
  </w:style>
  <w:style w:type="paragraph" w:styleId="FootnoteText">
    <w:name w:val="footnote text"/>
    <w:basedOn w:val="Normal"/>
    <w:link w:val="FootnoteTextChar"/>
    <w:uiPriority w:val="99"/>
    <w:semiHidden/>
    <w:unhideWhenUsed/>
    <w:pPr>
      <w:spacing w:after="0" w:line="480" w:lineRule="auto"/>
    </w:pPr>
    <w:rPr>
      <w:rFonts w:ascii="Arial" w:hAnsi="Arial" w:cs="Arial" w:eastAsia="Arial"/>
      <w:sz w:val="24"/>
      <w:szCs w:val="24"/>
    </w:rPr>
  </w:style>
  <w:style w:type="character" w:styleId="FootnoteTextChar">
    <w:name w:val="Footnote Text Char"/>
    <w:basedOn w:val="DefaultParagraphFont"/>
    <w:link w:val="FootnoteText"/>
    <w:uiPriority w:val="99"/>
    <w:semiHidden/>
    <w:unhideWhenUsed/>
    <w:rPr>
      <w:rFonts w:ascii="Arial" w:hAnsi="Arial" w:cs="Arial" w:eastAsia="Arial"/>
      <w:sz w:val="24"/>
      <w:szCs w:val="24"/>
    </w:rPr>
  </w:style>
  <w:style w:type="character" w:styleId="EndnoteReference">
    <w:name w:val="endnote reference"/>
    <w:basedOn w:val="DefaultParagraphFont"/>
    <w:uiPriority w:val="99"/>
    <w:semiHidden/>
    <w:unhideWhenUsed/>
    <w:rPr>
      <w:rFonts w:ascii="Arial" w:hAnsi="Arial" w:cs="Arial" w:eastAsia="Arial"/>
      <w:vertAlign w:val="superscript"/>
    </w:rPr>
  </w:style>
  <w:style w:type="paragraph" w:styleId="EndnoteText">
    <w:name w:val="endnote text"/>
    <w:basedOn w:val="Normal"/>
    <w:link w:val="EndnoteTextChar"/>
    <w:uiPriority w:val="99"/>
    <w:semiHidden/>
    <w:unhideWhenUsed/>
    <w:pPr>
      <w:spacing w:after="0" w:line="480" w:lineRule="auto"/>
    </w:pPr>
    <w:rPr>
      <w:rFonts w:ascii="Arial" w:hAnsi="Arial" w:cs="Arial" w:eastAsia="Arial"/>
      <w:sz w:val="24"/>
      <w:szCs w:val="24"/>
    </w:rPr>
  </w:style>
  <w:style w:type="character" w:styleId="EndnoteTextChar">
    <w:name w:val="Endnote Text Char"/>
    <w:basedOn w:val="DefaultParagraphFont"/>
    <w:link w:val="EndnoteText"/>
    <w:uiPriority w:val="99"/>
    <w:semiHidden/>
    <w:unhideWhenUsed/>
    <w:rPr>
      <w:rFonts w:ascii="Arial" w:hAnsi="Arial" w:cs="Arial" w:eastAsia="Arial"/>
      <w:sz w:val="24"/>
      <w:szCs w:val="24"/>
    </w:rPr>
  </w:style>
  <w:style w:type="paragraph" w:styleId="Title">
    <w:name w:val="Title"/>
    <w:basedOn w:val="Normal"/>
    <w:pPr>
      <w:spacing w:after="120"/>
    </w:pPr>
    <w:rPr>
      <w:rFonts w:ascii="Arial" w:hAnsi="Arial" w:cs="Arial" w:eastAsia="Arial"/>
      <w:b/>
      <w:bCs/>
      <w:color w:val="1F3864"/>
      <w:sz w:val="24"/>
      <w:szCs w:val="24"/>
    </w:rPr>
  </w:style>
  <w:style w:type="paragraph" w:styleId="Heading1">
    <w:name w:val="Heading 1"/>
    <w:basedOn w:val="Normal"/>
    <w:next w:val="Normal"/>
    <w:qFormat/>
    <w:pPr>
      <w:spacing w:after="120" w:before="240"/>
      <w:outlineLvl w:val="0"/>
    </w:pPr>
    <w:rPr>
      <w:rFonts w:ascii="Arial" w:hAnsi="Arial" w:cs="Arial" w:eastAsia="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fontTable" Target="fontTable.xml"/><Relationship Id="rIdU1ref0" Type="http://schemas.openxmlformats.org/officeDocument/2006/relationships/hyperlink" Target="https://doi.org/10.4324/9781003494317" TargetMode="External"/><Relationship Id="rIdU1ref1" Type="http://schemas.openxmlformats.org/officeDocument/2006/relationships/hyperlink" Target="https://doi.org/10.1145/3630106.3658950" TargetMode="External"/><Relationship Id="rIdU1ref2" Type="http://schemas.openxmlformats.org/officeDocument/2006/relationships/hyperlink" Target="https://www.oreilly.com/library/view/the-failure-of/9781119522034/" TargetMode="External"/><Relationship Id="rIdU1ref3" Type="http://schemas.openxmlformats.org/officeDocument/2006/relationships/hyperlink" Target="https://www.iso.org/standard/65694.html" TargetMode="External"/><Relationship Id="rIdU1ref4" Type="http://schemas.openxmlformats.org/officeDocument/2006/relationships/hyperlink" Target="https://doi.org/10.6028/NIST.SP.800-30r1" TargetMode="External"/><Relationship Id="rIdU1ref5" Type="http://schemas.openxmlformats.org/officeDocument/2006/relationships/hyperlink" Target="https://doi.org/10.6028/NIST.SP.800-30" TargetMode="External"/><Relationship Id="rIdU1ref6" Type="http://schemas.openxmlformats.org/officeDocument/2006/relationships/hyperlink" Target="https://www.oreilly.com/library/view/information-risk-management/9781780175751/" TargetMode="External"/><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2026-10-03T12:32:44.271Z</dcterms:created>
  <dcterms:modified xsi:type="dcterms:W3CDTF">2026-10-03T12:32:44.272Z</dcterms:modified>
</cp:coreProperties>
</file>

<file path=docProps/custom.xml><?xml version="1.0" encoding="utf-8"?>
<Properties xmlns="http://schemas.openxmlformats.org/officeDocument/2006/custom-properties" xmlns:vt="http://schemas.openxmlformats.org/officeDocument/2006/docPropsVTypes"/>
</file>