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Security and Risk Management: Final Reflection</w:t>
      </w:r>
    </w:p>
    <w:p>
      <w:pPr>
        <w:spacing w:line="480" w:lineRule="auto"/>
      </w:pPr>
      <w:r>
        <w:rPr>
          <w:rFonts w:ascii="Arial" w:hAnsi="Arial" w:cs="Arial" w:eastAsia="Arial"/>
          <w:b/>
        </w:rPr>
        <w:t xml:space="preserve">e-Portfolio: </w:t>
      </w:r>
      <w:r>
        <w:t>https://ianstagib.github.io/portfolio/SubPages/Security_Risk/srm_eportfolio_summary.html</w:t>
      </w:r>
    </w:p>
    <w:p>
      <w:pPr>
        <w:spacing w:line="480" w:lineRule="auto"/>
      </w:pPr>
      <w:r>
        <w:t>Ian Stevens  |  Security and Risk Management, October 2025  |  University of Essex Online</w:t>
      </w:r>
    </w:p>
    <w:p>
      <w:pPr>
        <w:spacing w:line="480" w:lineRule="auto"/>
      </w:pPr>
      <w:r>
        <w:rPr>
          <w:rFonts w:ascii="Arial" w:hAnsi="Arial" w:cs="Arial" w:eastAsia="Arial"/>
          <w:i/>
        </w:rPr>
        <w:t>Structured using the What? So what? Now what? model (Rolfe, Freshwater and Jasper, 2001). 933 words, excluding headings and references.</w:t>
      </w:r>
    </w:p>
    <w:p>
      <w:pPr>
        <w:pStyle w:val="Heading1"/>
        <w:spacing w:line="480" w:lineRule="auto"/>
      </w:pPr>
      <w:r>
        <w:t>What?</w:t>
      </w:r>
    </w:p>
    <w:p>
      <w:pPr>
        <w:spacing w:line="480" w:lineRule="auto"/>
      </w:pPr>
      <w:r>
        <w:t>Over twelve units the module moved from definitions of risk, through threat modelling, standards, quantitative modelling and business continuity, to emerging trends. The thread running through it was Pampered Pets, a four-person pet food retailer deciding whether to digitalise. Our team, Group 2, submitted an ISO 31000 and ISO/IEC 27005 risk assessment at the end of Unit 6, which scored 83 out of 100. My part was the digitalised data flow model, the STRIDE and threat tables, the methodology and standards section and the phased implementation plan, and I did the final edit and the references. My individual executive summary, submitted at the end of Unit 11, added Monte Carlo, fault tree and weighted-sum models and received 55%. Alongside both, I rebuilt published models in Python and then turned the same checks on my own work.</w:t>
      </w:r>
    </w:p>
    <w:p>
      <w:pPr>
        <w:pStyle w:val="Heading1"/>
        <w:spacing w:line="480" w:lineRule="auto"/>
      </w:pPr>
      <w:r>
        <w:t>So what?</w:t>
      </w:r>
    </w:p>
    <w:p>
      <w:pPr>
        <w:spacing w:line="480" w:lineRule="auto"/>
      </w:pPr>
      <w:r>
        <w:t>The biggest change was in what I think the risk management process produces. I started the module treating it as a way of producing ratings and ended it treating it as a way of making decisions under assumptions that have to be stated. Each step of the module exposed a hidden assumption in our work. Choosing a definition of risk decided whether the possible 50% growth counted at all (Unit 1). Our matrix rated regulatory non-compliance ‘High’ from a low likelihood and a medium impact, the inconsistency Cox (2008) describes (Unit 2). In my own model, the ±0.08% I reported turned out to be simulation error, not uncertainty, and the input that drove the result, how well staff detect a faulty batch, was a human behaviour I had assumed rather than measured (Units 7 and 11). The business impact analysis in Unit 9 showed that the active-active architecture I had recommended had no requirement behind it, and Unit 10 costed it at about £45,000 a year against about £3,400 for a design that met the requirements better. Rebuilding Aijaz and Nazir’s (2024) model in Unit 8, I found its faults faster than I had found my own, which was uncomfortable but taught me that reproducing a number is the minimum test before relying on it.</w:t>
      </w:r>
    </w:p>
    <w:p>
      <w:pPr>
        <w:spacing w:line="480" w:lineRule="auto"/>
      </w:pPr>
      <w:r>
        <w:t>My contribution to the team report carried several of the weaknesses I later criticised. I applied STRIDE once to the whole digital estate rather than to each element of the data flow diagram I had drawn, and the table had no row for elevation of privilege, although the status-quo assessment recorded poor access control. My standards section named ISO 31000 and ISO/IEC 27005, which are guidance, and not the UK GDPR or PCI DSS, which bind the business. Because I compiled the references, the tutor’s comment that ‘very recent sources are expected’ was partly about my work. The phased plan held up best: putting security policy, training and the network upgrade ahead of the website was the right order, and later units only added detail to it. The final edit did not catch the inconsistent rating, which suggests that I edited for length and presentation within the 1,000-word limit rather than checking the report against its own method.</w:t>
      </w:r>
    </w:p>
    <w:p>
      <w:pPr>
        <w:spacing w:line="480" w:lineRule="auto"/>
      </w:pPr>
      <w:r>
        <w:t>The team itself worked well. We agreed a group contract in the first week, divided the work evenly by section and worked without conflict. The weakness of that arrangement was structural, not personal: each section had an owner, but nobody owned the joins, so the business case never met the STRIDE table and the regulatory row was never challenged. We were also all from IT backgrounds, and nobody looked at the warehouse as an operations lead would, which is the multidisciplinary gap Ross, McEvilley and Oren (2016) warn about. The part of the experience I find hardest to accept is that the tutor’s feedback on the team report arrived seven weeks before I submitted my executive summary and named the same faults that cost me most marks: limitations not acknowledged and too few sources. I read it as feedback on the group’s writing rather than on my own habits.</w:t>
      </w:r>
    </w:p>
    <w:p>
      <w:pPr>
        <w:spacing w:line="480" w:lineRule="auto"/>
      </w:pPr>
      <w:r>
        <w:t>For my professional development the main gain is a habit, not a technique. By the end of the module every number I produced came with the formula behind it, a range, a sensitivity analysis and a check in code that others can rerun, and I had learned to read a standard, such as Cyber Essentials v3.3, for the evidence it demands rather than the topics it lists. The Unit 12 debate showed the habit working under pressure: while preparing, I found that the headline time-to-exploit figure mixes zero-days and n-days and conceded the point in the presentation rather than waiting to be challenged. That figure is the kind of metric Nicol et al. (2012) say must be ‘validated’ before it is trusted.</w:t>
      </w:r>
    </w:p>
    <w:p>
      <w:pPr>
        <w:pStyle w:val="Heading1"/>
        <w:spacing w:line="480" w:lineRule="auto"/>
      </w:pPr>
      <w:r>
        <w:t>Now what?</w:t>
      </w:r>
    </w:p>
    <w:p>
      <w:pPr>
        <w:spacing w:line="480" w:lineRule="auto"/>
      </w:pPr>
      <w:r>
        <w:t>Four actions follow, and the action plan in my e-portfolio sets out how I will check them. First, every assessment I lead will open with the definition of risk in use, the assumptions to be confirmed with the client and a register of the obligations that apply. Second, every figure I report will state what it measures, its range and the date of its source, and will be calculated in code. Third, in team work I will propose an integrator who reviews the whole document against its stated method before submission, and I will keep a log of feedback received so that comments on one piece are applied to the next. Fourth, at work I will try the first two on my next risk review and start a register of automated security rules, each with a named owner, because the Unit 12 work showed that delegated decisions are where risk will increasingly sit.</w:t>
      </w:r>
    </w:p>
    <w:p>
      <w:pPr>
        <w:pStyle w:val="Heading1"/>
        <w:spacing w:line="480" w:lineRule="auto"/>
      </w:pPr>
      <w:r>
        <w:t>References</w:t>
      </w:r>
    </w:p>
    <w:p>
      <w:pPr>
        <w:spacing w:line="480" w:lineRule="auto"/>
      </w:pPr>
      <w:r>
        <w:rPr>
          <w:rFonts w:ascii="Arial" w:hAnsi="Arial" w:cs="Arial" w:eastAsia="Arial"/>
        </w:rPr>
        <w:t xml:space="preserve">Aijaz, M. and Nazir, M. (2024) ‘Modelling and analysis of social engineering threats using the attack tree and the Markov model’, </w:t>
      </w:r>
      <w:r>
        <w:rPr>
          <w:rFonts w:ascii="Arial" w:hAnsi="Arial" w:cs="Arial" w:eastAsia="Arial"/>
          <w:i/>
        </w:rPr>
        <w:t>International Journal of Information Technology</w:t>
      </w:r>
      <w:r>
        <w:rPr>
          <w:rFonts w:ascii="Arial" w:hAnsi="Arial" w:cs="Arial" w:eastAsia="Arial"/>
        </w:rPr>
        <w:t xml:space="preserve">, 16(2), pp. 1231–1238. Available at: </w:t>
      </w:r>
      <w:r>
        <w:rPr>
          <w:rFonts w:ascii="Arial" w:hAnsi="Arial" w:cs="Arial" w:eastAsia="Arial"/>
        </w:rPr>
        <w:t>https://doi.org/10.1007/s41870-023-01540-z</w:t>
      </w:r>
      <w:r>
        <w:rPr>
          <w:rFonts w:ascii="Arial" w:hAnsi="Arial" w:cs="Arial" w:eastAsia="Arial"/>
        </w:rPr>
        <w:t xml:space="preserve"> (Accessed: 3 October 2026).</w:t>
      </w:r>
    </w:p>
    <w:p>
      <w:pPr>
        <w:spacing w:line="480" w:lineRule="auto"/>
      </w:pPr>
      <w:r>
        <w:rPr>
          <w:rFonts w:ascii="Arial" w:hAnsi="Arial" w:cs="Arial" w:eastAsia="Arial"/>
        </w:rPr>
        <w:t xml:space="preserve">Cox, L.A. (2008) ‘What’s wrong with risk matrices?’, </w:t>
      </w:r>
      <w:r>
        <w:rPr>
          <w:rFonts w:ascii="Arial" w:hAnsi="Arial" w:cs="Arial" w:eastAsia="Arial"/>
          <w:i/>
        </w:rPr>
        <w:t>Risk Analysis</w:t>
      </w:r>
      <w:r>
        <w:rPr>
          <w:rFonts w:ascii="Arial" w:hAnsi="Arial" w:cs="Arial" w:eastAsia="Arial"/>
        </w:rPr>
        <w:t xml:space="preserve">, 28(2), pp. 497–512. Available at: </w:t>
      </w:r>
      <w:r>
        <w:rPr>
          <w:rFonts w:ascii="Arial" w:hAnsi="Arial" w:cs="Arial" w:eastAsia="Arial"/>
        </w:rPr>
        <w:t>https://doi.org/10.1111/j.1539-6924.2008.01030.x</w:t>
      </w:r>
      <w:r>
        <w:rPr>
          <w:rFonts w:ascii="Arial" w:hAnsi="Arial" w:cs="Arial" w:eastAsia="Arial"/>
        </w:rPr>
        <w:t xml:space="preserve"> (Accessed: 3 October 2026).</w:t>
      </w:r>
    </w:p>
    <w:p>
      <w:pPr>
        <w:spacing w:line="480" w:lineRule="auto"/>
      </w:pPr>
      <w:r>
        <w:rPr>
          <w:rFonts w:ascii="Arial" w:hAnsi="Arial" w:cs="Arial" w:eastAsia="Arial"/>
        </w:rPr>
        <w:t xml:space="preserve">Group 2 (2025) </w:t>
      </w:r>
      <w:r>
        <w:rPr>
          <w:rFonts w:ascii="Arial" w:hAnsi="Arial" w:cs="Arial" w:eastAsia="Arial"/>
          <w:i/>
        </w:rPr>
        <w:t>A risk assessment report for Pampered Pets based on ISO/IEC 27005:2022 and ISO 31000:2018</w:t>
      </w:r>
      <w:r>
        <w:rPr>
          <w:rFonts w:ascii="Arial" w:hAnsi="Arial" w:cs="Arial" w:eastAsia="Arial"/>
        </w:rPr>
        <w:t>. Unpublished team report, Security and Risk Management module. University of Essex Online.</w:t>
      </w:r>
    </w:p>
    <w:p>
      <w:pPr>
        <w:spacing w:line="480" w:lineRule="auto"/>
      </w:pPr>
      <w:r>
        <w:rPr>
          <w:rFonts w:ascii="Arial" w:hAnsi="Arial" w:cs="Arial" w:eastAsia="Arial"/>
        </w:rPr>
        <w:t xml:space="preserve">Nicol, D.M., Sanders, W.H., Scherlis, W.L. and Williams, L.A. (2012) </w:t>
      </w:r>
      <w:r>
        <w:rPr>
          <w:rFonts w:ascii="Arial" w:hAnsi="Arial" w:cs="Arial" w:eastAsia="Arial"/>
          <w:i/>
        </w:rPr>
        <w:t>Science of security hard problems: a lablet perspective</w:t>
      </w:r>
      <w:r>
        <w:rPr>
          <w:rFonts w:ascii="Arial" w:hAnsi="Arial" w:cs="Arial" w:eastAsia="Arial"/>
        </w:rPr>
        <w:t xml:space="preserve">. Science of Security Virtual Organization, 27 November. Available at: </w:t>
      </w:r>
      <w:r>
        <w:rPr>
          <w:rFonts w:ascii="Arial" w:hAnsi="Arial" w:cs="Arial" w:eastAsia="Arial"/>
        </w:rPr>
        <w:t>https://sos-vo.org/node/6394</w:t>
      </w:r>
      <w:r>
        <w:rPr>
          <w:rFonts w:ascii="Arial" w:hAnsi="Arial" w:cs="Arial" w:eastAsia="Arial"/>
        </w:rPr>
        <w:t xml:space="preserve"> (Accessed: 3 October 2026).</w:t>
      </w:r>
    </w:p>
    <w:p>
      <w:pPr>
        <w:spacing w:line="480" w:lineRule="auto"/>
      </w:pPr>
      <w:r>
        <w:rPr>
          <w:rFonts w:ascii="Arial" w:hAnsi="Arial" w:cs="Arial" w:eastAsia="Arial"/>
        </w:rPr>
        <w:t xml:space="preserve">Rolfe, G., Freshwater, D. and Jasper, M. (2001) </w:t>
      </w:r>
      <w:r>
        <w:rPr>
          <w:rFonts w:ascii="Arial" w:hAnsi="Arial" w:cs="Arial" w:eastAsia="Arial"/>
          <w:i/>
        </w:rPr>
        <w:t>Critical reflection for nursing and the helping professions: a user’s guide</w:t>
      </w:r>
      <w:r>
        <w:rPr>
          <w:rFonts w:ascii="Arial" w:hAnsi="Arial" w:cs="Arial" w:eastAsia="Arial"/>
        </w:rPr>
        <w:t>. Basingstoke: Palgrave Macmillan.</w:t>
      </w:r>
    </w:p>
    <w:p>
      <w:pPr>
        <w:spacing w:line="480" w:lineRule="auto"/>
      </w:pPr>
      <w:r>
        <w:rPr>
          <w:rFonts w:ascii="Arial" w:hAnsi="Arial" w:cs="Arial" w:eastAsia="Arial"/>
        </w:rPr>
        <w:t xml:space="preserve">Ross, R., McEvilley, M. and Oren, J.C. (2016) </w:t>
      </w:r>
      <w:r>
        <w:rPr>
          <w:rFonts w:ascii="Arial" w:hAnsi="Arial" w:cs="Arial" w:eastAsia="Arial"/>
          <w:i/>
        </w:rPr>
        <w:t>Systems security engineering: considerations for a multidisciplinary approach in the engineering of trustworthy secure systems</w:t>
      </w:r>
      <w:r>
        <w:rPr>
          <w:rFonts w:ascii="Arial" w:hAnsi="Arial" w:cs="Arial" w:eastAsia="Arial"/>
        </w:rPr>
        <w:t xml:space="preserve">. NIST Special Publication 800-160 (withdrawn 21 March 2018 and superseded by SP 800-160 Vol. 1). Gaithersburg, MD: National Institute of Standards and Technology. Available at: </w:t>
      </w:r>
      <w:r>
        <w:rPr>
          <w:rFonts w:ascii="Arial" w:hAnsi="Arial" w:cs="Arial" w:eastAsia="Arial"/>
        </w:rPr>
        <w:t>https://doi.org/10.6028/NIST.SP.800-160</w:t>
      </w:r>
      <w:r>
        <w:rPr>
          <w:rFonts w:ascii="Arial" w:hAnsi="Arial" w:cs="Arial" w:eastAsia="Arial"/>
        </w:rPr>
        <w:t xml:space="preserve"> (Accessed: 3 October 2026).</w:t>
      </w:r>
    </w:p>
    <w:p>
      <w:pPr>
        <w:spacing w:line="480" w:lineRule="auto"/>
      </w:pPr>
      <w:r>
        <w:rPr>
          <w:rFonts w:ascii="Arial" w:hAnsi="Arial" w:cs="Arial" w:eastAsia="Arial"/>
        </w:rPr>
        <w:t xml:space="preserve">Stevens, I. (2026) </w:t>
      </w:r>
      <w:r>
        <w:rPr>
          <w:rFonts w:ascii="Arial" w:hAnsi="Arial" w:cs="Arial" w:eastAsia="Arial"/>
          <w:i/>
        </w:rPr>
        <w:t>Quantitative risk assessment and digital resilience strategy for Pampered Pets: executive summary</w:t>
      </w:r>
      <w:r>
        <w:rPr>
          <w:rFonts w:ascii="Arial" w:hAnsi="Arial" w:cs="Arial" w:eastAsia="Arial"/>
        </w:rPr>
        <w:t>. Unpublished assignment, Security and Risk Management module. University of Essex Online.</w:t>
      </w:r>
    </w:p>
    <w:sectPr w:rsidR="00FC693F" w:rsidRPr="0006063C" w:rsidSect="00034616">
      <w:headerReference w:type="default" r:id="rId13"/>
      <w:footerReference w:type="default" r:id="rId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Arial" w:hAnsi="Arial" w:cs="Arial" w:eastAsia="Arial"/>
        <w:sz w:val="24"/>
        <w:szCs w:val="24"/>
      </w:rPr>
      <w:fldChar w:fldCharType="begin"/>
    </w:r>
    <w:r>
      <w:rPr>
        <w:rFonts w:ascii="Arial" w:hAnsi="Arial" w:cs="Arial" w:eastAsia="Arial"/>
        <w:sz w:val="24"/>
        <w:szCs w:val="24"/>
      </w:rPr>
      <w:instrText xml:space="preserve"> PAGE </w:instrText>
    </w:r>
    <w:r>
      <w:rPr>
        <w:rFonts w:ascii="Arial" w:hAnsi="Arial" w:cs="Arial" w:eastAsia="Arial"/>
        <w:sz w:val="24"/>
        <w:szCs w:val="24"/>
      </w:rPr>
      <w:fldChar w:fldCharType="separate"/>
    </w:r>
    <w:r>
      <w:rPr>
        <w:rFonts w:ascii="Arial" w:hAnsi="Arial" w:cs="Arial" w:eastAsia="Arial"/>
        <w:sz w:val="24"/>
        <w:szCs w:val="24"/>
      </w:rPr>
      <w:t>1</w:t>
    </w:r>
    <w:r>
      <w:rPr>
        <w:rFonts w:ascii="Arial" w:hAnsi="Arial" w:cs="Arial" w:eastAsia="Arial"/>
        <w:sz w:val="24"/>
        <w:szCs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pPr>
    <w:r>
      <w:t>https://ianstagib.github.io/portfolio/SubPages/Security_Risk/srm_eportfolio_summary.html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4"/>
        <w:szCs w:val="24"/>
        <w:lang w:val="en-US" w:eastAsia="en-US" w:bidi="ar-SA"/>
      </w:rPr>
    </w:rPrDefault>
    <w:pPrDefault>
      <w:pPr>
        <w:spacing w:after="200"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8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i/>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i/>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4"/>
      <w:szCs w:val="24"/>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Arial" w:hAnsi="Arial" w:cs="Arial" w:eastAsia="Arial"/>
      <w:b/>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s="Arial" w:eastAsia="Arial"/>
      <w:sz w:val="24"/>
      <w:szCs w:val="24"/>
    </w:rPr>
  </w:style>
  <w:style w:type="character" w:customStyle="1" w:styleId="BodyText3Char">
    <w:name w:val="Body Text 3 Char"/>
    <w:basedOn w:val="DefaultParagraphFont"/>
    <w:link w:val="BodyText3"/>
    <w:uiPriority w:val="99"/>
    <w:rsid w:val="00AA1D8D"/>
    <w:rPr>
      <w:rFonts w:ascii="Arial" w:hAnsi="Arial" w:cs="Arial" w:eastAsia="Arial"/>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4"/>
      <w:szCs w:val="24"/>
    </w:rPr>
  </w:style>
  <w:style w:type="character" w:customStyle="1" w:styleId="MacroTextChar">
    <w:name w:val="Macro Text Char"/>
    <w:basedOn w:val="DefaultParagraphFont"/>
    <w:link w:val="MacroText"/>
    <w:uiPriority w:val="99"/>
    <w:rsid w:val="0029639D"/>
    <w:rPr>
      <w:rFonts w:ascii="Arial" w:hAnsi="Arial" w:cs="Arial" w:eastAsia="Arial"/>
      <w:sz w:val="24"/>
      <w:szCs w:val="24"/>
    </w:rPr>
  </w:style>
  <w:style w:type="paragraph" w:styleId="Quote">
    <w:name w:val="Quote"/>
    <w:basedOn w:val="Normal"/>
    <w:next w:val="Normal"/>
    <w:link w:val="QuoteChar"/>
    <w:uiPriority w:val="29"/>
    <w:qFormat/>
    <w:rsid w:val="00FC693F"/>
    <w:rPr>
      <w:rFonts w:ascii="Arial" w:hAnsi="Arial" w:cs="Arial" w:eastAsia="Arial"/>
      <w:i/>
      <w:iCs/>
      <w:color w:val="000000" w:themeColor="text1"/>
    </w:rPr>
  </w:style>
  <w:style w:type="character" w:customStyle="1" w:styleId="QuoteChar">
    <w:name w:val="Quote Char"/>
    <w:basedOn w:val="DefaultParagraphFont"/>
    <w:link w:val="Quote"/>
    <w:uiPriority w:val="29"/>
    <w:rsid w:val="00FC693F"/>
    <w:rPr>
      <w:rFonts w:ascii="Arial" w:hAnsi="Arial" w:cs="Arial" w:eastAsia="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4"/>
      <w:szCs w:val="24"/>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480" w:lineRule="auto"/>
    </w:pPr>
    <w:rPr>
      <w:rFonts w:ascii="Arial" w:hAnsi="Arial" w:cs="Arial" w:eastAsia="Arial"/>
      <w:b/>
      <w:bCs/>
      <w:color w:val="4F81BD" w:themeColor="accent1"/>
      <w:sz w:val="24"/>
      <w:szCs w:val="24"/>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themeColor="accent1"/>
    </w:rPr>
  </w:style>
  <w:style w:type="character" w:styleId="SubtleEmphasis">
    <w:name w:val="Subtle Emphasis"/>
    <w:basedOn w:val="DefaultParagraphFont"/>
    <w:uiPriority w:val="19"/>
    <w:qFormat/>
    <w:rsid w:val="00FC693F"/>
    <w:rPr>
      <w:rFonts w:ascii="Arial" w:hAnsi="Arial" w:cs="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cs="Arial" w:eastAsia="Arial"/>
      <w:b/>
      <w:bCs/>
      <w:i/>
      <w:iCs/>
      <w:color w:val="4F81BD" w:themeColor="accent1"/>
    </w:rPr>
  </w:style>
  <w:style w:type="character" w:styleId="SubtleReference">
    <w:name w:val="Subtle Reference"/>
    <w:basedOn w:val="DefaultParagraphFont"/>
    <w:uiPriority w:val="31"/>
    <w:qFormat/>
    <w:rsid w:val="00FC693F"/>
    <w:rPr>
      <w:rFonts w:ascii="Arial" w:hAnsi="Arial" w:cs="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48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pPr>
    <w:rPr>
      <w:rFonts w:ascii="Arial" w:hAnsi="Arial" w:cs="Arial" w:eastAsia="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pPr>
    <w:rPr>
      <w:rFonts w:ascii="Arial" w:hAnsi="Arial" w:cs="Arial" w:eastAsia="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pPr>
    <w:rPr>
      <w:rFonts w:ascii="Arial" w:hAnsi="Arial" w:cs="Arial" w:eastAsia="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pPr>
    <w:rPr>
      <w:rFonts w:ascii="Arial" w:hAnsi="Arial" w:cs="Arial" w:eastAsia="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pPr>
    <w:rPr>
      <w:rFonts w:ascii="Arial" w:hAnsi="Arial" w:cs="Arial" w:eastAsia="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pPr>
    <w:rPr>
      <w:rFonts w:ascii="Arial" w:hAnsi="Arial" w:cs="Arial" w:eastAsia="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pPr>
    <w:rPr>
      <w:rFonts w:ascii="Arial" w:hAnsi="Arial" w:cs="Arial" w:eastAsia="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hAnsi="Arial" w:cs="Arial" w:eastAsia="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hAnsi="Arial" w:cs="Arial" w:eastAsia="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hAnsi="Arial" w:cs="Arial" w:eastAsia="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hAnsi="Arial" w:cs="Arial" w:eastAsia="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hAnsi="Arial" w:cs="Arial" w:eastAsia="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hAnsi="Arial" w:cs="Arial" w:eastAsia="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hAnsi="Arial" w:cs="Arial" w:eastAsia="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hAnsi="Arial" w:cs="Arial" w:eastAsia="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hAnsi="Arial" w:cs="Arial" w:eastAsia="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hAnsi="Arial" w:cs="Arial" w:eastAsia="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hAnsi="Arial" w:cs="Arial" w:eastAsia="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hAnsi="Arial" w:cs="Arial" w:eastAsia="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rFonts w:ascii="Arial" w:hAnsi="Arial" w:cs="Arial" w:eastAsia="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rFonts w:ascii="Arial" w:hAnsi="Arial" w:cs="Arial" w:eastAsia="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rFonts w:ascii="Arial" w:hAnsi="Arial" w:cs="Arial" w:eastAsia="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rFonts w:ascii="Arial" w:hAnsi="Arial" w:cs="Arial" w:eastAsia="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rFonts w:ascii="Arial" w:hAnsi="Arial" w:cs="Arial" w:eastAsia="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rFonts w:ascii="Arial" w:hAnsi="Arial" w:cs="Arial" w:eastAsia="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rFonts w:ascii="Arial" w:hAnsi="Arial" w:cs="Arial" w:eastAsia="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Arial" w:hAnsi="Arial" w:cs="Arial" w:eastAsia="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404040" w:themeColor="tex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BA0CD" w:themeColor="accent1"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CF7B79" w:themeColor="accent2"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B3CC82" w:themeColor="accent3"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9F8AB9" w:themeColor="accent4"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78C0D4" w:themeColor="accent5"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rPr>
    </w:tblStylePr>
    <w:tblStylePr w:type="lastRow">
      <w:rPr>
        <w:rFonts w:ascii="Arial" w:hAnsi="Arial" w:cs="Arial" w:eastAsia="Arial"/>
        <w:b/>
        <w:bCs/>
      </w:rPr>
      <w:tblPr/>
      <w:tcPr>
        <w:tcBorders>
          <w:top w:val="single" w:sz="18" w:space="0" w:color="F9B074" w:themeColor="accent6" w:themeTint="BF"/>
        </w:tcBorders>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color w:val="000000" w:themeColor="text1"/>
      </w:rPr>
      <w:tblPr/>
      <w:tcPr>
        <w:shd w:val="clear" w:color="auto" w:fill="E6E6E6" w:themeFill="tex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color w:val="000000" w:themeColor="text1"/>
      </w:rPr>
      <w:tblPr/>
      <w:tcPr>
        <w:shd w:val="clear" w:color="auto" w:fill="EDF2F8" w:themeFill="accent1"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color w:val="000000" w:themeColor="text1"/>
      </w:rPr>
      <w:tblPr/>
      <w:tcPr>
        <w:shd w:val="clear" w:color="auto" w:fill="F8EDED" w:themeFill="accent2"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color w:val="000000" w:themeColor="text1"/>
      </w:rPr>
      <w:tblPr/>
      <w:tcPr>
        <w:shd w:val="clear" w:color="auto" w:fill="F5F8EE" w:themeFill="accent3"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color w:val="000000" w:themeColor="text1"/>
      </w:rPr>
      <w:tblPr/>
      <w:tcPr>
        <w:shd w:val="clear" w:color="auto" w:fill="F2EFF6" w:themeFill="accent4"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color w:val="000000" w:themeColor="text1"/>
      </w:rPr>
      <w:tblPr/>
      <w:tcPr>
        <w:shd w:val="clear" w:color="auto" w:fill="EDF6F9" w:themeFill="accent5"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color w:val="000000" w:themeColor="text1"/>
      </w:rPr>
      <w:tblPr/>
      <w:tcPr>
        <w:shd w:val="clear" w:color="auto" w:fill="FEF4EC" w:themeFill="accent6" w:themeFillTint="19"/>
      </w:tcPr>
    </w:tblStylePr>
    <w:tblStylePr w:type="lastRow">
      <w:rPr>
        <w:rFonts w:ascii="Arial" w:hAnsi="Arial" w:cs="Arial" w:eastAsia="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hAnsi="Arial" w:cs="Arial" w:eastAsia="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cs="Arial" w:eastAsia="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Arial" w:hAnsi="Arial" w:cs="Arial" w:eastAsia="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hAnsi="Arial" w:cs="Arial" w:eastAsia="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hAnsi="Arial" w:cs="Arial" w:eastAsia="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hAnsi="Arial" w:cs="Arial" w:eastAsia="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pPr>
    <w:rPr>
      <w:rFonts w:ascii="Arial" w:hAnsi="Arial" w:cs="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Arial" w:hAnsi="Arial" w:cs="Arial" w:eastAsia="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1">
    <w:name w:val="Colorful Shading Accent 1"/>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2">
    <w:name w:val="Colorful Shading Accent 2"/>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3">
    <w:name w:val="Colorful Shading Accent 3"/>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5">
    <w:name w:val="Colorful Shading Accent 5"/>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Shading-Accent6">
    <w:name w:val="Colorful Shading Accent 6"/>
    <w:basedOn w:val="TableNormal"/>
    <w:uiPriority w:val="71"/>
    <w:rsid w:val="00CB0664"/>
    <w:pPr>
      <w:spacing w:after="0" w:line="480" w:lineRule="auto"/>
    </w:pPr>
    <w:rPr>
      <w:rFonts w:ascii="Arial" w:hAnsi="Arial" w:cs="Arial" w:eastAsia="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hAnsi="Arial" w:cs="Arial" w:eastAsia="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hAnsi="Arial" w:cs="Arial" w:eastAsia="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hAnsi="Arial" w:cs="Arial" w:eastAsia="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hAnsi="Arial" w:cs="Arial" w:eastAsia="Arial"/>
        <w:color w:val="000000" w:themeColor="text1"/>
      </w:rPr>
    </w:tblStylePr>
    <w:tblStylePr w:type="nwCell">
      <w:rPr>
        <w:rFonts w:ascii="Arial" w:hAnsi="Arial" w:cs="Arial" w:eastAsia="Arial"/>
        <w:color w:val="000000" w:themeColor="text1"/>
      </w:rPr>
    </w:tblStylePr>
  </w:style>
  <w:style w:type="table" w:styleId="ColorfulList">
    <w:name w:val="Colorful List"/>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hAnsi="Arial" w:cs="Arial" w:eastAsia="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hAnsi="Arial" w:cs="Arial" w:eastAsia="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hAnsi="Arial" w:cs="Arial" w:eastAsia="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hAnsi="Arial" w:cs="Arial" w:eastAsia="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pPr>
    <w:rPr>
      <w:rFonts w:ascii="Arial" w:hAnsi="Arial" w:cs="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Arial" w:hAnsi="Arial" w:cs="Arial" w:eastAsia="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hAnsi="Arial" w:cs="Arial" w:eastAsia="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hAnsi="Arial" w:cs="Arial" w:eastAsia="Arial"/>
        <w:b/>
        <w:bCs/>
      </w:rPr>
    </w:tblStylePr>
    <w:tblStylePr w:type="lastCol">
      <w:rPr>
        <w:rFonts w:ascii="Arial" w:hAnsi="Arial" w:cs="Arial" w:eastAsia="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Arial" w:hAnsi="Arial" w:cs="Arial" w:eastAsia="Arial"/>
        <w:b/>
        <w:bCs/>
      </w:rPr>
      <w:tblPr/>
      <w:tcPr>
        <w:shd w:val="clear" w:color="auto" w:fill="999999" w:themeFill="text1" w:themeFillTint="66"/>
      </w:tcPr>
    </w:tblStylePr>
    <w:tblStylePr w:type="lastRow">
      <w:rPr>
        <w:rFonts w:ascii="Arial" w:hAnsi="Arial" w:cs="Arial" w:eastAsia="Arial"/>
        <w:b/>
        <w:bCs/>
        <w:color w:val="000000" w:themeColor="text1"/>
      </w:rPr>
      <w:tblPr/>
      <w:tcPr>
        <w:shd w:val="clear" w:color="auto" w:fill="999999" w:themeFill="text1" w:themeFillTint="66"/>
      </w:tcPr>
    </w:tblStylePr>
    <w:tblStylePr w:type="firstCol">
      <w:rPr>
        <w:rFonts w:ascii="Arial" w:hAnsi="Arial" w:cs="Arial" w:eastAsia="Arial"/>
        <w:color w:val="FFFFFF" w:themeColor="background1"/>
      </w:rPr>
      <w:tblPr/>
      <w:tcPr>
        <w:shd w:val="clear" w:color="auto" w:fill="000000" w:themeFill="text1" w:themeFillShade="BF"/>
      </w:tcPr>
    </w:tblStylePr>
    <w:tblStylePr w:type="lastCol">
      <w:rPr>
        <w:rFonts w:ascii="Arial" w:hAnsi="Arial" w:cs="Arial" w:eastAsia="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Arial" w:hAnsi="Arial" w:cs="Arial" w:eastAsia="Arial"/>
        <w:b/>
        <w:bCs/>
      </w:rPr>
      <w:tblPr/>
      <w:tcPr>
        <w:shd w:val="clear" w:color="auto" w:fill="B8CCE4" w:themeFill="accent1" w:themeFillTint="66"/>
      </w:tcPr>
    </w:tblStylePr>
    <w:tblStylePr w:type="lastRow">
      <w:rPr>
        <w:rFonts w:ascii="Arial" w:hAnsi="Arial" w:cs="Arial" w:eastAsia="Arial"/>
        <w:b/>
        <w:bCs/>
        <w:color w:val="000000" w:themeColor="text1"/>
      </w:rPr>
      <w:tblPr/>
      <w:tcPr>
        <w:shd w:val="clear" w:color="auto" w:fill="B8CCE4" w:themeFill="accent1" w:themeFillTint="66"/>
      </w:tcPr>
    </w:tblStylePr>
    <w:tblStylePr w:type="firstCol">
      <w:rPr>
        <w:rFonts w:ascii="Arial" w:hAnsi="Arial" w:cs="Arial" w:eastAsia="Arial"/>
        <w:color w:val="FFFFFF" w:themeColor="background1"/>
      </w:rPr>
      <w:tblPr/>
      <w:tcPr>
        <w:shd w:val="clear" w:color="auto" w:fill="365F91" w:themeFill="accent1" w:themeFillShade="BF"/>
      </w:tcPr>
    </w:tblStylePr>
    <w:tblStylePr w:type="lastCol">
      <w:rPr>
        <w:rFonts w:ascii="Arial" w:hAnsi="Arial" w:cs="Arial" w:eastAsia="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Arial" w:hAnsi="Arial" w:cs="Arial" w:eastAsia="Arial"/>
        <w:b/>
        <w:bCs/>
      </w:rPr>
      <w:tblPr/>
      <w:tcPr>
        <w:shd w:val="clear" w:color="auto" w:fill="E5B8B7" w:themeFill="accent2" w:themeFillTint="66"/>
      </w:tcPr>
    </w:tblStylePr>
    <w:tblStylePr w:type="lastRow">
      <w:rPr>
        <w:rFonts w:ascii="Arial" w:hAnsi="Arial" w:cs="Arial" w:eastAsia="Arial"/>
        <w:b/>
        <w:bCs/>
        <w:color w:val="000000" w:themeColor="text1"/>
      </w:rPr>
      <w:tblPr/>
      <w:tcPr>
        <w:shd w:val="clear" w:color="auto" w:fill="E5B8B7" w:themeFill="accent2" w:themeFillTint="66"/>
      </w:tcPr>
    </w:tblStylePr>
    <w:tblStylePr w:type="firstCol">
      <w:rPr>
        <w:rFonts w:ascii="Arial" w:hAnsi="Arial" w:cs="Arial" w:eastAsia="Arial"/>
        <w:color w:val="FFFFFF" w:themeColor="background1"/>
      </w:rPr>
      <w:tblPr/>
      <w:tcPr>
        <w:shd w:val="clear" w:color="auto" w:fill="943634" w:themeFill="accent2" w:themeFillShade="BF"/>
      </w:tcPr>
    </w:tblStylePr>
    <w:tblStylePr w:type="lastCol">
      <w:rPr>
        <w:rFonts w:ascii="Arial" w:hAnsi="Arial" w:cs="Arial" w:eastAsia="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Arial" w:hAnsi="Arial" w:cs="Arial" w:eastAsia="Arial"/>
        <w:b/>
        <w:bCs/>
      </w:rPr>
      <w:tblPr/>
      <w:tcPr>
        <w:shd w:val="clear" w:color="auto" w:fill="D6E3BC" w:themeFill="accent3" w:themeFillTint="66"/>
      </w:tcPr>
    </w:tblStylePr>
    <w:tblStylePr w:type="lastRow">
      <w:rPr>
        <w:rFonts w:ascii="Arial" w:hAnsi="Arial" w:cs="Arial" w:eastAsia="Arial"/>
        <w:b/>
        <w:bCs/>
        <w:color w:val="000000" w:themeColor="text1"/>
      </w:rPr>
      <w:tblPr/>
      <w:tcPr>
        <w:shd w:val="clear" w:color="auto" w:fill="D6E3BC" w:themeFill="accent3" w:themeFillTint="66"/>
      </w:tcPr>
    </w:tblStylePr>
    <w:tblStylePr w:type="firstCol">
      <w:rPr>
        <w:rFonts w:ascii="Arial" w:hAnsi="Arial" w:cs="Arial" w:eastAsia="Arial"/>
        <w:color w:val="FFFFFF" w:themeColor="background1"/>
      </w:rPr>
      <w:tblPr/>
      <w:tcPr>
        <w:shd w:val="clear" w:color="auto" w:fill="76923C" w:themeFill="accent3" w:themeFillShade="BF"/>
      </w:tcPr>
    </w:tblStylePr>
    <w:tblStylePr w:type="lastCol">
      <w:rPr>
        <w:rFonts w:ascii="Arial" w:hAnsi="Arial" w:cs="Arial" w:eastAsia="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Arial" w:hAnsi="Arial" w:cs="Arial" w:eastAsia="Arial"/>
        <w:b/>
        <w:bCs/>
      </w:rPr>
      <w:tblPr/>
      <w:tcPr>
        <w:shd w:val="clear" w:color="auto" w:fill="CCC0D9" w:themeFill="accent4" w:themeFillTint="66"/>
      </w:tcPr>
    </w:tblStylePr>
    <w:tblStylePr w:type="lastRow">
      <w:rPr>
        <w:rFonts w:ascii="Arial" w:hAnsi="Arial" w:cs="Arial" w:eastAsia="Arial"/>
        <w:b/>
        <w:bCs/>
        <w:color w:val="000000" w:themeColor="text1"/>
      </w:rPr>
      <w:tblPr/>
      <w:tcPr>
        <w:shd w:val="clear" w:color="auto" w:fill="CCC0D9" w:themeFill="accent4" w:themeFillTint="66"/>
      </w:tcPr>
    </w:tblStylePr>
    <w:tblStylePr w:type="firstCol">
      <w:rPr>
        <w:rFonts w:ascii="Arial" w:hAnsi="Arial" w:cs="Arial" w:eastAsia="Arial"/>
        <w:color w:val="FFFFFF" w:themeColor="background1"/>
      </w:rPr>
      <w:tblPr/>
      <w:tcPr>
        <w:shd w:val="clear" w:color="auto" w:fill="5F497A" w:themeFill="accent4" w:themeFillShade="BF"/>
      </w:tcPr>
    </w:tblStylePr>
    <w:tblStylePr w:type="lastCol">
      <w:rPr>
        <w:rFonts w:ascii="Arial" w:hAnsi="Arial" w:cs="Arial" w:eastAsia="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Arial" w:hAnsi="Arial" w:cs="Arial" w:eastAsia="Arial"/>
        <w:b/>
        <w:bCs/>
      </w:rPr>
      <w:tblPr/>
      <w:tcPr>
        <w:shd w:val="clear" w:color="auto" w:fill="B6DDE8" w:themeFill="accent5" w:themeFillTint="66"/>
      </w:tcPr>
    </w:tblStylePr>
    <w:tblStylePr w:type="lastRow">
      <w:rPr>
        <w:rFonts w:ascii="Arial" w:hAnsi="Arial" w:cs="Arial" w:eastAsia="Arial"/>
        <w:b/>
        <w:bCs/>
        <w:color w:val="000000" w:themeColor="text1"/>
      </w:rPr>
      <w:tblPr/>
      <w:tcPr>
        <w:shd w:val="clear" w:color="auto" w:fill="B6DDE8" w:themeFill="accent5" w:themeFillTint="66"/>
      </w:tcPr>
    </w:tblStylePr>
    <w:tblStylePr w:type="firstCol">
      <w:rPr>
        <w:rFonts w:ascii="Arial" w:hAnsi="Arial" w:cs="Arial" w:eastAsia="Arial"/>
        <w:color w:val="FFFFFF" w:themeColor="background1"/>
      </w:rPr>
      <w:tblPr/>
      <w:tcPr>
        <w:shd w:val="clear" w:color="auto" w:fill="31849B" w:themeFill="accent5" w:themeFillShade="BF"/>
      </w:tcPr>
    </w:tblStylePr>
    <w:tblStylePr w:type="lastCol">
      <w:rPr>
        <w:rFonts w:ascii="Arial" w:hAnsi="Arial" w:cs="Arial" w:eastAsia="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pPr>
    <w:rPr>
      <w:rFonts w:ascii="Arial" w:hAnsi="Arial" w:cs="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Arial" w:hAnsi="Arial" w:cs="Arial" w:eastAsia="Arial"/>
        <w:b/>
        <w:bCs/>
      </w:rPr>
      <w:tblPr/>
      <w:tcPr>
        <w:shd w:val="clear" w:color="auto" w:fill="FBD4B4" w:themeFill="accent6" w:themeFillTint="66"/>
      </w:tcPr>
    </w:tblStylePr>
    <w:tblStylePr w:type="lastRow">
      <w:rPr>
        <w:rFonts w:ascii="Arial" w:hAnsi="Arial" w:cs="Arial" w:eastAsia="Arial"/>
        <w:b/>
        <w:bCs/>
        <w:color w:val="000000" w:themeColor="text1"/>
      </w:rPr>
      <w:tblPr/>
      <w:tcPr>
        <w:shd w:val="clear" w:color="auto" w:fill="FBD4B4" w:themeFill="accent6" w:themeFillTint="66"/>
      </w:tcPr>
    </w:tblStylePr>
    <w:tblStylePr w:type="firstCol">
      <w:rPr>
        <w:rFonts w:ascii="Arial" w:hAnsi="Arial" w:cs="Arial" w:eastAsia="Arial"/>
        <w:color w:val="FFFFFF" w:themeColor="background1"/>
      </w:rPr>
      <w:tblPr/>
      <w:tcPr>
        <w:shd w:val="clear" w:color="auto" w:fill="E36C0A" w:themeFill="accent6" w:themeFillShade="BF"/>
      </w:tcPr>
    </w:tblStylePr>
    <w:tblStylePr w:type="lastCol">
      <w:rPr>
        <w:rFonts w:ascii="Arial" w:hAnsi="Arial" w:cs="Arial" w:eastAsia="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and Risk Management: Final Reflection</dc:title>
  <dc:subject/>
  <dc:creator>Ian Stevens</dc:creator>
  <cp:keywords/>
  <dc:description>generated by python-docx</dc:description>
  <cp:lastModifiedBy/>
  <cp:revision>1</cp:revision>
  <dcterms:created xsi:type="dcterms:W3CDTF">2013-12-23T23:15:00Z</dcterms:created>
  <dcterms:modified xsi:type="dcterms:W3CDTF">2013-12-23T23:15:00Z</dcterms:modified>
  <cp:category/>
</cp:coreProperties>
</file>