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6 Reflection: The Practical Implications of Security and Risk Standards</w:t>
      </w:r>
    </w:p>
    <w:p>
      <w:pPr>
        <w:spacing w:after="80"/>
      </w:pPr>
      <w:r>
        <w:rPr>
          <w:color w:val="555555"/>
        </w:rPr>
        <w:t>Ian Stevens  |  Security and Risk Management, October 2025</w:t>
      </w:r>
    </w:p>
    <w:p>
      <w:pPr>
        <w:spacing w:after="240"/>
      </w:pPr>
      <w:r>
        <w:rPr>
          <w:i/>
          <w:color w:val="555555"/>
        </w:rPr>
        <w:t>Structured using the What? So what? Now what? model (Rolfe, Freshwater and Jasper, 2001).</w:t>
      </w:r>
    </w:p>
    <w:p>
      <w:pPr>
        <w:pStyle w:val="Heading1"/>
      </w:pPr>
      <w:r>
        <w:t>What?</w:t>
      </w:r>
    </w:p>
    <w:p>
      <w:pPr>
        <w:spacing w:after="160" w:line="300" w:lineRule="auto"/>
        <w:jc w:val="both"/>
      </w:pPr>
      <w:r>
        <w:rPr/>
        <w:t>Unit 6 put the standards register from Unit 5 to work. The required reading was Sørensen’s (2018) editorial on whether digitalisation is an opportunity or a risk, read alongside Sutton’s (2021) appendices on information risk controls and HM Government cyber security guidance and Kirvan’s (2025) overview of security frameworks. For the seminar I worked through the ICO’s UK GDPR guidance (ICO, no date), the PCI Security Standards Council’s overview of its standards (PCI Security Standards Council, no date) and a guide to HIPAA (Johnson, 2026), and then answered four questions about Pampered Pets: which standards apply, how I would check whether they were being met, what I would recommend, and what I had assumed. My answers form the artefact below. To test them against a real enforcement decision I also read the ICO’s penalty notice against Ticketmaster UK (ICO, 2020).</w:t>
      </w:r>
    </w:p>
    <w:p>
      <w:pPr>
        <w:pStyle w:val="Heading1"/>
      </w:pPr>
      <w:r>
        <w:t>So what?</w:t>
      </w:r>
    </w:p>
    <w:p>
      <w:pPr>
        <w:spacing w:after="160" w:line="300" w:lineRule="auto"/>
        <w:jc w:val="both"/>
      </w:pPr>
      <w:r>
        <w:rPr/>
        <w:t>Sørensen (2018) writes from the side of a competition authority, but her question is the one our group report tried to answer for Pampered Pets. She credits digitalisation with new business models, new competitors and better or cheaper products, and warns that pricing algorithms can make collusion easier and that network effects and access to data can raise barriers to entry. Two of her points carry over to security. Her call for ‘compliance by design’ in pricing algorithms is the same idea as data protection by design in Article 25 of the GDPR: the obligation is built into the system, not inspected for afterwards. She also suggests that GDPR data portability could matter for potential competition. For a small retailer up against large online sellers I think that cuts both ways, since it lowers the cost of winning a customer and of losing one. Our report treated the GDPR as a cost of going online. Sørensen made me see it as part of the market Pampered Pets is about to enter.</w:t>
      </w:r>
    </w:p>
    <w:p>
      <w:pPr>
        <w:spacing w:after="160" w:line="300" w:lineRule="auto"/>
        <w:jc w:val="both"/>
      </w:pPr>
      <w:r>
        <w:rPr/>
        <w:t>Deciding which standards apply was harder than the seminar brief suggests. Its examples, a company that would ‘most likely’ be subject to the GDPR or ‘most likely’ need to meet PCI DSS, hide most of the work, which is establishing facts the case study never gives. The scenario does not say that Pampered Pets is in the UK; I inferred it from the royal customer. Whether the EU GDPR applies as well as the UK GDPR depends on whether the new website offers goods to people in the EU (Regulation (EU) 2016/679, art. 3(2)), and if it does, the business needs a representative in the EU (art. 27). HIPAA turned out to be the useful negative case. It covers US health plans, healthcare clearinghouses and healthcare providers, along with their business associates (HHS, no date), and a dog’s diet sheet is nobody’s protected health information. Ruling a standard out and saying why is part of the answer, which is why the assumptions in section 4 matter as much as the register in section 1. Source quality mattered too. The HIPAA guide set for the seminar is a commercial site (Johnson, 2026), so I checked its statement of scope against the US Department of Health and Human Services before relying on it.</w:t>
      </w:r>
    </w:p>
    <w:p>
      <w:pPr>
        <w:spacing w:after="160" w:line="300" w:lineRule="auto"/>
        <w:jc w:val="both"/>
      </w:pPr>
      <w:r>
        <w:rPr/>
        <w:t>Working out how to check compliance showed me that the standards give very different levels of assurance. A small merchant validates PCI DSS by completing a self-assessment questionnaire. Cyber Essentials is a self-assessment signed off by a board member and marked by an assessor, with independent technical testing only at the Plus level (NCSC, no date). The UK GDPR has no routine audit at all, and in practice the ICO examines security after something has gone wrong. The January 2025 change to SAQ A shows where self-assessment is weakest. Two payment page script requirements were removed from the questionnaire, and in their place the merchant must confirm that its site is not susceptible to attacks from scripts that could affect its e-commerce systems (PCI Security Standards Council, 2025). For a business whose IT is currently two PCs and a stock spreadsheet, that is a technical judgement the owners cannot make unaided. A control has become an attestation, and responsibility for it now sits with the party least able to assess it.</w:t>
      </w:r>
    </w:p>
    <w:p>
      <w:pPr>
        <w:spacing w:after="160" w:line="300" w:lineRule="auto"/>
        <w:jc w:val="both"/>
      </w:pPr>
      <w:r>
        <w:rPr/>
        <w:t>The Ticketmaster case shows what is at stake in that judgement. Ticketmaster placed a third-party chatbot on its payment pages, attackers compromised the chatbot supplier, and the altered script scraped customers’ names, card numbers, expiry dates and CVV numbers. Around 9.4 million customers in the EEA were notified, 1.5 million of them in the UK. The ICO fined the company £1.25 million for breaching Articles 5(1)(f) and 32, finding among other things that it had not assessed the risk of running the chatbot on a payment page and had not used available measures such as Subresource Integrity (ICO, 2020). What surprised me was how far the ICO relied on PCI DSS, setting out failures against its requirements on risk assessment and on managing third-party service providers. A contractual standard became evidence of what the law means by ‘appropriate’ security. My Unit 5 register put law and contract in separate rows, but in an enforcement case they are read together. Sutton (2021) warns that ‘it is often wrongly assumed that a single control of any kind is sufficient to resolve a risk’. Ticketmaster is a case in point: whatever controls it had elsewhere, nothing on the payment page checked its supplier’s code before it ran.</w:t>
      </w:r>
    </w:p>
    <w:p>
      <w:pPr>
        <w:pStyle w:val="Heading1"/>
      </w:pPr>
      <w:r>
        <w:t>Now what?</w:t>
      </w:r>
    </w:p>
    <w:p>
      <w:pPr>
        <w:spacing w:after="160" w:line="300" w:lineRule="auto"/>
        <w:jc w:val="both"/>
      </w:pPr>
      <w:r>
        <w:rPr/>
        <w:t>Three things will change in how I work. First, every standards register I write will now come with a scope statement and a list of assumptions, and those assumptions will be the first thing I confirm with the client. For Pampered Pets the most important open question is whether the website will sell to customers in the EU. Second, I will give each requirement a named piece of evidence and a method of verification, so that a review shows whether a control works and not only whether it exists. The gap analysis in section 2 is written this way. Third, I will treat third-party code and services as part of the organisation’s attack surface. The payment, analytics, chat and marketing scripts on a shop page are what failed at Ticketmaster, and they are what SAQ A eligibility now depends on.</w:t>
      </w:r>
    </w:p>
    <w:p>
      <w:pPr>
        <w:spacing w:after="160" w:line="300" w:lineRule="auto"/>
        <w:jc w:val="both"/>
      </w:pPr>
      <w:r>
        <w:rPr/>
        <w:t>Following through on my Unit 5 plan to read the Cyber Essentials requirements also changed my advice. Version 3.3, dated April 2026, requires multi-factor authentication (MFA) for every cloud service and keeps staff-owned phones in scope wherever they are used to access organisational data (NCSC, 2026). That catches two weaknesses from our status-quo assessment, staff smartphones sharing the business Wi-Fi and the absence of MFA, so they move from good practice to conditions of certification. I have not yet seen how colleagues scoped the same case, so after the seminar I will compare their registers with mine, paying most attention to assumptions that differ from my own, and update the artefact.</w:t>
      </w:r>
    </w:p>
    <w:p>
      <w:pPr>
        <w:pStyle w:val="Heading1"/>
      </w:pPr>
      <w:r>
        <w:t>Artefact: Seminar Activity: Security Standards for Pampered Pets</w:t>
      </w:r>
    </w:p>
    <w:p>
      <w:pPr>
        <w:spacing w:after="240"/>
      </w:pPr>
      <w:r>
        <w:rPr>
          <w:i/>
          <w:color w:val="555555"/>
        </w:rPr>
        <w:t>Answers prepared before the Unit 6 seminar, applying the ICO, PCI Security Standards Council, HIPAA and HM Government sources to the Pampered Pets case from the group risk assessment and the executive summary.</w:t>
      </w:r>
    </w:p>
    <w:p>
      <w:pPr>
        <w:pStyle w:val="Heading2"/>
      </w:pPr>
      <w:r>
        <w:t>1. Which standards apply to Pampered Pets?</w:t>
      </w:r>
    </w:p>
    <w:p>
      <w:pPr>
        <w:spacing w:after="160" w:line="300" w:lineRule="auto"/>
        <w:jc w:val="both"/>
      </w:pPr>
      <w:r>
        <w:rPr/>
        <w:t>Pampered Pets is a small pet food retailer that sells mostly in store, takes card payments and is planning an e-commerce site, an ERP and a CRM hosted in Microsoft Azure. Its customers include high-profile individuals. The table records each standard reviewed for the seminar and whether it applies.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1700"/>
        <w:gridCol w:w="5026"/>
      </w:tblGrid>
      <w:tr>
        <w:trPr>
          <w:cantSplit/>
          <w:tblHeader/>
        </w:trPr>
        <w:tc>
          <w:tcPr>
            <w:tcW w:type="dxa" w:w="2300"/>
            <w:shd w:val="clear" w:color="auto" w:fill="1F3864"/>
          </w:tcPr>
          <w:p>
            <w:pPr>
              <w:spacing w:after="0"/>
            </w:pPr>
            <w:r>
              <w:rPr>
                <w:b/>
                <w:color w:val="FFFFFF"/>
                <w:sz w:val="20"/>
              </w:rPr>
              <w:t>Standard</w:t>
            </w:r>
          </w:p>
        </w:tc>
        <w:tc>
          <w:tcPr>
            <w:tcW w:type="dxa" w:w="1700"/>
            <w:shd w:val="clear" w:color="auto" w:fill="1F3864"/>
          </w:tcPr>
          <w:p>
            <w:pPr>
              <w:spacing w:after="0"/>
            </w:pPr>
            <w:r>
              <w:rPr>
                <w:b/>
                <w:color w:val="FFFFFF"/>
                <w:sz w:val="20"/>
              </w:rPr>
              <w:t>Applies?</w:t>
            </w:r>
          </w:p>
        </w:tc>
        <w:tc>
          <w:tcPr>
            <w:tcW w:type="dxa" w:w="5026"/>
            <w:shd w:val="clear" w:color="auto" w:fill="1F3864"/>
          </w:tcPr>
          <w:p>
            <w:pPr>
              <w:spacing w:after="0"/>
            </w:pPr>
            <w:r>
              <w:rPr>
                <w:b/>
                <w:color w:val="FFFFFF"/>
                <w:sz w:val="20"/>
              </w:rPr>
              <w:t>Reason</w:t>
            </w:r>
          </w:p>
        </w:tc>
      </w:tr>
      <w:tr>
        <w:trPr>
          <w:cantSplit/>
        </w:trPr>
        <w:tc>
          <w:tcPr>
            <w:tcW w:type="dxa" w:w="2300"/>
          </w:tcPr>
          <w:p>
            <w:pPr>
              <w:spacing w:after="0"/>
            </w:pPr>
            <w:r>
              <w:rPr>
                <w:sz w:val="20"/>
              </w:rPr>
              <w:t>UK GDPR and Data Protection Act 2018</w:t>
            </w:r>
          </w:p>
        </w:tc>
        <w:tc>
          <w:tcPr>
            <w:tcW w:type="dxa" w:w="1700"/>
          </w:tcPr>
          <w:p>
            <w:pPr>
              <w:spacing w:after="0"/>
            </w:pPr>
            <w:r>
              <w:rPr>
                <w:sz w:val="20"/>
              </w:rPr>
              <w:t>Yes (law)</w:t>
            </w:r>
          </w:p>
        </w:tc>
        <w:tc>
          <w:tcPr>
            <w:tcW w:type="dxa" w:w="5026"/>
          </w:tcPr>
          <w:p>
            <w:pPr>
              <w:spacing w:after="0"/>
            </w:pPr>
            <w:r>
              <w:rPr>
                <w:sz w:val="20"/>
              </w:rPr>
              <w:t>The business processes customer, delivery, CRM and staff personal data and is established in the UK. It applies to data about overseas customers too, because it follows the controller, not the customer. A data protection fee is payable to the ICO unless an exemption applies (ICO, 2026b).</w:t>
            </w:r>
          </w:p>
        </w:tc>
      </w:tr>
      <w:tr>
        <w:trPr>
          <w:cantSplit/>
        </w:trPr>
        <w:tc>
          <w:tcPr>
            <w:tcW w:type="dxa" w:w="2300"/>
          </w:tcPr>
          <w:p>
            <w:pPr>
              <w:spacing w:after="0"/>
            </w:pPr>
            <w:r>
              <w:rPr>
                <w:sz w:val="20"/>
              </w:rPr>
              <w:t>EU GDPR</w:t>
            </w:r>
          </w:p>
        </w:tc>
        <w:tc>
          <w:tcPr>
            <w:tcW w:type="dxa" w:w="1700"/>
          </w:tcPr>
          <w:p>
            <w:pPr>
              <w:spacing w:after="0"/>
            </w:pPr>
            <w:r>
              <w:rPr>
                <w:sz w:val="20"/>
              </w:rPr>
              <w:t>Only if selling into the EU</w:t>
            </w:r>
          </w:p>
        </w:tc>
        <w:tc>
          <w:tcPr>
            <w:tcW w:type="dxa" w:w="5026"/>
          </w:tcPr>
          <w:p>
            <w:pPr>
              <w:spacing w:after="0"/>
            </w:pPr>
            <w:r>
              <w:rPr>
                <w:sz w:val="20"/>
              </w:rPr>
              <w:t>Applies to a non-EU business that offers goods to people in the EU (art. 3(2)), which would also require an EU representative (art. 27).</w:t>
            </w:r>
          </w:p>
        </w:tc>
      </w:tr>
      <w:tr>
        <w:trPr>
          <w:cantSplit/>
        </w:trPr>
        <w:tc>
          <w:tcPr>
            <w:tcW w:type="dxa" w:w="2300"/>
          </w:tcPr>
          <w:p>
            <w:pPr>
              <w:spacing w:after="0"/>
            </w:pPr>
            <w:r>
              <w:rPr>
                <w:sz w:val="20"/>
              </w:rPr>
              <w:t>PECR, as amended by the Data (Use and Access) Act 2025</w:t>
            </w:r>
          </w:p>
        </w:tc>
        <w:tc>
          <w:tcPr>
            <w:tcW w:type="dxa" w:w="1700"/>
          </w:tcPr>
          <w:p>
            <w:pPr>
              <w:spacing w:after="0"/>
            </w:pPr>
            <w:r>
              <w:rPr>
                <w:sz w:val="20"/>
              </w:rPr>
              <w:t>Yes, once online marketing starts</w:t>
            </w:r>
          </w:p>
        </w:tc>
        <w:tc>
          <w:tcPr>
            <w:tcW w:type="dxa" w:w="5026"/>
          </w:tcPr>
          <w:p>
            <w:pPr>
              <w:spacing w:after="0"/>
            </w:pPr>
            <w:r>
              <w:rPr>
                <w:sz w:val="20"/>
              </w:rPr>
              <w:t>Covers cookies on the website and marketing emails to customers. Since 5 February 2026 the ICO can fine up to £17.5 million or 4% of global turnover under PECR (ICO, 2026a).</w:t>
            </w:r>
          </w:p>
        </w:tc>
      </w:tr>
      <w:tr>
        <w:trPr>
          <w:cantSplit/>
        </w:trPr>
        <w:tc>
          <w:tcPr>
            <w:tcW w:type="dxa" w:w="2300"/>
          </w:tcPr>
          <w:p>
            <w:pPr>
              <w:spacing w:after="0"/>
            </w:pPr>
            <w:r>
              <w:rPr>
                <w:sz w:val="20"/>
              </w:rPr>
              <w:t>PCI DSS v4.0.1</w:t>
            </w:r>
          </w:p>
        </w:tc>
        <w:tc>
          <w:tcPr>
            <w:tcW w:type="dxa" w:w="1700"/>
          </w:tcPr>
          <w:p>
            <w:pPr>
              <w:spacing w:after="0"/>
            </w:pPr>
            <w:r>
              <w:rPr>
                <w:sz w:val="20"/>
              </w:rPr>
              <w:t>Yes (contract with the acquirer)</w:t>
            </w:r>
          </w:p>
        </w:tc>
        <w:tc>
          <w:tcPr>
            <w:tcW w:type="dxa" w:w="5026"/>
          </w:tcPr>
          <w:p>
            <w:pPr>
              <w:spacing w:after="0"/>
            </w:pPr>
            <w:r>
              <w:rPr>
                <w:sz w:val="20"/>
              </w:rPr>
              <w:t>Card terminals are already used in store, and the website will take card payments. The self-assessment questionnaire (SAQ) depends on the terminal type and on how the online payment page is built (PCI Security Standards Council, 2024; no date).</w:t>
            </w:r>
          </w:p>
        </w:tc>
      </w:tr>
      <w:tr>
        <w:trPr>
          <w:cantSplit/>
        </w:trPr>
        <w:tc>
          <w:tcPr>
            <w:tcW w:type="dxa" w:w="2300"/>
          </w:tcPr>
          <w:p>
            <w:pPr>
              <w:spacing w:after="0"/>
            </w:pPr>
            <w:r>
              <w:rPr>
                <w:sz w:val="20"/>
              </w:rPr>
              <w:t>Cyber Essentials (HMG guidance, Sutton Appendix G)</w:t>
            </w:r>
          </w:p>
        </w:tc>
        <w:tc>
          <w:tcPr>
            <w:tcW w:type="dxa" w:w="1700"/>
          </w:tcPr>
          <w:p>
            <w:pPr>
              <w:spacing w:after="0"/>
            </w:pPr>
            <w:r>
              <w:rPr>
                <w:sz w:val="20"/>
              </w:rPr>
              <w:t>Voluntary, recommended</w:t>
            </w:r>
          </w:p>
        </w:tc>
        <w:tc>
          <w:tcPr>
            <w:tcW w:type="dxa" w:w="5026"/>
          </w:tcPr>
          <w:p>
            <w:pPr>
              <w:spacing w:after="0"/>
            </w:pPr>
            <w:r>
              <w:rPr>
                <w:sz w:val="20"/>
              </w:rPr>
              <w:t>The most usable piece of HM Government guidance for a small private firm. Gives a checkable baseline for the ‘appropriate’ security that Article 32 requires (NCSC, 2026).</w:t>
            </w:r>
          </w:p>
        </w:tc>
      </w:tr>
      <w:tr>
        <w:trPr>
          <w:cantSplit/>
        </w:trPr>
        <w:tc>
          <w:tcPr>
            <w:tcW w:type="dxa" w:w="2300"/>
          </w:tcPr>
          <w:p>
            <w:pPr>
              <w:spacing w:after="0"/>
            </w:pPr>
            <w:r>
              <w:rPr>
                <w:sz w:val="20"/>
              </w:rPr>
              <w:t>ISO/IEC 27001 and the controls in Sutton Appendix D</w:t>
            </w:r>
          </w:p>
        </w:tc>
        <w:tc>
          <w:tcPr>
            <w:tcW w:type="dxa" w:w="1700"/>
          </w:tcPr>
          <w:p>
            <w:pPr>
              <w:spacing w:after="0"/>
            </w:pPr>
            <w:r>
              <w:rPr>
                <w:sz w:val="20"/>
              </w:rPr>
              <w:t>Voluntary, later</w:t>
            </w:r>
          </w:p>
        </w:tc>
        <w:tc>
          <w:tcPr>
            <w:tcW w:type="dxa" w:w="5026"/>
          </w:tcPr>
          <w:p>
            <w:pPr>
              <w:spacing w:after="0"/>
            </w:pPr>
            <w:r>
              <w:rPr>
                <w:sz w:val="20"/>
              </w:rPr>
              <w:t>A full management system is worth its cost only once the ERP and international supply chain are running. The control lists are useful now as a checklist (Sutton, 2021).</w:t>
            </w:r>
          </w:p>
        </w:tc>
      </w:tr>
      <w:tr>
        <w:trPr>
          <w:cantSplit/>
        </w:trPr>
        <w:tc>
          <w:tcPr>
            <w:tcW w:type="dxa" w:w="2300"/>
          </w:tcPr>
          <w:p>
            <w:pPr>
              <w:spacing w:after="0"/>
            </w:pPr>
            <w:r>
              <w:rPr>
                <w:sz w:val="20"/>
              </w:rPr>
              <w:t>HIPAA</w:t>
            </w:r>
          </w:p>
        </w:tc>
        <w:tc>
          <w:tcPr>
            <w:tcW w:type="dxa" w:w="1700"/>
          </w:tcPr>
          <w:p>
            <w:pPr>
              <w:spacing w:after="0"/>
            </w:pPr>
            <w:r>
              <w:rPr>
                <w:sz w:val="20"/>
              </w:rPr>
              <w:t>No</w:t>
            </w:r>
          </w:p>
        </w:tc>
        <w:tc>
          <w:tcPr>
            <w:tcW w:type="dxa" w:w="5026"/>
          </w:tcPr>
          <w:p>
            <w:pPr>
              <w:spacing w:after="0"/>
            </w:pPr>
            <w:r>
              <w:rPr>
                <w:sz w:val="20"/>
              </w:rPr>
              <w:t>US law that covers health plans, healthcare clearinghouses and healthcare providers, and their business associates (HHS, no date). Pampered Pets is none of these and holds no protected health information.</w:t>
            </w:r>
          </w:p>
        </w:tc>
      </w:tr>
    </w:tbl>
    <w:p>
      <w:pPr>
        <w:spacing w:after="80"/>
      </w:pPr>
    </w:p>
    <w:p>
      <w:pPr>
        <w:spacing w:after="160" w:line="300" w:lineRule="auto"/>
        <w:jc w:val="both"/>
      </w:pPr>
      <w:r>
        <w:rPr/>
        <w:t>The second table answers the first learning outcome for this unit by linking each processing situation at Pampered Pets to the GDPR provisions that apply to it. Article references are to the UK GDPR, which follows the numbering of Regulation (EU) 2016/679.</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426"/>
      </w:tblGrid>
      <w:tr>
        <w:trPr>
          <w:cantSplit/>
          <w:tblHeader/>
        </w:trPr>
        <w:tc>
          <w:tcPr>
            <w:tcW w:type="dxa" w:w="3600"/>
            <w:shd w:val="clear" w:color="auto" w:fill="1F3864"/>
          </w:tcPr>
          <w:p>
            <w:pPr>
              <w:spacing w:after="0"/>
            </w:pPr>
            <w:r>
              <w:rPr>
                <w:b/>
                <w:color w:val="FFFFFF"/>
                <w:sz w:val="20"/>
              </w:rPr>
              <w:t>Situation</w:t>
            </w:r>
          </w:p>
        </w:tc>
        <w:tc>
          <w:tcPr>
            <w:tcW w:type="dxa" w:w="5426"/>
            <w:shd w:val="clear" w:color="auto" w:fill="1F3864"/>
          </w:tcPr>
          <w:p>
            <w:pPr>
              <w:spacing w:after="0"/>
            </w:pPr>
            <w:r>
              <w:rPr>
                <w:b/>
                <w:color w:val="FFFFFF"/>
                <w:sz w:val="20"/>
              </w:rPr>
              <w:t>GDPR provisions that apply</w:t>
            </w:r>
          </w:p>
        </w:tc>
      </w:tr>
      <w:tr>
        <w:trPr>
          <w:cantSplit/>
        </w:trPr>
        <w:tc>
          <w:tcPr>
            <w:tcW w:type="dxa" w:w="3600"/>
          </w:tcPr>
          <w:p>
            <w:pPr>
              <w:spacing w:after="0"/>
            </w:pPr>
            <w:r>
              <w:rPr>
                <w:sz w:val="20"/>
              </w:rPr>
              <w:t>Customer accounts and delivery addresses collected by the new website</w:t>
            </w:r>
          </w:p>
        </w:tc>
        <w:tc>
          <w:tcPr>
            <w:tcW w:type="dxa" w:w="5426"/>
          </w:tcPr>
          <w:p>
            <w:pPr>
              <w:spacing w:after="0"/>
            </w:pPr>
            <w:r>
              <w:rPr>
                <w:sz w:val="20"/>
              </w:rPr>
              <w:t>Art. 5 principles; Art. 6(1)(b) processing necessary for a contract; Art. 13 privacy information at the point of collection</w:t>
            </w:r>
          </w:p>
        </w:tc>
      </w:tr>
      <w:tr>
        <w:trPr>
          <w:cantSplit/>
        </w:trPr>
        <w:tc>
          <w:tcPr>
            <w:tcW w:type="dxa" w:w="3600"/>
          </w:tcPr>
          <w:p>
            <w:pPr>
              <w:spacing w:after="0"/>
            </w:pPr>
            <w:r>
              <w:rPr>
                <w:sz w:val="20"/>
              </w:rPr>
              <w:t>Marketing emails and CRM-based offers</w:t>
            </w:r>
          </w:p>
        </w:tc>
        <w:tc>
          <w:tcPr>
            <w:tcW w:type="dxa" w:w="5426"/>
          </w:tcPr>
          <w:p>
            <w:pPr>
              <w:spacing w:after="0"/>
            </w:pPr>
            <w:r>
              <w:rPr>
                <w:sz w:val="20"/>
              </w:rPr>
              <w:t>Art. 6(1)(f) legitimate interests or consent, with PECR reg. 22 deciding when consent is needed for email; Art. 21 right to object to direct marketing</w:t>
            </w:r>
          </w:p>
        </w:tc>
      </w:tr>
      <w:tr>
        <w:trPr>
          <w:cantSplit/>
        </w:trPr>
        <w:tc>
          <w:tcPr>
            <w:tcW w:type="dxa" w:w="3600"/>
          </w:tcPr>
          <w:p>
            <w:pPr>
              <w:spacing w:after="0"/>
            </w:pPr>
            <w:r>
              <w:rPr>
                <w:sz w:val="20"/>
              </w:rPr>
              <w:t>Azure, ERP, CRM and payment providers handling data for the business</w:t>
            </w:r>
          </w:p>
        </w:tc>
        <w:tc>
          <w:tcPr>
            <w:tcW w:type="dxa" w:w="5426"/>
          </w:tcPr>
          <w:p>
            <w:pPr>
              <w:spacing w:after="0"/>
            </w:pPr>
            <w:r>
              <w:rPr>
                <w:sz w:val="20"/>
              </w:rPr>
              <w:t>Art. 28 processor contracts; Chapter V if data is transferred outside the UK</w:t>
            </w:r>
          </w:p>
        </w:tc>
      </w:tr>
      <w:tr>
        <w:trPr>
          <w:cantSplit/>
        </w:trPr>
        <w:tc>
          <w:tcPr>
            <w:tcW w:type="dxa" w:w="3600"/>
          </w:tcPr>
          <w:p>
            <w:pPr>
              <w:spacing w:after="0"/>
            </w:pPr>
            <w:r>
              <w:rPr>
                <w:sz w:val="20"/>
              </w:rPr>
              <w:t>Security of shop systems, PCs and Wi-Fi</w:t>
            </w:r>
          </w:p>
        </w:tc>
        <w:tc>
          <w:tcPr>
            <w:tcW w:type="dxa" w:w="5426"/>
          </w:tcPr>
          <w:p>
            <w:pPr>
              <w:spacing w:after="0"/>
            </w:pPr>
            <w:r>
              <w:rPr>
                <w:sz w:val="20"/>
              </w:rPr>
              <w:t>Art. 32 security appropriate to the risk; Art. 25 data protection by design and by default</w:t>
            </w:r>
          </w:p>
        </w:tc>
      </w:tr>
      <w:tr>
        <w:trPr>
          <w:cantSplit/>
        </w:trPr>
        <w:tc>
          <w:tcPr>
            <w:tcW w:type="dxa" w:w="3600"/>
          </w:tcPr>
          <w:p>
            <w:pPr>
              <w:spacing w:after="0"/>
            </w:pPr>
            <w:r>
              <w:rPr>
                <w:sz w:val="20"/>
              </w:rPr>
              <w:t>Records about high-profile customers</w:t>
            </w:r>
          </w:p>
        </w:tc>
        <w:tc>
          <w:tcPr>
            <w:tcW w:type="dxa" w:w="5426"/>
          </w:tcPr>
          <w:p>
            <w:pPr>
              <w:spacing w:after="0"/>
            </w:pPr>
            <w:r>
              <w:rPr>
                <w:sz w:val="20"/>
              </w:rPr>
              <w:t>Art. 32 again: a leak would be more harmful, so the same data needs tighter access control</w:t>
            </w:r>
          </w:p>
        </w:tc>
      </w:tr>
      <w:tr>
        <w:trPr>
          <w:cantSplit/>
        </w:trPr>
        <w:tc>
          <w:tcPr>
            <w:tcW w:type="dxa" w:w="3600"/>
          </w:tcPr>
          <w:p>
            <w:pPr>
              <w:spacing w:after="0"/>
            </w:pPr>
            <w:r>
              <w:rPr>
                <w:sz w:val="20"/>
              </w:rPr>
              <w:t>Staff sickness records</w:t>
            </w:r>
          </w:p>
        </w:tc>
        <w:tc>
          <w:tcPr>
            <w:tcW w:type="dxa" w:w="5426"/>
          </w:tcPr>
          <w:p>
            <w:pPr>
              <w:spacing w:after="0"/>
            </w:pPr>
            <w:r>
              <w:rPr>
                <w:sz w:val="20"/>
              </w:rPr>
              <w:t>Art. 9 special category data (see the Unit 5 case study)</w:t>
            </w:r>
          </w:p>
        </w:tc>
      </w:tr>
      <w:tr>
        <w:trPr>
          <w:cantSplit/>
        </w:trPr>
        <w:tc>
          <w:tcPr>
            <w:tcW w:type="dxa" w:w="3600"/>
          </w:tcPr>
          <w:p>
            <w:pPr>
              <w:spacing w:after="0"/>
            </w:pPr>
            <w:r>
              <w:rPr>
                <w:sz w:val="20"/>
              </w:rPr>
              <w:t>Record keeping</w:t>
            </w:r>
          </w:p>
        </w:tc>
        <w:tc>
          <w:tcPr>
            <w:tcW w:type="dxa" w:w="5426"/>
          </w:tcPr>
          <w:p>
            <w:pPr>
              <w:spacing w:after="0"/>
            </w:pPr>
            <w:r>
              <w:rPr>
                <w:sz w:val="20"/>
              </w:rPr>
              <w:t>Art. 30. The exemption for organisations with fewer than 250 employees does not apply where processing is not occasional, and customer processing at Pampered Pets is continuous</w:t>
            </w:r>
          </w:p>
        </w:tc>
      </w:tr>
      <w:tr>
        <w:trPr>
          <w:cantSplit/>
        </w:trPr>
        <w:tc>
          <w:tcPr>
            <w:tcW w:type="dxa" w:w="3600"/>
          </w:tcPr>
          <w:p>
            <w:pPr>
              <w:spacing w:after="0"/>
            </w:pPr>
            <w:r>
              <w:rPr>
                <w:sz w:val="20"/>
              </w:rPr>
              <w:t>A breach, for example a skimming script on the shop page</w:t>
            </w:r>
          </w:p>
        </w:tc>
        <w:tc>
          <w:tcPr>
            <w:tcW w:type="dxa" w:w="5426"/>
          </w:tcPr>
          <w:p>
            <w:pPr>
              <w:spacing w:after="0"/>
            </w:pPr>
            <w:r>
              <w:rPr>
                <w:sz w:val="20"/>
              </w:rPr>
              <w:t>Art. 33 notification to the ICO within 72 hours; Art. 34 communication to customers if the risk to them is high</w:t>
            </w:r>
          </w:p>
        </w:tc>
      </w:tr>
    </w:tbl>
    <w:p>
      <w:pPr>
        <w:spacing w:after="80"/>
      </w:pPr>
    </w:p>
    <w:p>
      <w:pPr>
        <w:pStyle w:val="Heading2"/>
      </w:pPr>
      <w:r>
        <w:t>2. Evaluating Pampered Pets against the standards</w:t>
      </w:r>
    </w:p>
    <w:p>
      <w:pPr>
        <w:spacing w:after="160" w:line="300" w:lineRule="auto"/>
        <w:jc w:val="both"/>
      </w:pPr>
      <w:r>
        <w:rPr/>
        <w:t>The current position comes from the status-quo assessment in the group report. The third column is how I would check compliance, and each check names the evidence an assessor would expect to see.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2400"/>
        <w:gridCol w:w="4326"/>
      </w:tblGrid>
      <w:tr>
        <w:trPr>
          <w:cantSplit/>
          <w:tblHeader/>
        </w:trPr>
        <w:tc>
          <w:tcPr>
            <w:tcW w:type="dxa" w:w="2300"/>
            <w:shd w:val="clear" w:color="auto" w:fill="1F3864"/>
          </w:tcPr>
          <w:p>
            <w:pPr>
              <w:spacing w:after="0"/>
            </w:pPr>
            <w:r>
              <w:rPr>
                <w:b/>
                <w:color w:val="FFFFFF"/>
                <w:sz w:val="20"/>
              </w:rPr>
              <w:t>Requirement</w:t>
            </w:r>
          </w:p>
        </w:tc>
        <w:tc>
          <w:tcPr>
            <w:tcW w:type="dxa" w:w="2400"/>
            <w:shd w:val="clear" w:color="auto" w:fill="1F3864"/>
          </w:tcPr>
          <w:p>
            <w:pPr>
              <w:spacing w:after="0"/>
            </w:pPr>
            <w:r>
              <w:rPr>
                <w:b/>
                <w:color w:val="FFFFFF"/>
                <w:sz w:val="20"/>
              </w:rPr>
              <w:t>Current position</w:t>
            </w:r>
          </w:p>
        </w:tc>
        <w:tc>
          <w:tcPr>
            <w:tcW w:type="dxa" w:w="4326"/>
            <w:shd w:val="clear" w:color="auto" w:fill="1F3864"/>
          </w:tcPr>
          <w:p>
            <w:pPr>
              <w:spacing w:after="0"/>
            </w:pPr>
            <w:r>
              <w:rPr>
                <w:b/>
                <w:color w:val="FFFFFF"/>
                <w:sz w:val="20"/>
              </w:rPr>
              <w:t>How I would check it</w:t>
            </w:r>
          </w:p>
        </w:tc>
      </w:tr>
      <w:tr>
        <w:trPr>
          <w:cantSplit/>
        </w:trPr>
        <w:tc>
          <w:tcPr>
            <w:tcW w:type="dxa" w:w="2300"/>
          </w:tcPr>
          <w:p>
            <w:pPr>
              <w:spacing w:after="0"/>
            </w:pPr>
            <w:r>
              <w:rPr>
                <w:sz w:val="20"/>
              </w:rPr>
              <w:t>UK GDPR Art. 30 records of processing</w:t>
            </w:r>
          </w:p>
        </w:tc>
        <w:tc>
          <w:tcPr>
            <w:tcW w:type="dxa" w:w="2400"/>
          </w:tcPr>
          <w:p>
            <w:pPr>
              <w:spacing w:after="0"/>
            </w:pPr>
            <w:r>
              <w:rPr>
                <w:sz w:val="20"/>
              </w:rPr>
              <w:t>None known</w:t>
            </w:r>
          </w:p>
        </w:tc>
        <w:tc>
          <w:tcPr>
            <w:tcW w:type="dxa" w:w="4326"/>
          </w:tcPr>
          <w:p>
            <w:pPr>
              <w:spacing w:after="0"/>
            </w:pPr>
            <w:r>
              <w:rPr>
                <w:sz w:val="20"/>
              </w:rPr>
              <w:t>Ask for the record and walk it against the data flow diagrams in the group report; every flow should appear</w:t>
            </w:r>
          </w:p>
        </w:tc>
      </w:tr>
      <w:tr>
        <w:trPr>
          <w:cantSplit/>
        </w:trPr>
        <w:tc>
          <w:tcPr>
            <w:tcW w:type="dxa" w:w="2300"/>
          </w:tcPr>
          <w:p>
            <w:pPr>
              <w:spacing w:after="0"/>
            </w:pPr>
            <w:r>
              <w:rPr>
                <w:sz w:val="20"/>
              </w:rPr>
              <w:t>Data protection fee</w:t>
            </w:r>
          </w:p>
        </w:tc>
        <w:tc>
          <w:tcPr>
            <w:tcW w:type="dxa" w:w="2400"/>
          </w:tcPr>
          <w:p>
            <w:pPr>
              <w:spacing w:after="0"/>
            </w:pPr>
            <w:r>
              <w:rPr>
                <w:sz w:val="20"/>
              </w:rPr>
              <w:t>Not known</w:t>
            </w:r>
          </w:p>
        </w:tc>
        <w:tc>
          <w:tcPr>
            <w:tcW w:type="dxa" w:w="4326"/>
          </w:tcPr>
          <w:p>
            <w:pPr>
              <w:spacing w:after="0"/>
            </w:pPr>
            <w:r>
              <w:rPr>
                <w:sz w:val="20"/>
              </w:rPr>
              <w:t>Search the ICO register of fee payers</w:t>
            </w:r>
          </w:p>
        </w:tc>
      </w:tr>
      <w:tr>
        <w:trPr>
          <w:cantSplit/>
        </w:trPr>
        <w:tc>
          <w:tcPr>
            <w:tcW w:type="dxa" w:w="2300"/>
          </w:tcPr>
          <w:p>
            <w:pPr>
              <w:spacing w:after="0"/>
            </w:pPr>
            <w:r>
              <w:rPr>
                <w:sz w:val="20"/>
              </w:rPr>
              <w:t>Art. 13 privacy information</w:t>
            </w:r>
          </w:p>
        </w:tc>
        <w:tc>
          <w:tcPr>
            <w:tcW w:type="dxa" w:w="2400"/>
          </w:tcPr>
          <w:p>
            <w:pPr>
              <w:spacing w:after="0"/>
            </w:pPr>
            <w:r>
              <w:rPr>
                <w:sz w:val="20"/>
              </w:rPr>
              <w:t>No notice in store; none yet for the website</w:t>
            </w:r>
          </w:p>
        </w:tc>
        <w:tc>
          <w:tcPr>
            <w:tcW w:type="dxa" w:w="4326"/>
          </w:tcPr>
          <w:p>
            <w:pPr>
              <w:spacing w:after="0"/>
            </w:pPr>
            <w:r>
              <w:rPr>
                <w:sz w:val="20"/>
              </w:rPr>
              <w:t>Read the notices where data is collected and test the website sign-up journey</w:t>
            </w:r>
          </w:p>
        </w:tc>
      </w:tr>
      <w:tr>
        <w:trPr>
          <w:cantSplit/>
        </w:trPr>
        <w:tc>
          <w:tcPr>
            <w:tcW w:type="dxa" w:w="2300"/>
          </w:tcPr>
          <w:p>
            <w:pPr>
              <w:spacing w:after="0"/>
            </w:pPr>
            <w:r>
              <w:rPr>
                <w:sz w:val="20"/>
              </w:rPr>
              <w:t>Art. 32 security / Cyber Essentials</w:t>
            </w:r>
          </w:p>
        </w:tc>
        <w:tc>
          <w:tcPr>
            <w:tcW w:type="dxa" w:w="2400"/>
          </w:tcPr>
          <w:p>
            <w:pPr>
              <w:spacing w:after="0"/>
            </w:pPr>
            <w:r>
              <w:rPr>
                <w:sz w:val="20"/>
              </w:rPr>
              <w:t>No formal security, no backups, staff phones on the business Wi-Fi, ageing PCs</w:t>
            </w:r>
          </w:p>
        </w:tc>
        <w:tc>
          <w:tcPr>
            <w:tcW w:type="dxa" w:w="4326"/>
          </w:tcPr>
          <w:p>
            <w:pPr>
              <w:spacing w:after="0"/>
            </w:pPr>
            <w:r>
              <w:rPr>
                <w:sz w:val="20"/>
              </w:rPr>
              <w:t>Use the Cyber Essentials question set as the gap tool. Inspect the router and Wi-Fi set-up, patch levels and accounts, and watch a test restore from backup</w:t>
            </w:r>
          </w:p>
        </w:tc>
      </w:tr>
      <w:tr>
        <w:trPr>
          <w:cantSplit/>
        </w:trPr>
        <w:tc>
          <w:tcPr>
            <w:tcW w:type="dxa" w:w="2300"/>
          </w:tcPr>
          <w:p>
            <w:pPr>
              <w:spacing w:after="0"/>
            </w:pPr>
            <w:r>
              <w:rPr>
                <w:sz w:val="20"/>
              </w:rPr>
              <w:t>Art. 28 processor contracts</w:t>
            </w:r>
          </w:p>
        </w:tc>
        <w:tc>
          <w:tcPr>
            <w:tcW w:type="dxa" w:w="2400"/>
          </w:tcPr>
          <w:p>
            <w:pPr>
              <w:spacing w:after="0"/>
            </w:pPr>
            <w:r>
              <w:rPr>
                <w:sz w:val="20"/>
              </w:rPr>
              <w:t>None in place yet</w:t>
            </w:r>
          </w:p>
        </w:tc>
        <w:tc>
          <w:tcPr>
            <w:tcW w:type="dxa" w:w="4326"/>
          </w:tcPr>
          <w:p>
            <w:pPr>
              <w:spacing w:after="0"/>
            </w:pPr>
            <w:r>
              <w:rPr>
                <w:sz w:val="20"/>
              </w:rPr>
              <w:t>Review the data processing terms for Azure, the ERP, the CRM and the payment provider</w:t>
            </w:r>
          </w:p>
        </w:tc>
      </w:tr>
      <w:tr>
        <w:trPr>
          <w:cantSplit/>
        </w:trPr>
        <w:tc>
          <w:tcPr>
            <w:tcW w:type="dxa" w:w="2300"/>
          </w:tcPr>
          <w:p>
            <w:pPr>
              <w:spacing w:after="0"/>
            </w:pPr>
            <w:r>
              <w:rPr>
                <w:sz w:val="20"/>
              </w:rPr>
              <w:t>Art. 33 and 34 breach handling</w:t>
            </w:r>
          </w:p>
        </w:tc>
        <w:tc>
          <w:tcPr>
            <w:tcW w:type="dxa" w:w="2400"/>
          </w:tcPr>
          <w:p>
            <w:pPr>
              <w:spacing w:after="0"/>
            </w:pPr>
            <w:r>
              <w:rPr>
                <w:sz w:val="20"/>
              </w:rPr>
              <w:t>No procedure</w:t>
            </w:r>
          </w:p>
        </w:tc>
        <w:tc>
          <w:tcPr>
            <w:tcW w:type="dxa" w:w="4326"/>
          </w:tcPr>
          <w:p>
            <w:pPr>
              <w:spacing w:after="0"/>
            </w:pPr>
            <w:r>
              <w:rPr>
                <w:sz w:val="20"/>
              </w:rPr>
              <w:t>Ask for the breach log and response plan, then run a short tabletop exercise against the 72-hour deadline</w:t>
            </w:r>
          </w:p>
        </w:tc>
      </w:tr>
      <w:tr>
        <w:trPr>
          <w:cantSplit/>
        </w:trPr>
        <w:tc>
          <w:tcPr>
            <w:tcW w:type="dxa" w:w="2300"/>
          </w:tcPr>
          <w:p>
            <w:pPr>
              <w:spacing w:after="0"/>
            </w:pPr>
            <w:r>
              <w:rPr>
                <w:sz w:val="20"/>
              </w:rPr>
              <w:t>PECR cookies and marketing</w:t>
            </w:r>
          </w:p>
        </w:tc>
        <w:tc>
          <w:tcPr>
            <w:tcW w:type="dxa" w:w="2400"/>
          </w:tcPr>
          <w:p>
            <w:pPr>
              <w:spacing w:after="0"/>
            </w:pPr>
            <w:r>
              <w:rPr>
                <w:sz w:val="20"/>
              </w:rPr>
              <w:t>Online marketing planned</w:t>
            </w:r>
          </w:p>
        </w:tc>
        <w:tc>
          <w:tcPr>
            <w:tcW w:type="dxa" w:w="4326"/>
          </w:tcPr>
          <w:p>
            <w:pPr>
              <w:spacing w:after="0"/>
            </w:pPr>
            <w:r>
              <w:rPr>
                <w:sz w:val="20"/>
              </w:rPr>
              <w:t>Load the site in a clean browser and check which cookies are set before consent; check marketing lists record where each opt-in came from</w:t>
            </w:r>
          </w:p>
        </w:tc>
      </w:tr>
      <w:tr>
        <w:trPr>
          <w:cantSplit/>
        </w:trPr>
        <w:tc>
          <w:tcPr>
            <w:tcW w:type="dxa" w:w="2300"/>
          </w:tcPr>
          <w:p>
            <w:pPr>
              <w:spacing w:after="0"/>
            </w:pPr>
            <w:r>
              <w:rPr>
                <w:sz w:val="20"/>
              </w:rPr>
              <w:t>PCI DSS in store</w:t>
            </w:r>
          </w:p>
        </w:tc>
        <w:tc>
          <w:tcPr>
            <w:tcW w:type="dxa" w:w="2400"/>
          </w:tcPr>
          <w:p>
            <w:pPr>
              <w:spacing w:after="0"/>
            </w:pPr>
            <w:r>
              <w:rPr>
                <w:sz w:val="20"/>
              </w:rPr>
              <w:t>Card terminals in use</w:t>
            </w:r>
          </w:p>
        </w:tc>
        <w:tc>
          <w:tcPr>
            <w:tcW w:type="dxa" w:w="4326"/>
          </w:tcPr>
          <w:p>
            <w:pPr>
              <w:spacing w:after="0"/>
            </w:pPr>
            <w:r>
              <w:rPr>
                <w:sz w:val="20"/>
              </w:rPr>
              <w:t>Confirm the SAQ type and last attestation of compliance with the acquirer; check terminals are inspected for tampering (Req. 9.5.1) and kept off the staff and guest Wi-Fi</w:t>
            </w:r>
          </w:p>
        </w:tc>
      </w:tr>
      <w:tr>
        <w:trPr>
          <w:cantSplit/>
        </w:trPr>
        <w:tc>
          <w:tcPr>
            <w:tcW w:type="dxa" w:w="2300"/>
          </w:tcPr>
          <w:p>
            <w:pPr>
              <w:spacing w:after="0"/>
            </w:pPr>
            <w:r>
              <w:rPr>
                <w:sz w:val="20"/>
              </w:rPr>
              <w:t>PCI DSS online</w:t>
            </w:r>
          </w:p>
        </w:tc>
        <w:tc>
          <w:tcPr>
            <w:tcW w:type="dxa" w:w="2400"/>
          </w:tcPr>
          <w:p>
            <w:pPr>
              <w:spacing w:after="0"/>
            </w:pPr>
            <w:r>
              <w:rPr>
                <w:sz w:val="20"/>
              </w:rPr>
              <w:t>Website not yet built</w:t>
            </w:r>
          </w:p>
        </w:tc>
        <w:tc>
          <w:tcPr>
            <w:tcW w:type="dxa" w:w="4326"/>
          </w:tcPr>
          <w:p>
            <w:pPr>
              <w:spacing w:after="0"/>
            </w:pPr>
            <w:r>
              <w:rPr>
                <w:sz w:val="20"/>
              </w:rPr>
              <w:t>List every script on the page that hosts or redirects to the payment form and confirm the site meets the SAQ A eligibility criteria (PCI Security Standards Council, 2025)</w:t>
            </w:r>
          </w:p>
        </w:tc>
      </w:tr>
      <w:tr>
        <w:trPr>
          <w:cantSplit/>
        </w:trPr>
        <w:tc>
          <w:tcPr>
            <w:tcW w:type="dxa" w:w="2300"/>
          </w:tcPr>
          <w:p>
            <w:pPr>
              <w:spacing w:after="0"/>
            </w:pPr>
            <w:r>
              <w:rPr>
                <w:sz w:val="20"/>
              </w:rPr>
              <w:t>Third-party service providers</w:t>
            </w:r>
          </w:p>
        </w:tc>
        <w:tc>
          <w:tcPr>
            <w:tcW w:type="dxa" w:w="2400"/>
          </w:tcPr>
          <w:p>
            <w:pPr>
              <w:spacing w:after="0"/>
            </w:pPr>
            <w:r>
              <w:rPr>
                <w:sz w:val="20"/>
              </w:rPr>
              <w:t>No due diligence</w:t>
            </w:r>
          </w:p>
        </w:tc>
        <w:tc>
          <w:tcPr>
            <w:tcW w:type="dxa" w:w="4326"/>
          </w:tcPr>
          <w:p>
            <w:pPr>
              <w:spacing w:after="0"/>
            </w:pPr>
            <w:r>
              <w:rPr>
                <w:sz w:val="20"/>
              </w:rPr>
              <w:t>Look for a list of providers, their PCI DSS status and contract security clauses (Req. 12.8), the gap the ICO found at Ticketmaster (ICO, 2020)</w:t>
            </w:r>
          </w:p>
        </w:tc>
      </w:tr>
    </w:tbl>
    <w:p>
      <w:pPr>
        <w:spacing w:after="80"/>
      </w:pPr>
    </w:p>
    <w:p>
      <w:pPr>
        <w:pStyle w:val="Heading2"/>
      </w:pPr>
      <w:r>
        <w:t>3. Recommendations</w:t>
      </w:r>
    </w:p>
    <w:p>
      <w:pPr>
        <w:spacing w:after="160" w:line="300" w:lineRule="auto"/>
        <w:jc w:val="both"/>
      </w:pPr>
      <w:r>
        <w:rPr/>
        <w:t>Sutton (2021) groups controls at strategic, tactical and operational levels and stresses that most risks need more than one. The recommendations below are ordered by when they are needed, not by standard, because several of them satisfy more than one obligation at once.</w:t>
      </w:r>
    </w:p>
    <w:p>
      <w:pPr>
        <w:spacing w:after="160" w:line="300" w:lineRule="auto"/>
        <w:jc w:val="both"/>
      </w:pPr>
      <w:r>
        <w:rPr>
          <w:b/>
        </w:rPr>
        <w:t>Now, before the website launches</w:t>
      </w:r>
    </w:p>
    <w:p>
      <w:pPr>
        <w:pStyle w:val="ListBullet"/>
        <w:spacing w:after="80" w:line="300" w:lineRule="auto"/>
        <w:jc w:val="both"/>
      </w:pPr>
      <w:r>
        <w:rPr/>
        <w:t>Pay the ICO data protection fee, write the record of processing and publish a privacy notice for the shop and the loyalty scheme.</w:t>
      </w:r>
    </w:p>
    <w:p>
      <w:pPr>
        <w:pStyle w:val="ListBullet"/>
        <w:spacing w:after="80" w:line="300" w:lineRule="auto"/>
        <w:jc w:val="both"/>
      </w:pPr>
      <w:r>
        <w:rPr/>
        <w:t>Prepare for Cyber Essentials v3.3: turn on MFA for every cloud account, move staff and guest devices onto a separate network from the PCs and card terminals, replace or remove unsupported PCs, apply critical and high-risk updates within 14 days and enforce passwords of at least 12 characters (NCSC, 2026).</w:t>
      </w:r>
    </w:p>
    <w:p>
      <w:pPr>
        <w:pStyle w:val="ListBullet"/>
        <w:spacing w:after="80" w:line="300" w:lineRule="auto"/>
        <w:jc w:val="both"/>
      </w:pPr>
      <w:r>
        <w:rPr/>
        <w:t>Set up automatic backups and test a restore, so that the backup control can be shown to work and not just to exist.</w:t>
      </w:r>
    </w:p>
    <w:p>
      <w:pPr>
        <w:pStyle w:val="ListBullet"/>
        <w:spacing w:after="80" w:line="300" w:lineRule="auto"/>
        <w:jc w:val="both"/>
      </w:pPr>
      <w:r>
        <w:rPr/>
        <w:t>Write a one-page breach procedure naming who decides on ICO notification and how the 72-hour clock is tracked.</w:t>
      </w:r>
    </w:p>
    <w:p>
      <w:pPr>
        <w:pStyle w:val="ListBullet"/>
        <w:spacing w:after="80" w:line="300" w:lineRule="auto"/>
        <w:jc w:val="both"/>
      </w:pPr>
      <w:r>
        <w:rPr/>
        <w:t>Ask the acquirer which SAQ applies to the in-store terminals and whether a validated point-to-point encryption (P2PE) solution is available, which would reduce the in-store scope (PCI Security Standards Council, no date).</w:t>
      </w:r>
    </w:p>
    <w:p>
      <w:pPr>
        <w:spacing w:after="160" w:line="300" w:lineRule="auto"/>
        <w:jc w:val="both"/>
      </w:pPr>
      <w:r>
        <w:rPr>
          <w:b/>
        </w:rPr>
        <w:t>At website launch</w:t>
      </w:r>
    </w:p>
    <w:p>
      <w:pPr>
        <w:pStyle w:val="ListBullet"/>
        <w:spacing w:after="80" w:line="300" w:lineRule="auto"/>
        <w:jc w:val="both"/>
      </w:pPr>
      <w:r>
        <w:rPr/>
        <w:t>Take payments through a hosted payment page from a PCI DSS validated provider so that card numbers never reach Pampered Pets’ systems.</w:t>
      </w:r>
    </w:p>
    <w:p>
      <w:pPr>
        <w:pStyle w:val="ListBullet"/>
        <w:spacing w:after="80" w:line="300" w:lineRule="auto"/>
        <w:jc w:val="both"/>
      </w:pPr>
      <w:r>
        <w:rPr/>
        <w:t>Keep third-party scripts off the pages around checkout, use Subresource Integrity and a Content Security Policy for those that remain, and review the list before every change. This addresses the SAQ A eligibility criterion and the failure found at Ticketmaster (ICO, 2020).</w:t>
      </w:r>
    </w:p>
    <w:p>
      <w:pPr>
        <w:pStyle w:val="ListBullet"/>
        <w:spacing w:after="80" w:line="300" w:lineRule="auto"/>
        <w:jc w:val="both"/>
      </w:pPr>
      <w:r>
        <w:rPr/>
        <w:t>Only set non-essential cookies with consent unless a PECR exemption applies, and record the source of every marketing opt-in.</w:t>
      </w:r>
    </w:p>
    <w:p>
      <w:pPr>
        <w:pStyle w:val="ListBullet"/>
        <w:spacing w:after="80" w:line="300" w:lineRule="auto"/>
        <w:jc w:val="both"/>
      </w:pPr>
      <w:r>
        <w:rPr/>
        <w:t>Sign Article 28 terms with each processor and host in Azure’s UK regions, so that customer data does not leave the UK by default.</w:t>
      </w:r>
    </w:p>
    <w:p>
      <w:pPr>
        <w:pStyle w:val="ListBullet"/>
        <w:spacing w:after="80" w:line="300" w:lineRule="auto"/>
        <w:jc w:val="both"/>
      </w:pPr>
      <w:r>
        <w:rPr/>
        <w:t>Restrict access to the records of high-profile customers and leave their names off warehouse picking lists.</w:t>
      </w:r>
    </w:p>
    <w:p>
      <w:pPr>
        <w:spacing w:after="160" w:line="300" w:lineRule="auto"/>
        <w:jc w:val="both"/>
      </w:pPr>
      <w:r>
        <w:rPr>
          <w:b/>
        </w:rPr>
        <w:t>Later</w:t>
      </w:r>
    </w:p>
    <w:p>
      <w:pPr>
        <w:pStyle w:val="ListBullet"/>
        <w:spacing w:after="80" w:line="300" w:lineRule="auto"/>
        <w:jc w:val="both"/>
      </w:pPr>
      <w:r>
        <w:rPr/>
        <w:t>Move to Cyber Essentials Plus for independent testing, then consider ISO/IEC 27001 once the ERP and international supply chain are in place, as set out in Unit 5.</w:t>
      </w:r>
    </w:p>
    <w:p>
      <w:pPr>
        <w:pStyle w:val="ListBullet"/>
        <w:spacing w:after="80" w:line="300" w:lineRule="auto"/>
        <w:jc w:val="both"/>
      </w:pPr>
      <w:r>
        <w:rPr/>
        <w:t>If the business decides to sell into the EU, appoint an EU representative and review the EU GDPR position before launch.</w:t>
      </w:r>
    </w:p>
    <w:p>
      <w:pPr>
        <w:pStyle w:val="Heading2"/>
      </w:pPr>
      <w:r>
        <w:t>4. Assumptions</w:t>
      </w:r>
    </w:p>
    <w:p>
      <w:pPr>
        <w:pStyle w:val="ListBullet"/>
        <w:spacing w:after="80" w:line="300" w:lineRule="auto"/>
        <w:jc w:val="both"/>
      </w:pPr>
      <w:r>
        <w:rPr/>
        <w:t>Pampered Pets is established in the UK, which I inferred from the royal customer, and has fewer than 250 staff.</w:t>
      </w:r>
    </w:p>
    <w:p>
      <w:pPr>
        <w:pStyle w:val="ListBullet"/>
        <w:spacing w:after="80" w:line="300" w:lineRule="auto"/>
        <w:jc w:val="both"/>
      </w:pPr>
      <w:r>
        <w:rPr/>
        <w:t>In-store card payments use terminals supplied by the acquirer, and the business does not store card numbers anywhere.</w:t>
      </w:r>
    </w:p>
    <w:p>
      <w:pPr>
        <w:pStyle w:val="ListBullet"/>
        <w:spacing w:after="80" w:line="300" w:lineRule="auto"/>
        <w:jc w:val="both"/>
      </w:pPr>
      <w:r>
        <w:rPr/>
        <w:t>Online payments will use a hosted payment page, not a payment form built into the site.</w:t>
      </w:r>
    </w:p>
    <w:p>
      <w:pPr>
        <w:pStyle w:val="ListBullet"/>
        <w:spacing w:after="80" w:line="300" w:lineRule="auto"/>
        <w:jc w:val="both"/>
      </w:pPr>
      <w:r>
        <w:rPr/>
        <w:t>The website will sell to UK customers at first, and no decision has been made about selling into the EU.</w:t>
      </w:r>
    </w:p>
    <w:p>
      <w:pPr>
        <w:pStyle w:val="ListBullet"/>
        <w:spacing w:after="80" w:line="300" w:lineRule="auto"/>
        <w:jc w:val="both"/>
      </w:pPr>
      <w:r>
        <w:rPr/>
        <w:t>Azure will host the new systems, as recommended in the executive summary, and the ERP and CRM suppliers will act as processors.</w:t>
      </w:r>
    </w:p>
    <w:p>
      <w:pPr>
        <w:pStyle w:val="ListBullet"/>
        <w:spacing w:after="80" w:line="300" w:lineRule="auto"/>
        <w:jc w:val="both"/>
      </w:pPr>
      <w:r>
        <w:rPr/>
        <w:t>The business holds no special category data about customers, but staff records include sickness absence.</w:t>
      </w:r>
    </w:p>
    <w:p>
      <w:pPr>
        <w:pStyle w:val="ListBullet"/>
        <w:spacing w:after="80" w:line="300" w:lineRule="auto"/>
        <w:jc w:val="both"/>
      </w:pPr>
      <w:r>
        <w:rPr/>
        <w:t>Pampered Pets has no public sector contracts, so the HM Government requirements for suppliers do not apply.</w:t>
      </w:r>
    </w:p>
    <w:p>
      <w:pPr>
        <w:pStyle w:val="Heading1"/>
      </w:pPr>
      <w:r>
        <w:t>References</w:t>
      </w:r>
    </w:p>
    <w:p>
      <w:pPr>
        <w:spacing w:after="120"/>
        <w:ind w:left="567" w:hanging="567"/>
      </w:pPr>
      <w:r>
        <w:rPr/>
        <w:t xml:space="preserve">Data Protection Act 2018, c. 12. Available at: </w:t>
      </w:r>
      <w:hyperlink r:id="rId9" w:history="1">
        <w:r>
          <w:rPr>
            <w:color w:val="0563C1"/>
            <w:u w:val="single"/>
          </w:rPr>
          <w:t xml:space="preserve">https://www.legislation.gov.uk/ukpga/2018/12/contents</w:t>
        </w:r>
      </w:hyperlink>
      <w:r>
        <w:rPr/>
        <w:t xml:space="preserve"> (Accessed: 3 October 2026).</w:t>
      </w:r>
    </w:p>
    <w:p>
      <w:pPr>
        <w:spacing w:after="120"/>
        <w:ind w:left="567" w:hanging="567"/>
      </w:pPr>
      <w:r>
        <w:rPr/>
        <w:t xml:space="preserve">Data (Use and Access) Act 2025, c. 18. Available at: </w:t>
      </w:r>
      <w:hyperlink r:id="rId10" w:history="1">
        <w:r>
          <w:rPr>
            <w:color w:val="0563C1"/>
            <w:u w:val="single"/>
          </w:rPr>
          <w:t xml:space="preserve">https://www.legislation.gov.uk/ukpga/2025/18/contents</w:t>
        </w:r>
      </w:hyperlink>
      <w:r>
        <w:rPr/>
        <w:t xml:space="preserve"> (Accessed: 3 October 2026).</w:t>
      </w:r>
    </w:p>
    <w:p>
      <w:pPr>
        <w:spacing w:after="120"/>
        <w:ind w:left="567" w:hanging="567"/>
      </w:pPr>
      <w:r>
        <w:rPr/>
        <w:t xml:space="preserve">HHS (no date) </w:t>
      </w:r>
      <w:r>
        <w:rPr>
          <w:i/>
        </w:rPr>
        <w:t>Covered entities and business associates</w:t>
      </w:r>
      <w:r>
        <w:rPr/>
        <w:t xml:space="preserve">. Washington, DC: US Department of Health and Human Services. Available at: </w:t>
      </w:r>
      <w:hyperlink r:id="rId11" w:history="1">
        <w:r>
          <w:rPr>
            <w:color w:val="0563C1"/>
            <w:u w:val="single"/>
          </w:rPr>
          <w:t xml:space="preserve">https://www.hhs.gov/hipaa/for-professionals/covered-entities/index.html</w:t>
        </w:r>
      </w:hyperlink>
      <w:r>
        <w:rPr/>
        <w:t xml:space="preserve"> (Accessed: 3 October 2026).</w:t>
      </w:r>
    </w:p>
    <w:p>
      <w:pPr>
        <w:spacing w:after="120"/>
        <w:ind w:left="567" w:hanging="567"/>
      </w:pPr>
      <w:r>
        <w:rPr/>
        <w:t xml:space="preserve">ICO (2020) </w:t>
      </w:r>
      <w:r>
        <w:rPr>
          <w:i/>
        </w:rPr>
        <w:t>Penalty notice: Ticketmaster UK Limited</w:t>
      </w:r>
      <w:r>
        <w:rPr/>
        <w:t xml:space="preserve">, 13 November. Wilmslow: Information Commissioner’s Office. Available at: </w:t>
      </w:r>
      <w:hyperlink r:id="rId12" w:history="1">
        <w:r>
          <w:rPr>
            <w:color w:val="0563C1"/>
            <w:u w:val="single"/>
          </w:rPr>
          <w:t xml:space="preserve">https://edpb.europa.eu/sites/default/files/article-60-final-decisions/uk_2020-11_personal_data_breach_decisionpublic_final.pdf</w:t>
        </w:r>
      </w:hyperlink>
      <w:r>
        <w:rPr/>
        <w:t xml:space="preserve"> (Accessed: 3 October 2026).</w:t>
      </w:r>
    </w:p>
    <w:p>
      <w:pPr>
        <w:spacing w:after="120"/>
        <w:ind w:left="567" w:hanging="567"/>
      </w:pPr>
      <w:r>
        <w:rPr/>
        <w:t xml:space="preserve">ICO (2026a) ‘Statement on the commencement of the Data (Use and Access) Act (DUAA)’, 5 February. Available at: </w:t>
      </w:r>
      <w:hyperlink r:id="rId13" w:history="1">
        <w:r>
          <w:rPr>
            <w:color w:val="0563C1"/>
            <w:u w:val="single"/>
          </w:rPr>
          <w:t xml:space="preserve">https://ico.org.uk/about-the-ico/media-centre/news-and-blogs/2026/02/statement-on-the-commencement-of-the-data-use-and-access-act-duaa/</w:t>
        </w:r>
      </w:hyperlink>
      <w:r>
        <w:rPr/>
        <w:t xml:space="preserve"> (Accessed: 3 October 2026).</w:t>
      </w:r>
    </w:p>
    <w:p>
      <w:pPr>
        <w:spacing w:after="120"/>
        <w:ind w:left="567" w:hanging="567"/>
      </w:pPr>
      <w:r>
        <w:rPr/>
        <w:t xml:space="preserve">ICO (2026b) </w:t>
      </w:r>
      <w:r>
        <w:rPr>
          <w:i/>
        </w:rPr>
        <w:t>Data protection fee</w:t>
      </w:r>
      <w:r>
        <w:rPr/>
        <w:t xml:space="preserve">. Wilmslow: Information Commissioner’s Office. Available at: </w:t>
      </w:r>
      <w:hyperlink r:id="rId14" w:history="1">
        <w:r>
          <w:rPr>
            <w:color w:val="0563C1"/>
            <w:u w:val="single"/>
          </w:rPr>
          <w:t xml:space="preserve">https://ico.org.uk/for-organisations/data-protection-fee/</w:t>
        </w:r>
      </w:hyperlink>
      <w:r>
        <w:rPr/>
        <w:t xml:space="preserve"> (Accessed: 3 October 2026).</w:t>
      </w:r>
    </w:p>
    <w:p>
      <w:pPr>
        <w:spacing w:after="120"/>
        <w:ind w:left="567" w:hanging="567"/>
      </w:pPr>
      <w:r>
        <w:rPr/>
        <w:t xml:space="preserve">ICO (no date) </w:t>
      </w:r>
      <w:r>
        <w:rPr>
          <w:i/>
        </w:rPr>
        <w:t>UK GDPR guidance and resources</w:t>
      </w:r>
      <w:r>
        <w:rPr/>
        <w:t xml:space="preserve">. Wilmslow: Information Commissioner’s Office. Available at: </w:t>
      </w:r>
      <w:hyperlink r:id="rId15" w:history="1">
        <w:r>
          <w:rPr>
            <w:color w:val="0563C1"/>
            <w:u w:val="single"/>
          </w:rPr>
          <w:t xml:space="preserve">https://ico.org.uk/for-organisations/uk-gdpr-guidance-and-resources/</w:t>
        </w:r>
      </w:hyperlink>
      <w:r>
        <w:rPr/>
        <w:t xml:space="preserve"> (Accessed: 3 October 2026).</w:t>
      </w:r>
    </w:p>
    <w:p>
      <w:pPr>
        <w:spacing w:after="120"/>
        <w:ind w:left="567" w:hanging="567"/>
      </w:pPr>
      <w:r>
        <w:rPr/>
        <w:t xml:space="preserve">Johnson, L. (2026) </w:t>
      </w:r>
      <w:r>
        <w:rPr>
          <w:i/>
        </w:rPr>
        <w:t>HIPAA for dummies</w:t>
      </w:r>
      <w:r>
        <w:rPr/>
        <w:t xml:space="preserve">. HIPAA Guide. Available at: </w:t>
      </w:r>
      <w:hyperlink r:id="rId16" w:history="1">
        <w:r>
          <w:rPr>
            <w:color w:val="0563C1"/>
            <w:u w:val="single"/>
          </w:rPr>
          <w:t xml:space="preserve">https://www.hipaaguide.net/hipaa-for-dummies</w:t>
        </w:r>
      </w:hyperlink>
      <w:r>
        <w:rPr/>
        <w:t xml:space="preserve"> (Accessed: 3 October 2026).</w:t>
      </w:r>
    </w:p>
    <w:p>
      <w:pPr>
        <w:spacing w:after="120"/>
        <w:ind w:left="567" w:hanging="567"/>
      </w:pPr>
      <w:r>
        <w:rPr/>
        <w:t xml:space="preserve">Kirvan, P. (2025) </w:t>
      </w:r>
      <w:r>
        <w:rPr>
          <w:i/>
        </w:rPr>
        <w:t>Top 15 IT security frameworks and standards explained</w:t>
      </w:r>
      <w:r>
        <w:rPr/>
        <w:t xml:space="preserve">. TechTarget. Available at: </w:t>
      </w:r>
      <w:hyperlink r:id="rId17" w:history="1">
        <w:r>
          <w:rPr>
            <w:color w:val="0563C1"/>
            <w:u w:val="single"/>
          </w:rPr>
          <w:t xml:space="preserve">https://www.techtarget.com/searchsecurity/tip/IT-security-frameworks-and-standards-Choosing-the-right-one</w:t>
        </w:r>
      </w:hyperlink>
      <w:r>
        <w:rPr/>
        <w:t xml:space="preserve"> (Accessed: 3 October 2026).</w:t>
      </w:r>
    </w:p>
    <w:p>
      <w:pPr>
        <w:spacing w:after="120"/>
        <w:ind w:left="567" w:hanging="567"/>
      </w:pPr>
      <w:r>
        <w:rPr/>
        <w:t xml:space="preserve">NCSC (2026) </w:t>
      </w:r>
      <w:r>
        <w:rPr>
          <w:i/>
        </w:rPr>
        <w:t>Cyber Essentials: requirements for IT infrastructure</w:t>
      </w:r>
      <w:r>
        <w:rPr/>
        <w:t xml:space="preserve">, v3.3. London: National Cyber Security Centre. Available at: </w:t>
      </w:r>
      <w:hyperlink r:id="rId18" w:history="1">
        <w:r>
          <w:rPr>
            <w:color w:val="0563C1"/>
            <w:u w:val="single"/>
          </w:rPr>
          <w:t xml:space="preserve">https://www.ncsc.gov.uk/files/cyber-essentials-requirements-for-it-infrastructure-v3-3.pdf</w:t>
        </w:r>
      </w:hyperlink>
      <w:r>
        <w:rPr/>
        <w:t xml:space="preserve"> (Accessed: 3 October 2026).</w:t>
      </w:r>
    </w:p>
    <w:p>
      <w:pPr>
        <w:spacing w:after="120"/>
        <w:ind w:left="567" w:hanging="567"/>
      </w:pPr>
      <w:r>
        <w:rPr/>
        <w:t xml:space="preserve">NCSC (no date) </w:t>
      </w:r>
      <w:r>
        <w:rPr>
          <w:i/>
        </w:rPr>
        <w:t>Cyber Essentials</w:t>
      </w:r>
      <w:r>
        <w:rPr/>
        <w:t xml:space="preserve">. London: National Cyber Security Centre. Available at: </w:t>
      </w:r>
      <w:hyperlink r:id="rId19" w:history="1">
        <w:r>
          <w:rPr>
            <w:color w:val="0563C1"/>
            <w:u w:val="single"/>
          </w:rPr>
          <w:t xml:space="preserve">https://www.ncsc.gov.uk/cyberessentials/overview</w:t>
        </w:r>
      </w:hyperlink>
      <w:r>
        <w:rPr/>
        <w:t xml:space="preserve"> (Accessed: 3 October 2026).</w:t>
      </w:r>
    </w:p>
    <w:p>
      <w:pPr>
        <w:spacing w:after="120"/>
        <w:ind w:left="567" w:hanging="567"/>
      </w:pPr>
      <w:r>
        <w:rPr/>
        <w:t xml:space="preserve">PCI Security Standards Council (2024) </w:t>
      </w:r>
      <w:r>
        <w:rPr>
          <w:i/>
        </w:rPr>
        <w:t>Payment Card Industry Data Security Standard: requirements and testing procedures, version 4.0.1</w:t>
      </w:r>
      <w:r>
        <w:rPr/>
        <w:t xml:space="preserve">. Wakefield, MA: PCI Security Standards Council. Available at: </w:t>
      </w:r>
      <w:hyperlink r:id="rId20" w:history="1">
        <w:r>
          <w:rPr>
            <w:color w:val="0563C1"/>
            <w:u w:val="single"/>
          </w:rPr>
          <w:t xml:space="preserve">https://www.pcisecuritystandards.org/document_library/</w:t>
        </w:r>
      </w:hyperlink>
      <w:r>
        <w:rPr/>
        <w:t xml:space="preserve"> (Accessed: 3 October 2026).</w:t>
      </w:r>
    </w:p>
    <w:p>
      <w:pPr>
        <w:spacing w:after="120"/>
        <w:ind w:left="567" w:hanging="567"/>
      </w:pPr>
      <w:r>
        <w:rPr/>
        <w:t xml:space="preserve">PCI Security Standards Council (2025) ‘Important updates announced for merchants validating to Self-Assessment Questionnaire A’, </w:t>
      </w:r>
      <w:r>
        <w:rPr>
          <w:i/>
        </w:rPr>
        <w:t>PCI Perspectives</w:t>
      </w:r>
      <w:r>
        <w:rPr/>
        <w:t xml:space="preserve">, 30 January. Available at: </w:t>
      </w:r>
      <w:hyperlink r:id="rId21" w:history="1">
        <w:r>
          <w:rPr>
            <w:color w:val="0563C1"/>
            <w:u w:val="single"/>
          </w:rPr>
          <w:t xml:space="preserve">https://blog.pcisecuritystandards.org/important-updates-announced-for-merchants-validating-to-self-assessment-questionnaire-a</w:t>
        </w:r>
      </w:hyperlink>
      <w:r>
        <w:rPr/>
        <w:t xml:space="preserve"> (Accessed: 3 October 2026).</w:t>
      </w:r>
    </w:p>
    <w:p>
      <w:pPr>
        <w:spacing w:after="120"/>
        <w:ind w:left="567" w:hanging="567"/>
      </w:pPr>
      <w:r>
        <w:rPr/>
        <w:t xml:space="preserve">PCI Security Standards Council (no date) </w:t>
      </w:r>
      <w:r>
        <w:rPr>
          <w:i/>
        </w:rPr>
        <w:t>PCI security standards overview</w:t>
      </w:r>
      <w:r>
        <w:rPr/>
        <w:t xml:space="preserve">. Available at: </w:t>
      </w:r>
      <w:hyperlink r:id="rId22" w:history="1">
        <w:r>
          <w:rPr>
            <w:color w:val="0563C1"/>
            <w:u w:val="single"/>
          </w:rPr>
          <w:t xml:space="preserve">https://www.pcisecuritystandards.org/standards/</w:t>
        </w:r>
      </w:hyperlink>
      <w:r>
        <w:rPr/>
        <w:t xml:space="preserve"> (Accessed: 3 October 2026).</w:t>
      </w:r>
    </w:p>
    <w:p>
      <w:pPr>
        <w:spacing w:after="120"/>
        <w:ind w:left="567" w:hanging="567"/>
      </w:pPr>
      <w:r>
        <w:rPr/>
        <w:t xml:space="preserve">Privacy and Electronic Communications (EC Directive) Regulations 2003, SI 2003/2426. Available at: </w:t>
      </w:r>
      <w:hyperlink r:id="rId23" w:history="1">
        <w:r>
          <w:rPr>
            <w:color w:val="0563C1"/>
            <w:u w:val="single"/>
          </w:rPr>
          <w:t xml:space="preserve">https://www.legislation.gov.uk/uksi/2003/2426/contents</w:t>
        </w:r>
      </w:hyperlink>
      <w:r>
        <w:rPr/>
        <w:t xml:space="preserve"> (Accessed: 3 October 2026).</w:t>
      </w:r>
    </w:p>
    <w:p>
      <w:pPr>
        <w:spacing w:after="120"/>
        <w:ind w:left="567" w:hanging="567"/>
      </w:pPr>
      <w:r>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rPr>
        <w:t>Official Journal of the European Union</w:t>
      </w:r>
      <w:r>
        <w:rPr/>
        <w:t xml:space="preserve">, L 119, 4 May, pp. 1–88. Available at: </w:t>
      </w:r>
      <w:hyperlink r:id="rId24" w:history="1">
        <w:r>
          <w:rPr>
            <w:color w:val="0563C1"/>
            <w:u w:val="single"/>
          </w:rPr>
          <w:t xml:space="preserve">https://eur-lex.europa.eu/eli/reg/2016/679/oj</w:t>
        </w:r>
      </w:hyperlink>
      <w:r>
        <w:rPr/>
        <w:t xml:space="preserve"> (Accessed: 3 October 2026).</w:t>
      </w:r>
    </w:p>
    <w:p>
      <w:pPr>
        <w:spacing w:after="120"/>
        <w:ind w:left="567" w:hanging="567"/>
      </w:pPr>
      <w:r>
        <w:rPr/>
        <w:t xml:space="preserve">Regulation (EU) 2016/679 (United Kingdom General Data Protection Regulation), as retained in UK law. Available at: </w:t>
      </w:r>
      <w:hyperlink r:id="rId25" w:history="1">
        <w:r>
          <w:rPr>
            <w:color w:val="0563C1"/>
            <w:u w:val="single"/>
          </w:rPr>
          <w:t xml:space="preserve">https://www.legislation.gov.uk/eur/2016/679/contents</w:t>
        </w:r>
      </w:hyperlink>
      <w:r>
        <w:rPr/>
        <w:t xml:space="preserve"> (Accessed: 3 October 2026).</w:t>
      </w:r>
    </w:p>
    <w:p>
      <w:pPr>
        <w:spacing w:after="120"/>
        <w:ind w:left="567" w:hanging="567"/>
      </w:pPr>
      <w:r>
        <w:rPr/>
        <w:t xml:space="preserve">Rolfe, G., Freshwater, D. and Jasper, M. (2001) </w:t>
      </w:r>
      <w:r>
        <w:rPr>
          <w:i/>
        </w:rPr>
        <w:t>Critical reflection in nursing and the helping professions: a user’s guide</w:t>
      </w:r>
      <w:r>
        <w:rPr/>
        <w:t>. Basingstoke: Palgrave Macmillan.</w:t>
      </w:r>
    </w:p>
    <w:p>
      <w:pPr>
        <w:spacing w:after="120"/>
        <w:ind w:left="567" w:hanging="567"/>
      </w:pPr>
      <w:r>
        <w:rPr/>
        <w:t xml:space="preserve">Sørensen, B.T. (2018) ‘Digitalisation: an opportunity or a risk?’, </w:t>
      </w:r>
      <w:r>
        <w:rPr>
          <w:i/>
        </w:rPr>
        <w:t>Journal of European Competition Law &amp; Practice</w:t>
      </w:r>
      <w:r>
        <w:rPr/>
        <w:t xml:space="preserve">, 9(6), pp. 349–350. Available at: </w:t>
      </w:r>
      <w:hyperlink r:id="rId26" w:history="1">
        <w:r>
          <w:rPr>
            <w:color w:val="0563C1"/>
            <w:u w:val="single"/>
          </w:rPr>
          <w:t xml:space="preserve">https://doi.org/10.1093/jeclap/lpy038</w:t>
        </w:r>
      </w:hyperlink>
      <w:r>
        <w:rPr/>
        <w:t xml:space="preserve"> (Accessed: 3 October 2026).</w:t>
      </w:r>
    </w:p>
    <w:p>
      <w:pPr>
        <w:spacing w:after="120"/>
        <w:ind w:left="567" w:hanging="567"/>
      </w:pPr>
      <w:r>
        <w:rPr/>
        <w:t xml:space="preserve">Sutton, D. (2021) </w:t>
      </w:r>
      <w:r>
        <w:rPr>
          <w:i/>
        </w:rPr>
        <w:t>Information risk management: a practitioner’s guide</w:t>
      </w:r>
      <w:r>
        <w:rPr/>
        <w:t xml:space="preserve">. 2nd edn. Swindon: BCS, The Chartered Institute for IT. Appendix D: Information risk controls; Appendix G: HMG cyber security guidelines. Available at: </w:t>
      </w:r>
      <w:hyperlink r:id="rId27" w:history="1">
        <w:r>
          <w:rPr>
            <w:color w:val="0563C1"/>
            <w:u w:val="single"/>
          </w:rPr>
          <w:t xml:space="preserve">https://www.oreilly.com/library/view/information-risk-management/9781780175751/</w:t>
        </w:r>
      </w:hyperlink>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Reflection: The Practical Implications of Security and Risk Standards</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