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D6B"/>
          <w:sz w:val="48"/>
          <w:szCs w:val="48"/>
        </w:rPr>
        <w:t xml:space="preserve">ARIA AI RECEPTIONIST</w:t>
      </w:r>
    </w:p>
    <w:p>
      <w:pPr>
        <w:spacing w:after="80" w:before="0"/>
        <w:jc w:val="center"/>
      </w:pPr>
      <w:r>
        <w:rPr>
          <w:rFonts w:ascii="Arial" w:cs="Arial" w:eastAsia="Arial" w:hAnsi="Arial"/>
          <w:b/>
          <w:bCs/>
          <w:color w:val="2E75B6"/>
          <w:sz w:val="36"/>
          <w:szCs w:val="36"/>
        </w:rPr>
        <w:t xml:space="preserve">SERVICE AGREEMENT</w:t>
      </w:r>
    </w:p>
    <w:p>
      <w:pPr>
        <w:spacing w:after="480" w:before="0"/>
        <w:jc w:val="center"/>
      </w:pPr>
      <w:r>
        <w:rPr>
          <w:rFonts w:ascii="Arial" w:cs="Arial" w:eastAsia="Arial" w:hAnsi="Arial"/>
          <w:color w:val="595959"/>
          <w:sz w:val="24"/>
          <w:szCs w:val="24"/>
        </w:rPr>
        <w:t xml:space="preserve">InSync Tech Inc.</w:t>
      </w:r>
    </w:p>
    <w:p>
      <w:pPr>
        <w:pBdr>
          <w:bottom w:val="single" w:color="2E75B6" w:sz="4" w:space="4"/>
        </w:pBdr>
        <w:spacing w:after="120" w:before="360"/>
      </w:pPr>
      <w:r>
        <w:rPr>
          <w:rFonts w:ascii="Arial" w:cs="Arial" w:eastAsia="Arial" w:hAnsi="Arial"/>
          <w:b/>
          <w:bCs/>
          <w:color w:val="1A3D6B"/>
          <w:sz w:val="28"/>
          <w:szCs w:val="28"/>
        </w:rPr>
        <w:t xml:space="preserve">1. PARTIES &amp; EFFECTIVE DATE</w:t>
      </w:r>
    </w:p>
    <w:p>
      <w:pPr>
        <w:spacing w:after="120" w:before="80"/>
      </w:pPr>
      <w:r>
        <w:rPr>
          <w:rFonts w:ascii="Arial" w:cs="Arial" w:eastAsia="Arial" w:hAnsi="Arial"/>
          <w:color w:val="595959"/>
          <w:sz w:val="22"/>
          <w:szCs w:val="22"/>
        </w:rPr>
        <w:t xml:space="preserve">This Service Agreement ("Agreement") is entered into as of the Effective Date set forth below, between:</w:t>
      </w:r>
    </w:p>
    <w:p>
      <w:pPr>
        <w:spacing w:after="60" w:before="60"/>
      </w:pPr>
      <w:r>
        <w:t xml:space="preserve"/>
      </w:r>
    </w:p>
    <w:p>
      <w:pPr>
        <w:spacing w:after="80" w:before="80"/>
      </w:pPr>
      <w:r>
        <w:rPr>
          <w:rFonts w:ascii="Arial" w:cs="Arial" w:eastAsia="Arial" w:hAnsi="Arial"/>
          <w:b/>
          <w:bCs/>
          <w:color w:val="595959"/>
          <w:sz w:val="22"/>
          <w:szCs w:val="22"/>
        </w:rPr>
        <w:t xml:space="preserve">Service Provider: </w:t>
      </w:r>
      <w:r>
        <w:rPr>
          <w:rFonts w:ascii="Arial" w:cs="Arial" w:eastAsia="Arial" w:hAnsi="Arial"/>
          <w:color w:val="595959"/>
          <w:sz w:val="22"/>
          <w:szCs w:val="22"/>
        </w:rPr>
        <w:t xml:space="preserve">InSync Tech Inc., a Florida-based technology company ("InSync Tech" or "Provider")</w:t>
      </w:r>
    </w:p>
    <w:p>
      <w:pPr>
        <w:spacing w:after="80" w:before="80"/>
      </w:pPr>
      <w:r>
        <w:rPr>
          <w:rFonts w:ascii="Arial" w:cs="Arial" w:eastAsia="Arial" w:hAnsi="Arial"/>
          <w:b/>
          <w:bCs/>
          <w:color w:val="595959"/>
          <w:sz w:val="22"/>
          <w:szCs w:val="22"/>
        </w:rPr>
        <w:t xml:space="preserve">Client (Full Legal Name): </w:t>
      </w:r>
      <w:r>
        <w:rPr>
          <w:rFonts w:ascii="Arial" w:cs="Arial" w:eastAsia="Arial" w:hAnsi="Arial"/>
          <w:color w:val="595959"/>
          <w:sz w:val="22"/>
          <w:szCs w:val="22"/>
        </w:rPr>
        <w:t xml:space="preserve">_________________________________________________</w:t>
      </w:r>
    </w:p>
    <w:p>
      <w:pPr>
        <w:spacing w:after="80" w:before="80"/>
      </w:pPr>
      <w:r>
        <w:rPr>
          <w:rFonts w:ascii="Arial" w:cs="Arial" w:eastAsia="Arial" w:hAnsi="Arial"/>
          <w:b/>
          <w:bCs/>
          <w:color w:val="595959"/>
          <w:sz w:val="22"/>
          <w:szCs w:val="22"/>
        </w:rPr>
        <w:t xml:space="preserve">Business Name: </w:t>
      </w:r>
      <w:r>
        <w:rPr>
          <w:rFonts w:ascii="Arial" w:cs="Arial" w:eastAsia="Arial" w:hAnsi="Arial"/>
          <w:color w:val="595959"/>
          <w:sz w:val="22"/>
          <w:szCs w:val="22"/>
        </w:rPr>
        <w:t xml:space="preserve">_________________________________________________</w:t>
      </w:r>
    </w:p>
    <w:p>
      <w:pPr>
        <w:spacing w:after="80" w:before="80"/>
      </w:pPr>
      <w:r>
        <w:rPr>
          <w:rFonts w:ascii="Arial" w:cs="Arial" w:eastAsia="Arial" w:hAnsi="Arial"/>
          <w:b/>
          <w:bCs/>
          <w:color w:val="595959"/>
          <w:sz w:val="22"/>
          <w:szCs w:val="22"/>
        </w:rPr>
        <w:t xml:space="preserve">Business Address: </w:t>
      </w:r>
      <w:r>
        <w:rPr>
          <w:rFonts w:ascii="Arial" w:cs="Arial" w:eastAsia="Arial" w:hAnsi="Arial"/>
          <w:color w:val="595959"/>
          <w:sz w:val="22"/>
          <w:szCs w:val="22"/>
        </w:rPr>
        <w:t xml:space="preserve">_________________________________________________</w:t>
      </w:r>
    </w:p>
    <w:p>
      <w:pPr>
        <w:spacing w:after="80" w:before="80"/>
      </w:pPr>
      <w:r>
        <w:rPr>
          <w:rFonts w:ascii="Arial" w:cs="Arial" w:eastAsia="Arial" w:hAnsi="Arial"/>
          <w:b/>
          <w:bCs/>
          <w:color w:val="595959"/>
          <w:sz w:val="22"/>
          <w:szCs w:val="22"/>
        </w:rPr>
        <w:t xml:space="preserve">Client Email Address: </w:t>
      </w:r>
      <w:r>
        <w:rPr>
          <w:rFonts w:ascii="Arial" w:cs="Arial" w:eastAsia="Arial" w:hAnsi="Arial"/>
          <w:color w:val="595959"/>
          <w:sz w:val="22"/>
          <w:szCs w:val="22"/>
        </w:rPr>
        <w:t xml:space="preserve">_________________________________________________</w:t>
      </w:r>
    </w:p>
    <w:p>
      <w:pPr>
        <w:spacing w:after="80" w:before="80"/>
      </w:pPr>
      <w:r>
        <w:rPr>
          <w:rFonts w:ascii="Arial" w:cs="Arial" w:eastAsia="Arial" w:hAnsi="Arial"/>
          <w:b/>
          <w:bCs/>
          <w:color w:val="595959"/>
          <w:sz w:val="22"/>
          <w:szCs w:val="22"/>
        </w:rPr>
        <w:t xml:space="preserve">Assigned Twilio Phone Number: </w:t>
      </w:r>
      <w:r>
        <w:rPr>
          <w:rFonts w:ascii="Arial" w:cs="Arial" w:eastAsia="Arial" w:hAnsi="Arial"/>
          <w:color w:val="595959"/>
          <w:sz w:val="22"/>
          <w:szCs w:val="22"/>
        </w:rPr>
        <w:t xml:space="preserve">______________________________</w:t>
      </w:r>
    </w:p>
    <w:p>
      <w:pPr>
        <w:spacing w:after="80" w:before="80"/>
      </w:pPr>
      <w:r>
        <w:rPr>
          <w:rFonts w:ascii="Arial" w:cs="Arial" w:eastAsia="Arial" w:hAnsi="Arial"/>
          <w:b/>
          <w:bCs/>
          <w:color w:val="595959"/>
          <w:sz w:val="22"/>
          <w:szCs w:val="22"/>
        </w:rPr>
        <w:t xml:space="preserve">Effective Date: </w:t>
      </w:r>
      <w:r>
        <w:rPr>
          <w:rFonts w:ascii="Arial" w:cs="Arial" w:eastAsia="Arial" w:hAnsi="Arial"/>
          <w:color w:val="595959"/>
          <w:sz w:val="22"/>
          <w:szCs w:val="22"/>
        </w:rPr>
        <w:t xml:space="preserve">______________________________</w:t>
      </w:r>
    </w:p>
    <w:p>
      <w:pPr>
        <w:spacing w:after="60" w:before="60"/>
      </w:pPr>
      <w:r>
        <w:t xml:space="preserve"/>
      </w:r>
    </w:p>
    <w:p>
      <w:pPr>
        <w:pBdr>
          <w:bottom w:val="single" w:color="2E75B6" w:sz="4" w:space="4"/>
        </w:pBdr>
        <w:spacing w:after="120" w:before="360"/>
      </w:pPr>
      <w:r>
        <w:rPr>
          <w:rFonts w:ascii="Arial" w:cs="Arial" w:eastAsia="Arial" w:hAnsi="Arial"/>
          <w:b/>
          <w:bCs/>
          <w:color w:val="1A3D6B"/>
          <w:sz w:val="28"/>
          <w:szCs w:val="28"/>
        </w:rPr>
        <w:t xml:space="preserve">2. DESCRIPTION OF SERVICES</w:t>
      </w:r>
    </w:p>
    <w:p>
      <w:pPr>
        <w:spacing w:after="120" w:before="80"/>
      </w:pPr>
      <w:r>
        <w:rPr>
          <w:rFonts w:ascii="Arial" w:cs="Arial" w:eastAsia="Arial" w:hAnsi="Arial"/>
          <w:color w:val="595959"/>
          <w:sz w:val="22"/>
          <w:szCs w:val="22"/>
        </w:rPr>
        <w:t xml:space="preserve">InSync Tech will provide the Client with access to ARIA, an AI-powered voice receptionist (the "Service"), which includes:</w:t>
      </w:r>
    </w:p>
    <w:p>
      <w:pPr>
        <w:pStyle w:val="ListParagraph"/>
        <w:numPr>
          <w:ilvl w:val="0"/>
          <w:numId w:val="2"/>
        </w:numPr>
        <w:spacing w:after="60" w:before="60"/>
      </w:pPr>
      <w:r>
        <w:rPr>
          <w:rFonts w:ascii="Arial" w:cs="Arial" w:eastAsia="Arial" w:hAnsi="Arial"/>
          <w:color w:val="595959"/>
          <w:sz w:val="22"/>
          <w:szCs w:val="22"/>
        </w:rPr>
        <w:t xml:space="preserve">Inbound call answering via the assigned Twilio phone number</w:t>
      </w:r>
    </w:p>
    <w:p>
      <w:pPr>
        <w:pStyle w:val="ListParagraph"/>
        <w:numPr>
          <w:ilvl w:val="0"/>
          <w:numId w:val="2"/>
        </w:numPr>
        <w:spacing w:after="60" w:before="60"/>
      </w:pPr>
      <w:r>
        <w:rPr>
          <w:rFonts w:ascii="Arial" w:cs="Arial" w:eastAsia="Arial" w:hAnsi="Arial"/>
          <w:color w:val="595959"/>
          <w:sz w:val="22"/>
          <w:szCs w:val="22"/>
        </w:rPr>
        <w:t xml:space="preserve">Real-time transcription of call content</w:t>
      </w:r>
    </w:p>
    <w:p>
      <w:pPr>
        <w:pStyle w:val="ListParagraph"/>
        <w:numPr>
          <w:ilvl w:val="0"/>
          <w:numId w:val="2"/>
        </w:numPr>
        <w:spacing w:after="60" w:before="60"/>
      </w:pPr>
      <w:r>
        <w:rPr>
          <w:rFonts w:ascii="Arial" w:cs="Arial" w:eastAsia="Arial" w:hAnsi="Arial"/>
          <w:color w:val="595959"/>
          <w:sz w:val="22"/>
          <w:szCs w:val="22"/>
        </w:rPr>
        <w:t xml:space="preserve">Post-call AI-generated summaries delivered via email</w:t>
      </w:r>
    </w:p>
    <w:p>
      <w:pPr>
        <w:pStyle w:val="ListParagraph"/>
        <w:numPr>
          <w:ilvl w:val="0"/>
          <w:numId w:val="2"/>
        </w:numPr>
        <w:spacing w:after="60" w:before="60"/>
      </w:pPr>
      <w:r>
        <w:rPr>
          <w:rFonts w:ascii="Arial" w:cs="Arial" w:eastAsia="Arial" w:hAnsi="Arial"/>
          <w:color w:val="595959"/>
          <w:sz w:val="22"/>
          <w:szCs w:val="22"/>
        </w:rPr>
        <w:t xml:space="preserve">MP3 call recording delivered via email</w:t>
      </w:r>
    </w:p>
    <w:p>
      <w:pPr>
        <w:pStyle w:val="ListParagraph"/>
        <w:numPr>
          <w:ilvl w:val="0"/>
          <w:numId w:val="2"/>
        </w:numPr>
        <w:spacing w:after="60" w:before="60"/>
      </w:pPr>
      <w:r>
        <w:rPr>
          <w:rFonts w:ascii="Arial" w:cs="Arial" w:eastAsia="Arial" w:hAnsi="Arial"/>
          <w:color w:val="595959"/>
          <w:sz w:val="22"/>
          <w:szCs w:val="22"/>
        </w:rPr>
        <w:t xml:space="preserve">Basic caller information capture and logging</w:t>
      </w:r>
    </w:p>
    <w:p>
      <w:pPr>
        <w:spacing w:after="60" w:before="60"/>
      </w:pPr>
      <w:r>
        <w:t xml:space="preserve"/>
      </w:r>
    </w:p>
    <w:p>
      <w:pPr>
        <w:spacing w:after="120" w:before="80"/>
      </w:pPr>
      <w:r>
        <w:rPr>
          <w:rFonts w:ascii="Arial" w:cs="Arial" w:eastAsia="Arial" w:hAnsi="Arial"/>
          <w:color w:val="595959"/>
          <w:sz w:val="22"/>
          <w:szCs w:val="22"/>
        </w:rPr>
        <w:t xml:space="preserve">The Service expressly does NOT include:</w:t>
      </w:r>
    </w:p>
    <w:p>
      <w:pPr>
        <w:pStyle w:val="ListParagraph"/>
        <w:numPr>
          <w:ilvl w:val="0"/>
          <w:numId w:val="2"/>
        </w:numPr>
        <w:spacing w:after="60" w:before="60"/>
      </w:pPr>
      <w:r>
        <w:rPr>
          <w:rFonts w:ascii="Arial" w:cs="Arial" w:eastAsia="Arial" w:hAnsi="Arial"/>
          <w:color w:val="595959"/>
          <w:sz w:val="22"/>
          <w:szCs w:val="22"/>
        </w:rPr>
        <w:t xml:space="preserve">Outbound marketing, telemarketing, or robocalling of any kind</w:t>
      </w:r>
    </w:p>
    <w:p>
      <w:pPr>
        <w:pStyle w:val="ListParagraph"/>
        <w:numPr>
          <w:ilvl w:val="0"/>
          <w:numId w:val="2"/>
        </w:numPr>
        <w:spacing w:after="60" w:before="60"/>
      </w:pPr>
      <w:r>
        <w:rPr>
          <w:rFonts w:ascii="Arial" w:cs="Arial" w:eastAsia="Arial" w:hAnsi="Arial"/>
          <w:color w:val="595959"/>
          <w:sz w:val="22"/>
          <w:szCs w:val="22"/>
        </w:rPr>
        <w:t xml:space="preserve">Legal, medical, financial, or professional advice of any nature</w:t>
      </w:r>
    </w:p>
    <w:p>
      <w:pPr>
        <w:pStyle w:val="ListParagraph"/>
        <w:numPr>
          <w:ilvl w:val="0"/>
          <w:numId w:val="2"/>
        </w:numPr>
        <w:spacing w:after="60" w:before="60"/>
      </w:pPr>
      <w:r>
        <w:rPr>
          <w:rFonts w:ascii="Arial" w:cs="Arial" w:eastAsia="Arial" w:hAnsi="Arial"/>
          <w:color w:val="595959"/>
          <w:sz w:val="22"/>
          <w:szCs w:val="22"/>
        </w:rPr>
        <w:t xml:space="preserve">Business decision-making on behalf of the Client</w:t>
      </w:r>
    </w:p>
    <w:p>
      <w:pPr>
        <w:pStyle w:val="ListParagraph"/>
        <w:numPr>
          <w:ilvl w:val="0"/>
          <w:numId w:val="2"/>
        </w:numPr>
        <w:spacing w:after="60" w:before="60"/>
      </w:pPr>
      <w:r>
        <w:rPr>
          <w:rFonts w:ascii="Arial" w:cs="Arial" w:eastAsia="Arial" w:hAnsi="Arial"/>
          <w:color w:val="595959"/>
          <w:sz w:val="22"/>
          <w:szCs w:val="22"/>
        </w:rPr>
        <w:t xml:space="preserve">Guaranteed 24/7 human backup or escalation unless separately contracted in writing</w:t>
      </w:r>
    </w:p>
    <w:p>
      <w:pPr>
        <w:spacing w:after="60" w:before="60"/>
      </w:pPr>
      <w:r>
        <w:t xml:space="preserve"/>
      </w:r>
    </w:p>
    <w:p>
      <w:pPr>
        <w:spacing w:after="120" w:before="80"/>
      </w:pPr>
      <w:r>
        <w:rPr>
          <w:rFonts w:ascii="Arial" w:cs="Arial" w:eastAsia="Arial" w:hAnsi="Arial"/>
          <w:color w:val="595959"/>
          <w:sz w:val="22"/>
          <w:szCs w:val="22"/>
        </w:rPr>
        <w:t xml:space="preserve">Any services outside this scope require a separate written amendment signed by both parties.</w:t>
      </w:r>
    </w:p>
    <w:p>
      <w:pPr>
        <w:pBdr>
          <w:bottom w:val="single" w:color="2E75B6" w:sz="4" w:space="4"/>
        </w:pBdr>
        <w:spacing w:after="120" w:before="360"/>
      </w:pPr>
      <w:r>
        <w:rPr>
          <w:rFonts w:ascii="Arial" w:cs="Arial" w:eastAsia="Arial" w:hAnsi="Arial"/>
          <w:b/>
          <w:bCs/>
          <w:color w:val="1A3D6B"/>
          <w:sz w:val="28"/>
          <w:szCs w:val="28"/>
        </w:rPr>
        <w:t xml:space="preserve">3. PAYMENT TERMS</w:t>
      </w:r>
    </w:p>
    <w:p>
      <w:pPr>
        <w:spacing w:after="120" w:before="80"/>
      </w:pPr>
      <w:r>
        <w:rPr>
          <w:rFonts w:ascii="Arial" w:cs="Arial" w:eastAsia="Arial" w:hAnsi="Arial"/>
          <w:b/>
          <w:bCs/>
          <w:color w:val="595959"/>
          <w:sz w:val="22"/>
          <w:szCs w:val="22"/>
        </w:rPr>
        <w:t xml:space="preserve">Monthly Fee: </w:t>
      </w:r>
      <w:r>
        <w:rPr>
          <w:rFonts w:ascii="Arial" w:cs="Arial" w:eastAsia="Arial" w:hAnsi="Arial"/>
          <w:color w:val="595959"/>
          <w:sz w:val="22"/>
          <w:szCs w:val="22"/>
        </w:rPr>
        <w:t xml:space="preserve">$99.00 USD per month.</w:t>
      </w:r>
    </w:p>
    <w:p>
      <w:pPr>
        <w:spacing w:after="120" w:before="80"/>
      </w:pPr>
      <w:r>
        <w:rPr>
          <w:rFonts w:ascii="Arial" w:cs="Arial" w:eastAsia="Arial" w:hAnsi="Arial"/>
          <w:b/>
          <w:bCs/>
          <w:color w:val="595959"/>
          <w:sz w:val="22"/>
          <w:szCs w:val="22"/>
        </w:rPr>
        <w:t xml:space="preserve">Billing Date: </w:t>
      </w:r>
      <w:r>
        <w:rPr>
          <w:rFonts w:ascii="Arial" w:cs="Arial" w:eastAsia="Arial" w:hAnsi="Arial"/>
          <w:color w:val="595959"/>
          <w:sz w:val="22"/>
          <w:szCs w:val="22"/>
        </w:rPr>
        <w:t xml:space="preserve">The 1st of each calendar month, charged automatically via Stripe to the Client's payment method on file.</w:t>
      </w:r>
    </w:p>
    <w:p>
      <w:pPr>
        <w:spacing w:after="120" w:before="80"/>
      </w:pPr>
      <w:r>
        <w:rPr>
          <w:rFonts w:ascii="Arial" w:cs="Arial" w:eastAsia="Arial" w:hAnsi="Arial"/>
          <w:b/>
          <w:bCs/>
          <w:color w:val="595959"/>
          <w:sz w:val="22"/>
          <w:szCs w:val="22"/>
        </w:rPr>
        <w:t xml:space="preserve">Grace Period: </w:t>
      </w:r>
      <w:r>
        <w:rPr>
          <w:rFonts w:ascii="Arial" w:cs="Arial" w:eastAsia="Arial" w:hAnsi="Arial"/>
          <w:color w:val="595959"/>
          <w:sz w:val="22"/>
          <w:szCs w:val="22"/>
        </w:rPr>
        <w:t xml:space="preserve">If a payment fails, the Client has seven (7) calendar days to resolve the charge before a late fee is assessed.</w:t>
      </w:r>
    </w:p>
    <w:p>
      <w:pPr>
        <w:spacing w:after="120" w:before="80"/>
      </w:pPr>
      <w:r>
        <w:rPr>
          <w:rFonts w:ascii="Arial" w:cs="Arial" w:eastAsia="Arial" w:hAnsi="Arial"/>
          <w:b/>
          <w:bCs/>
          <w:color w:val="595959"/>
          <w:sz w:val="22"/>
          <w:szCs w:val="22"/>
        </w:rPr>
        <w:t xml:space="preserve">Late Fee: </w:t>
      </w:r>
      <w:r>
        <w:rPr>
          <w:rFonts w:ascii="Arial" w:cs="Arial" w:eastAsia="Arial" w:hAnsi="Arial"/>
          <w:color w:val="595959"/>
          <w:sz w:val="22"/>
          <w:szCs w:val="22"/>
        </w:rPr>
        <w:t xml:space="preserve">$99.00 USD assessed after the 7-day grace period expires without resolution. Service will be suspended immediately and restored only upon payment of all outstanding balances including the late fee.</w:t>
      </w:r>
    </w:p>
    <w:p>
      <w:pPr>
        <w:spacing w:after="120" w:before="80"/>
      </w:pPr>
      <w:r>
        <w:rPr>
          <w:rFonts w:ascii="Arial" w:cs="Arial" w:eastAsia="Arial" w:hAnsi="Arial"/>
          <w:b/>
          <w:bCs/>
          <w:color w:val="595959"/>
          <w:sz w:val="22"/>
          <w:szCs w:val="22"/>
        </w:rPr>
        <w:t xml:space="preserve">No Refunds: </w:t>
      </w:r>
      <w:r>
        <w:rPr>
          <w:rFonts w:ascii="Arial" w:cs="Arial" w:eastAsia="Arial" w:hAnsi="Arial"/>
          <w:color w:val="595959"/>
          <w:sz w:val="22"/>
          <w:szCs w:val="22"/>
        </w:rPr>
        <w:t xml:space="preserve">All fees are non-refundable. No partial-month credits will be issued for any reason, including early cancellation.</w:t>
      </w:r>
    </w:p>
    <w:p>
      <w:pPr>
        <w:spacing w:after="240" w:before="80"/>
      </w:pPr>
      <w:r>
        <w:rPr>
          <w:rFonts w:ascii="Arial" w:cs="Arial" w:eastAsia="Arial" w:hAnsi="Arial"/>
          <w:b/>
          <w:bCs/>
          <w:color w:val="595959"/>
          <w:sz w:val="22"/>
          <w:szCs w:val="22"/>
        </w:rPr>
        <w:t xml:space="preserve">Price Changes: </w:t>
      </w:r>
      <w:r>
        <w:rPr>
          <w:rFonts w:ascii="Arial" w:cs="Arial" w:eastAsia="Arial" w:hAnsi="Arial"/>
          <w:color w:val="595959"/>
          <w:sz w:val="22"/>
          <w:szCs w:val="22"/>
        </w:rPr>
        <w:t xml:space="preserve">InSync Tech may modify the monthly fee with thirty (30) days written notice. Continued use of the Service after the notice period constitutes acceptance of the updated pricing.</w:t>
      </w:r>
    </w:p>
    <w:p>
      <w:pPr>
        <w:pBdr>
          <w:bottom w:val="single" w:color="2E75B6" w:sz="4" w:space="4"/>
        </w:pBdr>
        <w:spacing w:after="120" w:before="360"/>
      </w:pPr>
      <w:r>
        <w:rPr>
          <w:rFonts w:ascii="Arial" w:cs="Arial" w:eastAsia="Arial" w:hAnsi="Arial"/>
          <w:b/>
          <w:bCs/>
          <w:color w:val="1A3D6B"/>
          <w:sz w:val="28"/>
          <w:szCs w:val="28"/>
        </w:rPr>
        <w:t xml:space="preserve">4. TERM &amp; TERMINATION</w:t>
      </w:r>
    </w:p>
    <w:p>
      <w:pPr>
        <w:spacing w:after="120" w:before="80"/>
      </w:pPr>
      <w:r>
        <w:rPr>
          <w:rFonts w:ascii="Arial" w:cs="Arial" w:eastAsia="Arial" w:hAnsi="Arial"/>
          <w:color w:val="595959"/>
          <w:sz w:val="22"/>
          <w:szCs w:val="22"/>
        </w:rPr>
        <w:t xml:space="preserve">This Agreement is month-to-month and renews automatically on the 1st of each month unless terminated by either party.</w:t>
      </w:r>
    </w:p>
    <w:p>
      <w:pPr>
        <w:spacing w:after="60" w:before="60"/>
      </w:pPr>
      <w:r>
        <w:t xml:space="preserve"/>
      </w:r>
    </w:p>
    <w:p>
      <w:pPr>
        <w:spacing w:after="120" w:before="80"/>
      </w:pPr>
      <w:r>
        <w:rPr>
          <w:rFonts w:ascii="Arial" w:cs="Arial" w:eastAsia="Arial" w:hAnsi="Arial"/>
          <w:color w:val="595959"/>
          <w:sz w:val="22"/>
          <w:szCs w:val="22"/>
        </w:rPr>
        <w:t xml:space="preserve">Either party may terminate this Agreement with thirty (30) days written notice delivered via email to the other party's address on file.</w:t>
      </w:r>
    </w:p>
    <w:p>
      <w:pPr>
        <w:spacing w:after="60" w:before="60"/>
      </w:pPr>
      <w:r>
        <w:t xml:space="preserve"/>
      </w:r>
    </w:p>
    <w:p>
      <w:pPr>
        <w:spacing w:after="120" w:before="80"/>
      </w:pPr>
      <w:r>
        <w:rPr>
          <w:rFonts w:ascii="Arial" w:cs="Arial" w:eastAsia="Arial" w:hAnsi="Arial"/>
          <w:color w:val="595959"/>
          <w:sz w:val="22"/>
          <w:szCs w:val="22"/>
        </w:rPr>
        <w:t xml:space="preserve">InSync Tech may terminate this Agreement immediately and without notice upon:</w:t>
      </w:r>
    </w:p>
    <w:p>
      <w:pPr>
        <w:pStyle w:val="ListParagraph"/>
        <w:numPr>
          <w:ilvl w:val="0"/>
          <w:numId w:val="2"/>
        </w:numPr>
        <w:spacing w:after="60" w:before="60"/>
      </w:pPr>
      <w:r>
        <w:rPr>
          <w:rFonts w:ascii="Arial" w:cs="Arial" w:eastAsia="Arial" w:hAnsi="Arial"/>
          <w:color w:val="595959"/>
          <w:sz w:val="22"/>
          <w:szCs w:val="22"/>
        </w:rPr>
        <w:t xml:space="preserve">Nonpayment beyond the 7-day grace period</w:t>
      </w:r>
    </w:p>
    <w:p>
      <w:pPr>
        <w:pStyle w:val="ListParagraph"/>
        <w:numPr>
          <w:ilvl w:val="0"/>
          <w:numId w:val="2"/>
        </w:numPr>
        <w:spacing w:after="60" w:before="60"/>
      </w:pPr>
      <w:r>
        <w:rPr>
          <w:rFonts w:ascii="Arial" w:cs="Arial" w:eastAsia="Arial" w:hAnsi="Arial"/>
          <w:color w:val="595959"/>
          <w:sz w:val="22"/>
          <w:szCs w:val="22"/>
        </w:rPr>
        <w:t xml:space="preserve">Violation of the Acceptable Use policy (Section 9)</w:t>
      </w:r>
    </w:p>
    <w:p>
      <w:pPr>
        <w:pStyle w:val="ListParagraph"/>
        <w:numPr>
          <w:ilvl w:val="0"/>
          <w:numId w:val="2"/>
        </w:numPr>
        <w:spacing w:after="60" w:before="60"/>
      </w:pPr>
      <w:r>
        <w:rPr>
          <w:rFonts w:ascii="Arial" w:cs="Arial" w:eastAsia="Arial" w:hAnsi="Arial"/>
          <w:color w:val="595959"/>
          <w:sz w:val="22"/>
          <w:szCs w:val="22"/>
        </w:rPr>
        <w:t xml:space="preserve">Any illegal, fraudulent, or deceptive activity associated with the Client's account</w:t>
      </w:r>
    </w:p>
    <w:p>
      <w:pPr>
        <w:pStyle w:val="ListParagraph"/>
        <w:numPr>
          <w:ilvl w:val="0"/>
          <w:numId w:val="2"/>
        </w:numPr>
        <w:spacing w:after="60" w:before="60"/>
      </w:pPr>
      <w:r>
        <w:rPr>
          <w:rFonts w:ascii="Arial" w:cs="Arial" w:eastAsia="Arial" w:hAnsi="Arial"/>
          <w:color w:val="595959"/>
          <w:sz w:val="22"/>
          <w:szCs w:val="22"/>
        </w:rPr>
        <w:t xml:space="preserve">Any action that creates legal, regulatory, or reputational risk for InSync Tech</w:t>
      </w:r>
    </w:p>
    <w:p>
      <w:pPr>
        <w:spacing w:after="60" w:before="60"/>
      </w:pPr>
      <w:r>
        <w:t xml:space="preserve"/>
      </w:r>
    </w:p>
    <w:p>
      <w:pPr>
        <w:spacing w:after="120" w:before="80"/>
      </w:pPr>
      <w:r>
        <w:rPr>
          <w:rFonts w:ascii="Arial" w:cs="Arial" w:eastAsia="Arial" w:hAnsi="Arial"/>
          <w:color w:val="595959"/>
          <w:sz w:val="22"/>
          <w:szCs w:val="22"/>
        </w:rPr>
        <w:t xml:space="preserve">Upon termination, Client data including call recordings and transcripts will be retained for ninety (90) days and then permanently deleted. Client may request a data export during this window.</w:t>
      </w:r>
    </w:p>
    <w:p>
      <w:pPr>
        <w:pBdr>
          <w:bottom w:val="single" w:color="2E75B6" w:sz="4" w:space="4"/>
        </w:pBdr>
        <w:spacing w:after="120" w:before="360"/>
      </w:pPr>
      <w:r>
        <w:rPr>
          <w:rFonts w:ascii="Arial" w:cs="Arial" w:eastAsia="Arial" w:hAnsi="Arial"/>
          <w:b/>
          <w:bCs/>
          <w:color w:val="1A3D6B"/>
          <w:sz w:val="28"/>
          <w:szCs w:val="28"/>
        </w:rPr>
        <w:t xml:space="preserve">5. AI DISCLOSURE &amp; REGULATORY COMPLIANCE</w:t>
      </w:r>
    </w:p>
    <w:p>
      <w:pPr>
        <w:spacing w:after="120" w:before="80"/>
      </w:pPr>
      <w:r>
        <w:rPr>
          <w:rFonts w:ascii="Arial" w:cs="Arial" w:eastAsia="Arial" w:hAnsi="Arial"/>
          <w:b/>
          <w:bCs/>
          <w:color w:val="595959"/>
          <w:sz w:val="22"/>
          <w:szCs w:val="22"/>
        </w:rPr>
        <w:t xml:space="preserve">AI Identification: </w:t>
      </w:r>
      <w:r>
        <w:rPr>
          <w:rFonts w:ascii="Arial" w:cs="Arial" w:eastAsia="Arial" w:hAnsi="Arial"/>
          <w:color w:val="595959"/>
          <w:sz w:val="22"/>
          <w:szCs w:val="22"/>
        </w:rPr>
        <w:t xml:space="preserve">ARIA identifies itself as an artificial intelligence at the beginning of every call. ARIA does not represent itself as a human under any circumstances.</w:t>
      </w:r>
    </w:p>
    <w:p>
      <w:pPr>
        <w:spacing w:after="120" w:before="80"/>
      </w:pPr>
      <w:r>
        <w:rPr>
          <w:rFonts w:ascii="Arial" w:cs="Arial" w:eastAsia="Arial" w:hAnsi="Arial"/>
          <w:b/>
          <w:bCs/>
          <w:color w:val="595959"/>
          <w:sz w:val="22"/>
          <w:szCs w:val="22"/>
        </w:rPr>
        <w:t xml:space="preserve">Call Recording Disclosure: </w:t>
      </w:r>
      <w:r>
        <w:rPr>
          <w:rFonts w:ascii="Arial" w:cs="Arial" w:eastAsia="Arial" w:hAnsi="Arial"/>
          <w:color w:val="595959"/>
          <w:sz w:val="22"/>
          <w:szCs w:val="22"/>
        </w:rPr>
        <w:t xml:space="preserve">Florida is a two-party consent state. All callers are informed at the start of each call that the conversation may be recorded. By continuing the call, callers consent to both AI interaction and call recording. Client acknowledges this disclosure is built into ARIA's greeting and may not be disabled.</w:t>
      </w:r>
    </w:p>
    <w:p>
      <w:pPr>
        <w:spacing w:after="120" w:before="80"/>
      </w:pPr>
      <w:r>
        <w:rPr>
          <w:rFonts w:ascii="Arial" w:cs="Arial" w:eastAsia="Arial" w:hAnsi="Arial"/>
          <w:b/>
          <w:bCs/>
          <w:color w:val="595959"/>
          <w:sz w:val="22"/>
          <w:szCs w:val="22"/>
        </w:rPr>
        <w:t xml:space="preserve">TCPA Compliance: </w:t>
      </w:r>
      <w:r>
        <w:rPr>
          <w:rFonts w:ascii="Arial" w:cs="Arial" w:eastAsia="Arial" w:hAnsi="Arial"/>
          <w:color w:val="595959"/>
          <w:sz w:val="22"/>
          <w:szCs w:val="22"/>
        </w:rPr>
        <w:t xml:space="preserve">Client is solely responsible for ensuring their use of the Service complies with the Telephone Consumer Protection Act (TCPA), Florida's mini-TCPA statutes, FCC regulations, and all applicable federal and state teleservices law. InSync Tech provides inbound call handling only. Client shall not use ARIA for outbound telemarketing, robocalling, or any automated outbound calling campaign.</w:t>
      </w:r>
    </w:p>
    <w:p>
      <w:pPr>
        <w:spacing w:after="240" w:before="80"/>
      </w:pPr>
      <w:r>
        <w:rPr>
          <w:rFonts w:ascii="Arial" w:cs="Arial" w:eastAsia="Arial" w:hAnsi="Arial"/>
          <w:b/>
          <w:bCs/>
          <w:color w:val="595959"/>
          <w:sz w:val="22"/>
          <w:szCs w:val="22"/>
        </w:rPr>
        <w:t xml:space="preserve">Opt-Out Handling: </w:t>
      </w:r>
      <w:r>
        <w:rPr>
          <w:rFonts w:ascii="Arial" w:cs="Arial" w:eastAsia="Arial" w:hAnsi="Arial"/>
          <w:color w:val="595959"/>
          <w:sz w:val="22"/>
          <w:szCs w:val="22"/>
        </w:rPr>
        <w:t xml:space="preserve">If a caller requests to speak with a human or requests to stop interacting with an AI, ARIA will follow the configured escalation path. Client is responsible for maintaining a valid human escalation option or voicemail system.</w:t>
      </w:r>
    </w:p>
    <w:p>
      <w:pPr>
        <w:pBdr>
          <w:bottom w:val="single" w:color="2E75B6" w:sz="4" w:space="4"/>
        </w:pBdr>
        <w:spacing w:after="120" w:before="360"/>
      </w:pPr>
      <w:r>
        <w:rPr>
          <w:rFonts w:ascii="Arial" w:cs="Arial" w:eastAsia="Arial" w:hAnsi="Arial"/>
          <w:b/>
          <w:bCs/>
          <w:color w:val="1A3D6B"/>
          <w:sz w:val="28"/>
          <w:szCs w:val="28"/>
        </w:rPr>
        <w:t xml:space="preserve">6. DATA PRIVACY &amp; SECURITY</w:t>
      </w:r>
    </w:p>
    <w:p>
      <w:pPr>
        <w:spacing w:after="120" w:before="80"/>
      </w:pPr>
      <w:r>
        <w:rPr>
          <w:rFonts w:ascii="Arial" w:cs="Arial" w:eastAsia="Arial" w:hAnsi="Arial"/>
          <w:b/>
          <w:bCs/>
          <w:color w:val="595959"/>
          <w:sz w:val="22"/>
          <w:szCs w:val="22"/>
        </w:rPr>
        <w:t xml:space="preserve">Data Collected: </w:t>
      </w:r>
      <w:r>
        <w:rPr>
          <w:rFonts w:ascii="Arial" w:cs="Arial" w:eastAsia="Arial" w:hAnsi="Arial"/>
          <w:color w:val="595959"/>
          <w:sz w:val="22"/>
          <w:szCs w:val="22"/>
        </w:rPr>
        <w:t xml:space="preserve">InSync Tech collects call recordings, transcriptions, AI-generated summaries, and basic caller metadata in connection with the Service.</w:t>
      </w:r>
    </w:p>
    <w:p>
      <w:pPr>
        <w:spacing w:after="120" w:before="80"/>
      </w:pPr>
      <w:r>
        <w:rPr>
          <w:rFonts w:ascii="Arial" w:cs="Arial" w:eastAsia="Arial" w:hAnsi="Arial"/>
          <w:b/>
          <w:bCs/>
          <w:color w:val="595959"/>
          <w:sz w:val="22"/>
          <w:szCs w:val="22"/>
        </w:rPr>
        <w:t xml:space="preserve">No Sale of Data: </w:t>
      </w:r>
      <w:r>
        <w:rPr>
          <w:rFonts w:ascii="Arial" w:cs="Arial" w:eastAsia="Arial" w:hAnsi="Arial"/>
          <w:color w:val="595959"/>
          <w:sz w:val="22"/>
          <w:szCs w:val="22"/>
        </w:rPr>
        <w:t xml:space="preserve">InSync Tech will not sell, rent, or share Client data or caller data with any third party for commercial purposes.</w:t>
      </w:r>
    </w:p>
    <w:p>
      <w:pPr>
        <w:spacing w:after="120" w:before="80"/>
      </w:pPr>
      <w:r>
        <w:rPr>
          <w:rFonts w:ascii="Arial" w:cs="Arial" w:eastAsia="Arial" w:hAnsi="Arial"/>
          <w:b/>
          <w:bCs/>
          <w:color w:val="595959"/>
          <w:sz w:val="22"/>
          <w:szCs w:val="22"/>
        </w:rPr>
        <w:t xml:space="preserve">No AI Training Use: </w:t>
      </w:r>
      <w:r>
        <w:rPr>
          <w:rFonts w:ascii="Arial" w:cs="Arial" w:eastAsia="Arial" w:hAnsi="Arial"/>
          <w:color w:val="595959"/>
          <w:sz w:val="22"/>
          <w:szCs w:val="22"/>
        </w:rPr>
        <w:t xml:space="preserve">Client call data, recordings, and transcripts will NOT be used to train any AI model, including ARIA or any third-party model, without prior express written consent from the Client.</w:t>
      </w:r>
    </w:p>
    <w:p>
      <w:pPr>
        <w:spacing w:after="120" w:before="80"/>
      </w:pPr>
      <w:r>
        <w:rPr>
          <w:rFonts w:ascii="Arial" w:cs="Arial" w:eastAsia="Arial" w:hAnsi="Arial"/>
          <w:b/>
          <w:bCs/>
          <w:color w:val="595959"/>
          <w:sz w:val="22"/>
          <w:szCs w:val="22"/>
        </w:rPr>
        <w:t xml:space="preserve">Security: </w:t>
      </w:r>
      <w:r>
        <w:rPr>
          <w:rFonts w:ascii="Arial" w:cs="Arial" w:eastAsia="Arial" w:hAnsi="Arial"/>
          <w:color w:val="595959"/>
          <w:sz w:val="22"/>
          <w:szCs w:val="22"/>
        </w:rPr>
        <w:t xml:space="preserve">InSync Tech employs industry-standard encryption for data in transit and at rest. Monthly data backups are maintained. In the event of a confirmed data breach affecting Client data, InSync Tech will notify Client within seventy-two (72) hours of discovery.</w:t>
      </w:r>
    </w:p>
    <w:p>
      <w:pPr>
        <w:spacing w:after="240" w:before="80"/>
      </w:pPr>
      <w:r>
        <w:rPr>
          <w:rFonts w:ascii="Arial" w:cs="Arial" w:eastAsia="Arial" w:hAnsi="Arial"/>
          <w:b/>
          <w:bCs/>
          <w:color w:val="595959"/>
          <w:sz w:val="22"/>
          <w:szCs w:val="22"/>
        </w:rPr>
        <w:t xml:space="preserve">Retention: </w:t>
      </w:r>
      <w:r>
        <w:rPr>
          <w:rFonts w:ascii="Arial" w:cs="Arial" w:eastAsia="Arial" w:hAnsi="Arial"/>
          <w:color w:val="595959"/>
          <w:sz w:val="22"/>
          <w:szCs w:val="22"/>
        </w:rPr>
        <w:t xml:space="preserve">Data is retained for the duration of the Agreement and ninety (90) days following termination, after which it is permanently purged.</w:t>
      </w:r>
    </w:p>
    <w:p>
      <w:pPr>
        <w:pBdr>
          <w:bottom w:val="single" w:color="2E75B6" w:sz="4" w:space="4"/>
        </w:pBdr>
        <w:spacing w:after="120" w:before="360"/>
      </w:pPr>
      <w:r>
        <w:rPr>
          <w:rFonts w:ascii="Arial" w:cs="Arial" w:eastAsia="Arial" w:hAnsi="Arial"/>
          <w:b/>
          <w:bCs/>
          <w:color w:val="1A3D6B"/>
          <w:sz w:val="28"/>
          <w:szCs w:val="28"/>
        </w:rPr>
        <w:t xml:space="preserve">7. INTELLECTUAL PROPERTY</w:t>
      </w:r>
    </w:p>
    <w:p>
      <w:pPr>
        <w:spacing w:after="120" w:before="80"/>
      </w:pPr>
      <w:r>
        <w:rPr>
          <w:rFonts w:ascii="Arial" w:cs="Arial" w:eastAsia="Arial" w:hAnsi="Arial"/>
          <w:color w:val="595959"/>
          <w:sz w:val="22"/>
          <w:szCs w:val="22"/>
        </w:rPr>
        <w:t xml:space="preserve">InSync Tech retains all rights, title, and interest in ARIA, including its architecture, voice configuration, AI agent design, call flows, and all related software and infrastructure.</w:t>
      </w:r>
    </w:p>
    <w:p>
      <w:pPr>
        <w:spacing w:after="60" w:before="60"/>
      </w:pPr>
      <w:r>
        <w:t xml:space="preserve"/>
      </w:r>
    </w:p>
    <w:p>
      <w:pPr>
        <w:spacing w:after="120" w:before="80"/>
      </w:pPr>
      <w:r>
        <w:rPr>
          <w:rFonts w:ascii="Arial" w:cs="Arial" w:eastAsia="Arial" w:hAnsi="Arial"/>
          <w:color w:val="595959"/>
          <w:sz w:val="22"/>
          <w:szCs w:val="22"/>
        </w:rPr>
        <w:t xml:space="preserve">Client retains ownership of their own business data, caller information, and call content generated through use of the Service.</w:t>
      </w:r>
    </w:p>
    <w:p>
      <w:pPr>
        <w:spacing w:after="60" w:before="60"/>
      </w:pPr>
      <w:r>
        <w:t xml:space="preserve"/>
      </w:r>
    </w:p>
    <w:p>
      <w:pPr>
        <w:spacing w:after="120" w:before="80"/>
      </w:pPr>
      <w:r>
        <w:rPr>
          <w:rFonts w:ascii="Arial" w:cs="Arial" w:eastAsia="Arial" w:hAnsi="Arial"/>
          <w:color w:val="595959"/>
          <w:sz w:val="22"/>
          <w:szCs w:val="22"/>
        </w:rPr>
        <w:t xml:space="preserve">Neither party may reproduce, resell, sublicense, reverse engineer, or otherwise exploit the other party's intellectual property without prior written consent.</w:t>
      </w:r>
    </w:p>
    <w:p>
      <w:pPr>
        <w:pBdr>
          <w:bottom w:val="single" w:color="2E75B6" w:sz="4" w:space="4"/>
        </w:pBdr>
        <w:spacing w:after="120" w:before="360"/>
      </w:pPr>
      <w:r>
        <w:rPr>
          <w:rFonts w:ascii="Arial" w:cs="Arial" w:eastAsia="Arial" w:hAnsi="Arial"/>
          <w:b/>
          <w:bCs/>
          <w:color w:val="1A3D6B"/>
          <w:sz w:val="28"/>
          <w:szCs w:val="28"/>
        </w:rPr>
        <w:t xml:space="preserve">8. LIMITATION OF LIABILITY</w:t>
      </w:r>
    </w:p>
    <w:p>
      <w:pPr>
        <w:spacing w:after="120" w:before="80"/>
      </w:pPr>
      <w:r>
        <w:rPr>
          <w:rFonts w:ascii="Arial" w:cs="Arial" w:eastAsia="Arial" w:hAnsi="Arial"/>
          <w:color w:val="595959"/>
          <w:sz w:val="22"/>
          <w:szCs w:val="22"/>
        </w:rPr>
        <w:t xml:space="preserve">TO THE MAXIMUM EXTENT PERMITTED BY APPLICABLE LAW, INSYNC TECH'S TOTAL LIABILITY TO CLIENT FOR ANY CLAIM ARISING UNDER THIS AGREEMENT SHALL NOT EXCEED THE AMOUNT PAID BY CLIENT IN THE THIRTY (30) DAYS IMMEDIATELY PRECEDING THE CLAIM.</w:t>
      </w:r>
    </w:p>
    <w:p>
      <w:pPr>
        <w:spacing w:after="60" w:before="60"/>
      </w:pPr>
      <w:r>
        <w:t xml:space="preserve"/>
      </w:r>
    </w:p>
    <w:p>
      <w:pPr>
        <w:spacing w:after="120" w:before="80"/>
      </w:pPr>
      <w:r>
        <w:rPr>
          <w:rFonts w:ascii="Arial" w:cs="Arial" w:eastAsia="Arial" w:hAnsi="Arial"/>
          <w:color w:val="595959"/>
          <w:sz w:val="22"/>
          <w:szCs w:val="22"/>
        </w:rPr>
        <w:t xml:space="preserve">InSync Tech is not liable for:</w:t>
      </w:r>
    </w:p>
    <w:p>
      <w:pPr>
        <w:pStyle w:val="ListParagraph"/>
        <w:numPr>
          <w:ilvl w:val="0"/>
          <w:numId w:val="2"/>
        </w:numPr>
        <w:spacing w:after="60" w:before="60"/>
      </w:pPr>
      <w:r>
        <w:rPr>
          <w:rFonts w:ascii="Arial" w:cs="Arial" w:eastAsia="Arial" w:hAnsi="Arial"/>
          <w:color w:val="595959"/>
          <w:sz w:val="22"/>
          <w:szCs w:val="22"/>
        </w:rPr>
        <w:t xml:space="preserve">Missed, dropped, or failed calls due to network, carrier, or telephony infrastructure issues</w:t>
      </w:r>
    </w:p>
    <w:p>
      <w:pPr>
        <w:pStyle w:val="ListParagraph"/>
        <w:numPr>
          <w:ilvl w:val="0"/>
          <w:numId w:val="2"/>
        </w:numPr>
        <w:spacing w:after="60" w:before="60"/>
      </w:pPr>
      <w:r>
        <w:rPr>
          <w:rFonts w:ascii="Arial" w:cs="Arial" w:eastAsia="Arial" w:hAnsi="Arial"/>
          <w:color w:val="595959"/>
          <w:sz w:val="22"/>
          <w:szCs w:val="22"/>
        </w:rPr>
        <w:t xml:space="preserve">Transcription inaccuracies or errors in AI-generated summaries</w:t>
      </w:r>
    </w:p>
    <w:p>
      <w:pPr>
        <w:pStyle w:val="ListParagraph"/>
        <w:numPr>
          <w:ilvl w:val="0"/>
          <w:numId w:val="2"/>
        </w:numPr>
        <w:spacing w:after="60" w:before="60"/>
      </w:pPr>
      <w:r>
        <w:rPr>
          <w:rFonts w:ascii="Arial" w:cs="Arial" w:eastAsia="Arial" w:hAnsi="Arial"/>
          <w:color w:val="595959"/>
          <w:sz w:val="22"/>
          <w:szCs w:val="22"/>
        </w:rPr>
        <w:t xml:space="preserve">Business decisions made by Client based on ARIA's output</w:t>
      </w:r>
    </w:p>
    <w:p>
      <w:pPr>
        <w:pStyle w:val="ListParagraph"/>
        <w:numPr>
          <w:ilvl w:val="0"/>
          <w:numId w:val="2"/>
        </w:numPr>
        <w:spacing w:after="60" w:before="60"/>
      </w:pPr>
      <w:r>
        <w:rPr>
          <w:rFonts w:ascii="Arial" w:cs="Arial" w:eastAsia="Arial" w:hAnsi="Arial"/>
          <w:color w:val="595959"/>
          <w:sz w:val="22"/>
          <w:szCs w:val="22"/>
        </w:rPr>
        <w:t xml:space="preserve">Service interruptions caused by third-party providers including ElevenLabs, Twilio, or Resend</w:t>
      </w:r>
    </w:p>
    <w:p>
      <w:pPr>
        <w:pStyle w:val="ListParagraph"/>
        <w:numPr>
          <w:ilvl w:val="0"/>
          <w:numId w:val="2"/>
        </w:numPr>
        <w:spacing w:after="60" w:before="60"/>
      </w:pPr>
      <w:r>
        <w:rPr>
          <w:rFonts w:ascii="Arial" w:cs="Arial" w:eastAsia="Arial" w:hAnsi="Arial"/>
          <w:color w:val="595959"/>
          <w:sz w:val="22"/>
          <w:szCs w:val="22"/>
        </w:rPr>
        <w:t xml:space="preserve">Consequential, incidental, punitive, or indirect damages of any kind</w:t>
      </w:r>
    </w:p>
    <w:p>
      <w:pPr>
        <w:spacing w:after="60" w:before="60"/>
      </w:pPr>
      <w:r>
        <w:t xml:space="preserve"/>
      </w:r>
    </w:p>
    <w:p>
      <w:pPr>
        <w:spacing w:after="120" w:before="80"/>
      </w:pPr>
      <w:r>
        <w:rPr>
          <w:rFonts w:ascii="Arial" w:cs="Arial" w:eastAsia="Arial" w:hAnsi="Arial"/>
          <w:color w:val="595959"/>
          <w:sz w:val="22"/>
          <w:szCs w:val="22"/>
        </w:rPr>
        <w:t xml:space="preserve">Client assumes all risk associated with deploying an AI voice system to interact with their customers and callers.</w:t>
      </w:r>
    </w:p>
    <w:p>
      <w:pPr>
        <w:pBdr>
          <w:bottom w:val="single" w:color="2E75B6" w:sz="4" w:space="4"/>
        </w:pBdr>
        <w:spacing w:after="120" w:before="360"/>
      </w:pPr>
      <w:r>
        <w:rPr>
          <w:rFonts w:ascii="Arial" w:cs="Arial" w:eastAsia="Arial" w:hAnsi="Arial"/>
          <w:b/>
          <w:bCs/>
          <w:color w:val="1A3D6B"/>
          <w:sz w:val="28"/>
          <w:szCs w:val="28"/>
        </w:rPr>
        <w:t xml:space="preserve">9. ACCEPTABLE USE</w:t>
      </w:r>
    </w:p>
    <w:p>
      <w:pPr>
        <w:spacing w:after="120" w:before="80"/>
      </w:pPr>
      <w:r>
        <w:rPr>
          <w:rFonts w:ascii="Arial" w:cs="Arial" w:eastAsia="Arial" w:hAnsi="Arial"/>
          <w:color w:val="595959"/>
          <w:sz w:val="22"/>
          <w:szCs w:val="22"/>
        </w:rPr>
        <w:t xml:space="preserve">Client agrees not to use the Service for:</w:t>
      </w:r>
    </w:p>
    <w:p>
      <w:pPr>
        <w:pStyle w:val="ListParagraph"/>
        <w:numPr>
          <w:ilvl w:val="0"/>
          <w:numId w:val="2"/>
        </w:numPr>
        <w:spacing w:after="60" w:before="60"/>
      </w:pPr>
      <w:r>
        <w:rPr>
          <w:rFonts w:ascii="Arial" w:cs="Arial" w:eastAsia="Arial" w:hAnsi="Arial"/>
          <w:color w:val="595959"/>
          <w:sz w:val="22"/>
          <w:szCs w:val="22"/>
        </w:rPr>
        <w:t xml:space="preserve">Outbound telemarketing, robocalling, or automated promotional campaigns</w:t>
      </w:r>
    </w:p>
    <w:p>
      <w:pPr>
        <w:pStyle w:val="ListParagraph"/>
        <w:numPr>
          <w:ilvl w:val="0"/>
          <w:numId w:val="2"/>
        </w:numPr>
        <w:spacing w:after="60" w:before="60"/>
      </w:pPr>
      <w:r>
        <w:rPr>
          <w:rFonts w:ascii="Arial" w:cs="Arial" w:eastAsia="Arial" w:hAnsi="Arial"/>
          <w:color w:val="595959"/>
          <w:sz w:val="22"/>
          <w:szCs w:val="22"/>
        </w:rPr>
        <w:t xml:space="preserve">Debt collection calls in violation of the FDCPA or applicable state law</w:t>
      </w:r>
    </w:p>
    <w:p>
      <w:pPr>
        <w:pStyle w:val="ListParagraph"/>
        <w:numPr>
          <w:ilvl w:val="0"/>
          <w:numId w:val="2"/>
        </w:numPr>
        <w:spacing w:after="60" w:before="60"/>
      </w:pPr>
      <w:r>
        <w:rPr>
          <w:rFonts w:ascii="Arial" w:cs="Arial" w:eastAsia="Arial" w:hAnsi="Arial"/>
          <w:color w:val="595959"/>
          <w:sz w:val="22"/>
          <w:szCs w:val="22"/>
        </w:rPr>
        <w:t xml:space="preserve">Harassment, threats, or unlawful discrimination against any caller</w:t>
      </w:r>
    </w:p>
    <w:p>
      <w:pPr>
        <w:pStyle w:val="ListParagraph"/>
        <w:numPr>
          <w:ilvl w:val="0"/>
          <w:numId w:val="2"/>
        </w:numPr>
        <w:spacing w:after="60" w:before="60"/>
      </w:pPr>
      <w:r>
        <w:rPr>
          <w:rFonts w:ascii="Arial" w:cs="Arial" w:eastAsia="Arial" w:hAnsi="Arial"/>
          <w:color w:val="595959"/>
          <w:sz w:val="22"/>
          <w:szCs w:val="22"/>
        </w:rPr>
        <w:t xml:space="preserve">Any purpose that violates TCPA, FTC regulations, Florida law, or any applicable federal or state statute</w:t>
      </w:r>
    </w:p>
    <w:p>
      <w:pPr>
        <w:pStyle w:val="ListParagraph"/>
        <w:numPr>
          <w:ilvl w:val="0"/>
          <w:numId w:val="2"/>
        </w:numPr>
        <w:spacing w:after="60" w:before="60"/>
      </w:pPr>
      <w:r>
        <w:rPr>
          <w:rFonts w:ascii="Arial" w:cs="Arial" w:eastAsia="Arial" w:hAnsi="Arial"/>
          <w:color w:val="595959"/>
          <w:sz w:val="22"/>
          <w:szCs w:val="22"/>
        </w:rPr>
        <w:t xml:space="preserve">Misrepresenting ARIA as a human agent or evading required AI disclosure</w:t>
      </w:r>
    </w:p>
    <w:p>
      <w:pPr>
        <w:spacing w:after="60" w:before="60"/>
      </w:pPr>
      <w:r>
        <w:t xml:space="preserve"/>
      </w:r>
    </w:p>
    <w:p>
      <w:pPr>
        <w:spacing w:after="120" w:before="80"/>
      </w:pPr>
      <w:r>
        <w:rPr>
          <w:rFonts w:ascii="Arial" w:cs="Arial" w:eastAsia="Arial" w:hAnsi="Arial"/>
          <w:color w:val="595959"/>
          <w:sz w:val="22"/>
          <w:szCs w:val="22"/>
        </w:rPr>
        <w:t xml:space="preserve">Violation of this section constitutes grounds for immediate termination without refund.</w:t>
      </w:r>
    </w:p>
    <w:p>
      <w:pPr>
        <w:pBdr>
          <w:bottom w:val="single" w:color="2E75B6" w:sz="4" w:space="4"/>
        </w:pBdr>
        <w:spacing w:after="120" w:before="360"/>
      </w:pPr>
      <w:r>
        <w:rPr>
          <w:rFonts w:ascii="Arial" w:cs="Arial" w:eastAsia="Arial" w:hAnsi="Arial"/>
          <w:b/>
          <w:bCs/>
          <w:color w:val="1A3D6B"/>
          <w:sz w:val="28"/>
          <w:szCs w:val="28"/>
        </w:rPr>
        <w:t xml:space="preserve">10. INDEMNIFICATION</w:t>
      </w:r>
    </w:p>
    <w:p>
      <w:pPr>
        <w:spacing w:after="120" w:before="80"/>
      </w:pPr>
      <w:r>
        <w:rPr>
          <w:rFonts w:ascii="Arial" w:cs="Arial" w:eastAsia="Arial" w:hAnsi="Arial"/>
          <w:color w:val="595959"/>
          <w:sz w:val="22"/>
          <w:szCs w:val="22"/>
        </w:rPr>
        <w:t xml:space="preserve">Client agrees to indemnify, defend, and hold harmless InSync Tech Inc., its officers, employees, and agents from and against any and all claims, liabilities, damages, losses, costs, and expenses (including reasonable attorneys' fees) arising out of or related to:</w:t>
      </w:r>
    </w:p>
    <w:p>
      <w:pPr>
        <w:pStyle w:val="ListParagraph"/>
        <w:numPr>
          <w:ilvl w:val="0"/>
          <w:numId w:val="2"/>
        </w:numPr>
        <w:spacing w:after="60" w:before="60"/>
      </w:pPr>
      <w:r>
        <w:rPr>
          <w:rFonts w:ascii="Arial" w:cs="Arial" w:eastAsia="Arial" w:hAnsi="Arial"/>
          <w:color w:val="595959"/>
          <w:sz w:val="22"/>
          <w:szCs w:val="22"/>
        </w:rPr>
        <w:t xml:space="preserve">Client's use or misuse of the Service</w:t>
      </w:r>
    </w:p>
    <w:p>
      <w:pPr>
        <w:pStyle w:val="ListParagraph"/>
        <w:numPr>
          <w:ilvl w:val="0"/>
          <w:numId w:val="2"/>
        </w:numPr>
        <w:spacing w:after="60" w:before="60"/>
      </w:pPr>
      <w:r>
        <w:rPr>
          <w:rFonts w:ascii="Arial" w:cs="Arial" w:eastAsia="Arial" w:hAnsi="Arial"/>
          <w:color w:val="595959"/>
          <w:sz w:val="22"/>
          <w:szCs w:val="22"/>
        </w:rPr>
        <w:t xml:space="preserve">Client's violation of this Agreement or any applicable law</w:t>
      </w:r>
    </w:p>
    <w:p>
      <w:pPr>
        <w:pStyle w:val="ListParagraph"/>
        <w:numPr>
          <w:ilvl w:val="0"/>
          <w:numId w:val="2"/>
        </w:numPr>
        <w:spacing w:after="60" w:before="60"/>
      </w:pPr>
      <w:r>
        <w:rPr>
          <w:rFonts w:ascii="Arial" w:cs="Arial" w:eastAsia="Arial" w:hAnsi="Arial"/>
          <w:color w:val="595959"/>
          <w:sz w:val="22"/>
          <w:szCs w:val="22"/>
        </w:rPr>
        <w:t xml:space="preserve">Any TCPA, FCC, or state regulatory violation caused by Client's deployment of the Service</w:t>
      </w:r>
    </w:p>
    <w:p>
      <w:pPr>
        <w:pStyle w:val="ListParagraph"/>
        <w:numPr>
          <w:ilvl w:val="0"/>
          <w:numId w:val="2"/>
        </w:numPr>
        <w:spacing w:after="60" w:before="60"/>
      </w:pPr>
      <w:r>
        <w:rPr>
          <w:rFonts w:ascii="Arial" w:cs="Arial" w:eastAsia="Arial" w:hAnsi="Arial"/>
          <w:color w:val="595959"/>
          <w:sz w:val="22"/>
          <w:szCs w:val="22"/>
        </w:rPr>
        <w:t xml:space="preserve">Any third-party claim arising from Client's business operations or caller interactions</w:t>
      </w:r>
    </w:p>
    <w:p>
      <w:pPr>
        <w:pBdr>
          <w:bottom w:val="single" w:color="2E75B6" w:sz="4" w:space="4"/>
        </w:pBdr>
        <w:spacing w:after="120" w:before="360"/>
      </w:pPr>
      <w:r>
        <w:rPr>
          <w:rFonts w:ascii="Arial" w:cs="Arial" w:eastAsia="Arial" w:hAnsi="Arial"/>
          <w:b/>
          <w:bCs/>
          <w:color w:val="1A3D6B"/>
          <w:sz w:val="28"/>
          <w:szCs w:val="28"/>
        </w:rPr>
        <w:t xml:space="preserve">11. SERVICE LEVEL &amp; UPTIME</w:t>
      </w:r>
    </w:p>
    <w:p>
      <w:pPr>
        <w:spacing w:after="120" w:before="80"/>
      </w:pPr>
      <w:r>
        <w:rPr>
          <w:rFonts w:ascii="Arial" w:cs="Arial" w:eastAsia="Arial" w:hAnsi="Arial"/>
          <w:color w:val="595959"/>
          <w:sz w:val="22"/>
          <w:szCs w:val="22"/>
        </w:rPr>
        <w:t xml:space="preserve">InSync Tech will make commercially reasonable efforts to maintain Service availability. The Service is provided on a best-effort basis. No guaranteed uptime SLA is included at this subscription tier unless separately negotiated in writing.</w:t>
      </w:r>
    </w:p>
    <w:p>
      <w:pPr>
        <w:spacing w:after="60" w:before="60"/>
      </w:pPr>
      <w:r>
        <w:t xml:space="preserve"/>
      </w:r>
    </w:p>
    <w:p>
      <w:pPr>
        <w:spacing w:after="120" w:before="80"/>
      </w:pPr>
      <w:r>
        <w:rPr>
          <w:rFonts w:ascii="Arial" w:cs="Arial" w:eastAsia="Arial" w:hAnsi="Arial"/>
          <w:color w:val="595959"/>
          <w:sz w:val="22"/>
          <w:szCs w:val="22"/>
        </w:rPr>
        <w:t xml:space="preserve">Scheduled maintenance will be communicated to Client via email with reasonable advance notice. Emergency maintenance may occur without prior notice.</w:t>
      </w:r>
    </w:p>
    <w:p>
      <w:pPr>
        <w:pBdr>
          <w:bottom w:val="single" w:color="2E75B6" w:sz="4" w:space="4"/>
        </w:pBdr>
        <w:spacing w:after="120" w:before="360"/>
      </w:pPr>
      <w:r>
        <w:rPr>
          <w:rFonts w:ascii="Arial" w:cs="Arial" w:eastAsia="Arial" w:hAnsi="Arial"/>
          <w:b/>
          <w:bCs/>
          <w:color w:val="1A3D6B"/>
          <w:sz w:val="28"/>
          <w:szCs w:val="28"/>
        </w:rPr>
        <w:t xml:space="preserve">12. MODIFICATIONS TO THIS AGREEMENT</w:t>
      </w:r>
    </w:p>
    <w:p>
      <w:pPr>
        <w:spacing w:after="120" w:before="80"/>
      </w:pPr>
      <w:r>
        <w:rPr>
          <w:rFonts w:ascii="Arial" w:cs="Arial" w:eastAsia="Arial" w:hAnsi="Arial"/>
          <w:color w:val="595959"/>
          <w:sz w:val="22"/>
          <w:szCs w:val="22"/>
        </w:rPr>
        <w:t xml:space="preserve">InSync Tech reserves the right to update or modify this Agreement at any time with thirty (30) days written notice delivered to the Client's email address on file. Continued use of the Service after the notice period constitutes acceptance of the updated terms.</w:t>
      </w:r>
    </w:p>
    <w:p>
      <w:pPr>
        <w:pBdr>
          <w:bottom w:val="single" w:color="2E75B6" w:sz="4" w:space="4"/>
        </w:pBdr>
        <w:spacing w:after="120" w:before="360"/>
      </w:pPr>
      <w:r>
        <w:rPr>
          <w:rFonts w:ascii="Arial" w:cs="Arial" w:eastAsia="Arial" w:hAnsi="Arial"/>
          <w:b/>
          <w:bCs/>
          <w:color w:val="1A3D6B"/>
          <w:sz w:val="28"/>
          <w:szCs w:val="28"/>
        </w:rPr>
        <w:t xml:space="preserve">13. GOVERNING LAW &amp; DISPUTE RESOLUTION</w:t>
      </w:r>
    </w:p>
    <w:p>
      <w:pPr>
        <w:spacing w:after="120" w:before="80"/>
      </w:pPr>
      <w:r>
        <w:rPr>
          <w:rFonts w:ascii="Arial" w:cs="Arial" w:eastAsia="Arial" w:hAnsi="Arial"/>
          <w:color w:val="595959"/>
          <w:sz w:val="22"/>
          <w:szCs w:val="22"/>
        </w:rPr>
        <w:t xml:space="preserve">This Agreement is governed by the laws of the State of Florida. Any disputes arising under this Agreement shall be subject to the exclusive jurisdiction of Sarasota County, Florida.</w:t>
      </w:r>
    </w:p>
    <w:p>
      <w:pPr>
        <w:spacing w:after="60" w:before="60"/>
      </w:pPr>
      <w:r>
        <w:t xml:space="preserve"/>
      </w:r>
    </w:p>
    <w:p>
      <w:pPr>
        <w:spacing w:after="120" w:before="80"/>
      </w:pPr>
      <w:r>
        <w:rPr>
          <w:rFonts w:ascii="Arial" w:cs="Arial" w:eastAsia="Arial" w:hAnsi="Arial"/>
          <w:color w:val="595959"/>
          <w:sz w:val="22"/>
          <w:szCs w:val="22"/>
        </w:rPr>
        <w:t xml:space="preserve">The parties agree to attempt good-faith resolution of any dispute before pursuing formal action. Unresolved disputes shall be submitted to binding arbitration in Sarasota County, Florida, before resorting to litigation.</w:t>
      </w:r>
    </w:p>
    <w:p>
      <w:pPr>
        <w:pBdr>
          <w:bottom w:val="single" w:color="2E75B6" w:sz="4" w:space="4"/>
        </w:pBdr>
        <w:spacing w:after="120" w:before="360"/>
      </w:pPr>
      <w:r>
        <w:rPr>
          <w:rFonts w:ascii="Arial" w:cs="Arial" w:eastAsia="Arial" w:hAnsi="Arial"/>
          <w:b/>
          <w:bCs/>
          <w:color w:val="1A3D6B"/>
          <w:sz w:val="28"/>
          <w:szCs w:val="28"/>
        </w:rPr>
        <w:t xml:space="preserve">14. ENTIRE AGREEMENT</w:t>
      </w:r>
    </w:p>
    <w:p>
      <w:pPr>
        <w:spacing w:after="120" w:before="80"/>
      </w:pPr>
      <w:r>
        <w:rPr>
          <w:rFonts w:ascii="Arial" w:cs="Arial" w:eastAsia="Arial" w:hAnsi="Arial"/>
          <w:color w:val="595959"/>
          <w:sz w:val="22"/>
          <w:szCs w:val="22"/>
        </w:rPr>
        <w:t xml:space="preserve">This Agreement constitutes the entire agreement between the parties with respect to its subject matter and supersedes all prior verbal or written representations, negotiations, and understandings. No modification is effective unless made in writing and signed by both parties.</w:t>
      </w:r>
    </w:p>
    <w:p>
      <w:pPr>
        <w:spacing w:after="60" w:before="60"/>
      </w:pPr>
      <w:r>
        <w:t xml:space="preserve"/>
      </w:r>
    </w:p>
    <w:p>
      <w:pPr>
        <w:spacing w:after="60" w:before="60"/>
      </w:pPr>
      <w:r>
        <w:t xml:space="preserve"/>
      </w:r>
    </w:p>
    <w:p>
      <w:pPr>
        <w:pBdr>
          <w:bottom w:val="single" w:color="2E75B6" w:sz="4" w:space="4"/>
        </w:pBdr>
        <w:spacing w:after="120" w:before="360"/>
      </w:pPr>
      <w:r>
        <w:rPr>
          <w:rFonts w:ascii="Arial" w:cs="Arial" w:eastAsia="Arial" w:hAnsi="Arial"/>
          <w:b/>
          <w:bCs/>
          <w:color w:val="1A3D6B"/>
          <w:sz w:val="28"/>
          <w:szCs w:val="28"/>
        </w:rPr>
        <w:t xml:space="preserve">SIGNATURES</w:t>
      </w:r>
    </w:p>
    <w:p>
      <w:pPr>
        <w:spacing w:after="120" w:before="80"/>
      </w:pPr>
      <w:r>
        <w:rPr>
          <w:rFonts w:ascii="Arial" w:cs="Arial" w:eastAsia="Arial" w:hAnsi="Arial"/>
          <w:color w:val="595959"/>
          <w:sz w:val="22"/>
          <w:szCs w:val="22"/>
        </w:rPr>
        <w:t xml:space="preserve">By signing below, both parties acknowledge that they have read, understood, and agree to all terms of this Agreement.</w:t>
      </w:r>
    </w:p>
    <w:p>
      <w:pPr>
        <w:spacing w:after="60" w:before="60"/>
      </w:pPr>
      <w:r>
        <w:t xml:space="preserve"/>
      </w:r>
    </w:p>
    <w:p>
      <w:pPr>
        <w:spacing w:after="60" w:before="200"/>
      </w:pPr>
      <w:r>
        <w:rPr>
          <w:rFonts w:ascii="Arial" w:cs="Arial" w:eastAsia="Arial" w:hAnsi="Arial"/>
          <w:b/>
          <w:bCs/>
          <w:color w:val="1A3D6B"/>
          <w:sz w:val="22"/>
          <w:szCs w:val="22"/>
        </w:rPr>
        <w:t xml:space="preserve">INSYNC TECH INC. — SERVICE PROVIDER</w:t>
      </w:r>
    </w:p>
    <w:p>
      <w:pPr>
        <w:spacing w:after="80" w:before="200"/>
      </w:pPr>
      <w:r>
        <w:rPr>
          <w:rFonts w:ascii="Arial" w:cs="Arial" w:eastAsia="Arial" w:hAnsi="Arial"/>
          <w:b/>
          <w:bCs/>
          <w:color w:val="595959"/>
          <w:sz w:val="22"/>
          <w:szCs w:val="22"/>
        </w:rPr>
        <w:t xml:space="preserve">Authorized Signature: </w:t>
      </w:r>
      <w:r>
        <w:rPr>
          <w:rFonts w:ascii="Arial" w:cs="Arial" w:eastAsia="Arial" w:hAnsi="Arial"/>
          <w:color w:val="595959"/>
          <w:sz w:val="22"/>
          <w:szCs w:val="22"/>
        </w:rPr>
        <w:t xml:space="preserve">_________________________________________________</w:t>
      </w:r>
    </w:p>
    <w:p>
      <w:pPr>
        <w:spacing w:after="80" w:before="200"/>
      </w:pPr>
      <w:r>
        <w:rPr>
          <w:rFonts w:ascii="Arial" w:cs="Arial" w:eastAsia="Arial" w:hAnsi="Arial"/>
          <w:b/>
          <w:bCs/>
          <w:color w:val="595959"/>
          <w:sz w:val="22"/>
          <w:szCs w:val="22"/>
        </w:rPr>
        <w:t xml:space="preserve">Printed Name &amp; Title: </w:t>
      </w:r>
      <w:r>
        <w:rPr>
          <w:rFonts w:ascii="Arial" w:cs="Arial" w:eastAsia="Arial" w:hAnsi="Arial"/>
          <w:color w:val="595959"/>
          <w:sz w:val="22"/>
          <w:szCs w:val="22"/>
        </w:rPr>
        <w:t xml:space="preserve">_________________________________________________</w:t>
      </w:r>
    </w:p>
    <w:p>
      <w:pPr>
        <w:spacing w:after="80" w:before="200"/>
      </w:pPr>
      <w:r>
        <w:rPr>
          <w:rFonts w:ascii="Arial" w:cs="Arial" w:eastAsia="Arial" w:hAnsi="Arial"/>
          <w:b/>
          <w:bCs/>
          <w:color w:val="595959"/>
          <w:sz w:val="22"/>
          <w:szCs w:val="22"/>
        </w:rPr>
        <w:t xml:space="preserve">Date: </w:t>
      </w:r>
      <w:r>
        <w:rPr>
          <w:rFonts w:ascii="Arial" w:cs="Arial" w:eastAsia="Arial" w:hAnsi="Arial"/>
          <w:color w:val="595959"/>
          <w:sz w:val="22"/>
          <w:szCs w:val="22"/>
        </w:rPr>
        <w:t xml:space="preserve">_________________________________________________</w:t>
      </w:r>
    </w:p>
    <w:p>
      <w:pPr>
        <w:spacing w:after="60" w:before="60"/>
      </w:pPr>
      <w:r>
        <w:t xml:space="preserve"/>
      </w:r>
    </w:p>
    <w:p>
      <w:pPr>
        <w:spacing w:after="60" w:before="60"/>
      </w:pPr>
      <w:r>
        <w:t xml:space="preserve"/>
      </w:r>
    </w:p>
    <w:p>
      <w:pPr>
        <w:spacing w:after="60" w:before="200"/>
      </w:pPr>
      <w:r>
        <w:rPr>
          <w:rFonts w:ascii="Arial" w:cs="Arial" w:eastAsia="Arial" w:hAnsi="Arial"/>
          <w:b/>
          <w:bCs/>
          <w:color w:val="1A3D6B"/>
          <w:sz w:val="22"/>
          <w:szCs w:val="22"/>
        </w:rPr>
        <w:t xml:space="preserve">CLIENT</w:t>
      </w:r>
    </w:p>
    <w:p>
      <w:pPr>
        <w:spacing w:after="80" w:before="200"/>
      </w:pPr>
      <w:r>
        <w:rPr>
          <w:rFonts w:ascii="Arial" w:cs="Arial" w:eastAsia="Arial" w:hAnsi="Arial"/>
          <w:b/>
          <w:bCs/>
          <w:color w:val="595959"/>
          <w:sz w:val="22"/>
          <w:szCs w:val="22"/>
        </w:rPr>
        <w:t xml:space="preserve">Authorized Signature: </w:t>
      </w:r>
      <w:r>
        <w:rPr>
          <w:rFonts w:ascii="Arial" w:cs="Arial" w:eastAsia="Arial" w:hAnsi="Arial"/>
          <w:color w:val="595959"/>
          <w:sz w:val="22"/>
          <w:szCs w:val="22"/>
        </w:rPr>
        <w:t xml:space="preserve">_________________________________________________</w:t>
      </w:r>
    </w:p>
    <w:p>
      <w:pPr>
        <w:spacing w:after="80" w:before="200"/>
      </w:pPr>
      <w:r>
        <w:rPr>
          <w:rFonts w:ascii="Arial" w:cs="Arial" w:eastAsia="Arial" w:hAnsi="Arial"/>
          <w:b/>
          <w:bCs/>
          <w:color w:val="595959"/>
          <w:sz w:val="22"/>
          <w:szCs w:val="22"/>
        </w:rPr>
        <w:t xml:space="preserve">Printed Name &amp; Title: </w:t>
      </w:r>
      <w:r>
        <w:rPr>
          <w:rFonts w:ascii="Arial" w:cs="Arial" w:eastAsia="Arial" w:hAnsi="Arial"/>
          <w:color w:val="595959"/>
          <w:sz w:val="22"/>
          <w:szCs w:val="22"/>
        </w:rPr>
        <w:t xml:space="preserve">_________________________________________________</w:t>
      </w:r>
    </w:p>
    <w:p>
      <w:pPr>
        <w:spacing w:after="80" w:before="200"/>
      </w:pPr>
      <w:r>
        <w:rPr>
          <w:rFonts w:ascii="Arial" w:cs="Arial" w:eastAsia="Arial" w:hAnsi="Arial"/>
          <w:b/>
          <w:bCs/>
          <w:color w:val="595959"/>
          <w:sz w:val="22"/>
          <w:szCs w:val="22"/>
        </w:rPr>
        <w:t xml:space="preserve">Date: </w:t>
      </w:r>
      <w:r>
        <w:rPr>
          <w:rFonts w:ascii="Arial" w:cs="Arial" w:eastAsia="Arial" w:hAnsi="Arial"/>
          <w:color w:val="595959"/>
          <w:sz w:val="22"/>
          <w:szCs w:val="22"/>
        </w:rPr>
        <w:t xml:space="preserve">_________________________________________________</w:t>
      </w:r>
    </w:p>
    <w:p>
      <w:pPr>
        <w:spacing w:after="60" w:before="60"/>
      </w:pPr>
      <w:r>
        <w:t xml:space="preserve"/>
      </w:r>
    </w:p>
    <w:p>
      <w:pPr>
        <w:spacing w:after="60" w:before="60"/>
      </w:pPr>
      <w:r>
        <w:t xml:space="preserve"/>
      </w:r>
    </w:p>
    <w:p>
      <w:pPr>
        <w:pBdr>
          <w:top w:val="single" w:color="2E75B6" w:sz="4" w:space="4"/>
        </w:pBdr>
        <w:spacing w:after="0" w:before="240"/>
        <w:jc w:val="center"/>
      </w:pPr>
      <w:r>
        <w:rPr>
          <w:rFonts w:ascii="Arial" w:cs="Arial" w:eastAsia="Arial" w:hAnsi="Arial"/>
          <w:color w:val="999999"/>
          <w:sz w:val="18"/>
          <w:szCs w:val="18"/>
        </w:rPr>
        <w:t xml:space="preserve">InSync Tech Inc.  |  Venice, Florida  |  insynctech.io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999999"/>
        <w:sz w:val="18"/>
        <w:szCs w:val="18"/>
      </w:rPr>
      <w:t xml:space="preserve">Confidential — InSync Tech Inc.</w:t>
    </w:r>
    <w:r>
      <w:rPr>
        <w:rFonts w:ascii="Arial" w:cs="Arial" w:eastAsia="Arial" w:hAnsi="Arial"/>
        <w:color w:val="999999"/>
        <w:sz w:val="18"/>
        <w:szCs w:val="18"/>
      </w:rPr>
      <w:t xml:space="preserve">	Page </w:t>
    </w:r>
    <w:r>
      <w:rPr>
        <w:rFonts w:ascii="Arial" w:cs="Arial" w:eastAsia="Arial" w:hAnsi="Arial"/>
        <w:color w:val="999999"/>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1A3D6B"/>
        <w:sz w:val="22"/>
        <w:szCs w:val="22"/>
      </w:rPr>
      <w:t xml:space="preserve">InSync Tech Inc.</w:t>
    </w:r>
    <w:r>
      <w:rPr>
        <w:rFonts w:ascii="Arial" w:cs="Arial" w:eastAsia="Arial" w:hAnsi="Arial"/>
        <w:color w:val="999999"/>
        <w:sz w:val="20"/>
        <w:szCs w:val="20"/>
      </w:rPr>
      <w:t xml:space="preserve">  |  ARIA AI Receptionist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2026-03-20T01:30:49.453Z</dcterms:created>
  <dcterms:modified xsi:type="dcterms:W3CDTF">2026-03-20T01:30:49.454Z</dcterms:modified>
</cp:coreProperties>
</file>

<file path=docProps/custom.xml><?xml version="1.0" encoding="utf-8"?>
<Properties xmlns="http://schemas.openxmlformats.org/officeDocument/2006/custom-properties" xmlns:vt="http://schemas.openxmlformats.org/officeDocument/2006/docPropsVTypes"/>
</file>