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Auditing the 3rd-Place Solution to the Jigsaw Unintended Bias in Toxicity Classification Competition</w:t>
      </w:r>
    </w:p>
    <w:p>
      <w:pPr>
        <w:jc w:val="center"/>
      </w:pPr>
      <w:r>
        <w:rPr>
          <w:b/>
        </w:rPr>
        <w:t>Ian Tang and Nick Chen</w:t>
        <w:br/>
      </w:r>
      <w:r>
        <w:t>DS-UA 202, Spring 2026 — Group 21</w:t>
      </w:r>
    </w:p>
    <w:p/>
    <w:p>
      <w:pPr>
        <w:pStyle w:val="Heading1"/>
      </w:pPr>
      <w:r>
        <w:t>Abstract</w:t>
      </w:r>
    </w:p>
    <w:p/>
    <w:p>
      <w:pPr>
        <w:pStyle w:val="Heading1"/>
      </w:pPr>
      <w:r>
        <w:t>1. Introduction</w:t>
      </w:r>
    </w:p>
    <w:p/>
    <w:p>
      <w:pPr>
        <w:pStyle w:val="Heading1"/>
      </w:pPr>
      <w:r>
        <w:t>2. Background</w:t>
      </w:r>
    </w:p>
    <w:p/>
    <w:p>
      <w:pPr>
        <w:pStyle w:val="Heading2"/>
      </w:pPr>
      <w:r>
        <w:t>2.1 The Civil Comments dataset and Jigsaw competition</w:t>
      </w:r>
    </w:p>
    <w:p/>
    <w:p>
      <w:pPr>
        <w:pStyle w:val="Heading2"/>
      </w:pPr>
      <w:r>
        <w:t>2.2 The 3rd-place solution under audit</w:t>
      </w:r>
    </w:p>
    <w:p/>
    <w:p>
      <w:pPr>
        <w:pStyle w:val="Heading2"/>
      </w:pPr>
      <w:r>
        <w:t>2.3 Normative framing: fairness as the spine of the audit</w:t>
      </w:r>
    </w:p>
    <w:p/>
    <w:p>
      <w:pPr>
        <w:pStyle w:val="Heading1"/>
      </w:pPr>
      <w:r>
        <w:t>3. Input Data Profiling</w:t>
      </w:r>
    </w:p>
    <w:p/>
    <w:p>
      <w:pPr>
        <w:pStyle w:val="Heading2"/>
      </w:pPr>
      <w:r>
        <w:t>3.1 Dataset composition</w:t>
      </w:r>
    </w:p>
    <w:p/>
    <w:p>
      <w:pPr>
        <w:pStyle w:val="Heading2"/>
      </w:pPr>
      <w:r>
        <w:t>3.2 Identity-subgroup coverage and base rates</w:t>
      </w:r>
    </w:p>
    <w:p/>
    <w:p>
      <w:pPr>
        <w:pStyle w:val="Heading2"/>
      </w:pPr>
      <w:r>
        <w:t>3.3 Critique of the toxicity-score definition</w:t>
      </w:r>
    </w:p>
    <w:p/>
    <w:p>
      <w:pPr>
        <w:pStyle w:val="Heading1"/>
      </w:pPr>
      <w:r>
        <w:t>4. The ADS Implementation</w:t>
      </w:r>
    </w:p>
    <w:p/>
    <w:p>
      <w:pPr>
        <w:pStyle w:val="Heading2"/>
      </w:pPr>
      <w:r>
        <w:t>4.1 Recreation scope and deviations from the original</w:t>
      </w:r>
    </w:p>
    <w:p/>
    <w:p>
      <w:pPr>
        <w:pStyle w:val="Heading2"/>
      </w:pPr>
      <w:r>
        <w:t>4.2 Architecture: BERT-large + LSTM-GRU multi-task ensemble</w:t>
      </w:r>
    </w:p>
    <w:p/>
    <w:p>
      <w:pPr>
        <w:pStyle w:val="Heading2"/>
      </w:pPr>
      <w:r>
        <w:t>4.3 Training and Optuna-blended weights</w:t>
      </w:r>
    </w:p>
    <w:p/>
    <w:p>
      <w:pPr>
        <w:pStyle w:val="Heading1"/>
      </w:pPr>
      <w:r>
        <w:t>5. Stakeholder Analysis</w:t>
      </w:r>
    </w:p>
    <w:p/>
    <w:p>
      <w:pPr>
        <w:pStyle w:val="Heading1"/>
      </w:pPr>
      <w:r>
        <w:t>6. Audit Outcomes</w:t>
      </w:r>
    </w:p>
    <w:p/>
    <w:p>
      <w:pPr>
        <w:pStyle w:val="Heading2"/>
      </w:pPr>
      <w:r>
        <w:t>6.1 Pillar 1 — Subgroup fairness analysis</w:t>
      </w:r>
    </w:p>
    <w:p/>
    <w:p>
      <w:pPr>
        <w:pStyle w:val="Heading3"/>
      </w:pPr>
      <w:r>
        <w:t>6.1.1 Subgroup, BPSN, and BNSP AUCs</w:t>
      </w:r>
    </w:p>
    <w:p/>
    <w:p>
      <w:pPr>
        <w:pStyle w:val="Heading3"/>
      </w:pPr>
      <w:r>
        <w:t>6.1.2 Direction of error: over- vs. under-flagging</w:t>
      </w:r>
    </w:p>
    <w:p/>
    <w:p>
      <w:pPr>
        <w:pStyle w:val="Heading2"/>
      </w:pPr>
      <w:r>
        <w:t>6.2 Pillar 2 — Counterfactual identity perturbation</w:t>
      </w:r>
    </w:p>
    <w:p/>
    <w:p>
      <w:pPr>
        <w:pStyle w:val="Heading3"/>
      </w:pPr>
      <w:r>
        <w:t>6.2.1 Causal DAG and the anti-causal structure of toxicity classification</w:t>
      </w:r>
    </w:p>
    <w:p/>
    <w:p>
      <w:pPr>
        <w:pStyle w:val="Heading3"/>
      </w:pPr>
      <w:r>
        <w:t>6.2.2 Conceptualizing the do-intervention on identity tokens</w:t>
      </w:r>
    </w:p>
    <w:p/>
    <w:p>
      <w:pPr>
        <w:pStyle w:val="Heading3"/>
      </w:pPr>
      <w:r>
        <w:t>6.2.3 Empirical test of the substitution-validity assumption</w:t>
      </w:r>
    </w:p>
    <w:p/>
    <w:p>
      <w:pPr>
        <w:pStyle w:val="Heading3"/>
      </w:pPr>
      <w:r>
        <w:t>6.2.4 Template-level results: heatmaps, marginal effects, pairwise gaps</w:t>
      </w:r>
    </w:p>
    <w:p/>
    <w:p>
      <w:pPr>
        <w:pStyle w:val="Heading3"/>
      </w:pPr>
      <w:r>
        <w:t>6.2.5 Model-comparison: BERT vs. LSTM vs. ensemble</w:t>
      </w:r>
    </w:p>
    <w:p/>
    <w:p>
      <w:pPr>
        <w:pStyle w:val="Heading2"/>
      </w:pPr>
      <w:r>
        <w:t>6.3 Pillar 3 — Module 1 fairness metrics</w:t>
      </w:r>
    </w:p>
    <w:p/>
    <w:p>
      <w:pPr>
        <w:pStyle w:val="Heading3"/>
      </w:pPr>
      <w:r>
        <w:t>6.3.1 Threshold choice s_HR</w:t>
      </w:r>
    </w:p>
    <w:p/>
    <w:p>
      <w:pPr>
        <w:pStyle w:val="Heading3"/>
      </w:pPr>
      <w:r>
        <w:t>6.3.2 Per-subgroup PPV, TPR, FPR, FNR, and selection rate</w:t>
      </w:r>
    </w:p>
    <w:p/>
    <w:p>
      <w:pPr>
        <w:pStyle w:val="Heading3"/>
      </w:pPr>
      <w:r>
        <w:t>6.3.3 Numerical demonstration of the impossibility result</w:t>
      </w:r>
    </w:p>
    <w:p/>
    <w:p>
      <w:pPr>
        <w:pStyle w:val="Heading2"/>
      </w:pPr>
      <w:r>
        <w:t>6.4 Pillar 4 — Critique of the competition metric</w:t>
      </w:r>
    </w:p>
    <w:p/>
    <w:p>
      <w:pPr>
        <w:pStyle w:val="Heading3"/>
      </w:pPr>
      <w:r>
        <w:t>6.4.1 Power-mean exponent p = -5 as an implicit Rawlsian choice</w:t>
      </w:r>
    </w:p>
    <w:p/>
    <w:p>
      <w:pPr>
        <w:pStyle w:val="Heading3"/>
      </w:pPr>
      <w:r>
        <w:t>6.4.2 The 25/75 weighting between overall AUC and bias metrics</w:t>
      </w:r>
    </w:p>
    <w:p/>
    <w:p>
      <w:pPr>
        <w:pStyle w:val="Heading3"/>
      </w:pPr>
      <w:r>
        <w:t>6.4.3 Identity column inclusion and exclusion decisions</w:t>
      </w:r>
    </w:p>
    <w:p/>
    <w:p>
      <w:pPr>
        <w:pStyle w:val="Heading3"/>
      </w:pPr>
      <w:r>
        <w:t>6.4.4 Meta-point: metric design as upstream value-laden choice</w:t>
      </w:r>
    </w:p>
    <w:p/>
    <w:p>
      <w:pPr>
        <w:pStyle w:val="Heading1"/>
      </w:pPr>
      <w:r>
        <w:t>7. Reflection and Recommendations</w:t>
      </w:r>
    </w:p>
    <w:p/>
    <w:p>
      <w:pPr>
        <w:pStyle w:val="Heading2"/>
      </w:pPr>
      <w:r>
        <w:t>7.1 Was the data appropriate?</w:t>
      </w:r>
    </w:p>
    <w:p/>
    <w:p>
      <w:pPr>
        <w:pStyle w:val="Heading2"/>
      </w:pPr>
      <w:r>
        <w:t>7.2 Is the implementation robust, accurate, and fair?</w:t>
      </w:r>
    </w:p>
    <w:p/>
    <w:p>
      <w:pPr>
        <w:pStyle w:val="Heading2"/>
      </w:pPr>
      <w:r>
        <w:t>7.3 Would we deploy this in the public sector or industry?</w:t>
      </w:r>
    </w:p>
    <w:p/>
    <w:p>
      <w:pPr>
        <w:pStyle w:val="Heading2"/>
      </w:pPr>
      <w:r>
        <w:t>7.4 Recommendations</w:t>
      </w:r>
    </w:p>
    <w:p/>
    <w:p>
      <w:pPr>
        <w:pStyle w:val="Heading1"/>
      </w:pPr>
      <w:r>
        <w:t>8. Limitations</w:t>
      </w:r>
    </w:p>
    <w:p/>
    <w:p>
      <w:pPr>
        <w:pStyle w:val="Heading2"/>
      </w:pPr>
      <w:r>
        <w:t>8.1 Recreation scope</w:t>
      </w:r>
    </w:p>
    <w:p/>
    <w:p>
      <w:pPr>
        <w:pStyle w:val="Heading2"/>
      </w:pPr>
      <w:r>
        <w:t>8.2 Toxicity-label measurement</w:t>
      </w:r>
    </w:p>
    <w:p/>
    <w:p>
      <w:pPr>
        <w:pStyle w:val="Heading2"/>
      </w:pPr>
      <w:r>
        <w:t>8.3 Counterfactual methodology</w:t>
      </w:r>
    </w:p>
    <w:p/>
    <w:p>
      <w:pPr>
        <w:pStyle w:val="Heading1"/>
      </w:pPr>
      <w:r>
        <w:t>References</w:t>
      </w:r>
    </w:p>
    <w:p/>
    <w:p>
      <w:pPr>
        <w:pStyle w:val="Heading1"/>
      </w:pPr>
      <w:r>
        <w:t>Appendix A. Counterfactual Fairness Framework</w:t>
      </w:r>
    </w:p>
    <w:p/>
    <w:p>
      <w:pPr>
        <w:pStyle w:val="Heading1"/>
      </w:pPr>
      <w:r>
        <w:t>Appendix B. Module 1 Fairness Metrics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