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y8d7e1ntyrc1" w:id="0"/>
      <w:bookmarkEnd w:id="0"/>
      <w:r w:rsidDel="00000000" w:rsidR="00000000" w:rsidRPr="00000000">
        <w:rPr>
          <w:rtl w:val="0"/>
        </w:rPr>
        <w:t xml:space="preserve">AML Data Loading &amp; Feature Engineering Pipeline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aml_load_unify_data.py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Takes raw transaction files and customer KYC data, transforms them into a single engineered feature table ready for machine learning.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kpxmlws6cnuw" w:id="1"/>
      <w:bookmarkEnd w:id="1"/>
      <w:r w:rsidDel="00000000" w:rsidR="00000000" w:rsidRPr="00000000">
        <w:rPr>
          <w:b w:val="1"/>
          <w:bCs w:val="1"/>
          <w:rtl w:val="0"/>
        </w:rPr>
        <w:t xml:space="preserve">Load &amp; Standardize Transaction Data: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loads transaction files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adds a channel column to each for identification purposes (‘ABM’, ‘Card’, ‘Wire’, etc.)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standardizes column name across all the files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combines everything into one master transaction table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previously: separate transaction files with different column names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df_abm: ['customer_id', 'amount', 'date', ...]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df_card: ['customer_id', 'amount_cad', 'merchant_category', ...]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now: one unified table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df_transactions:</w:t>
      </w:r>
      <w:r w:rsidDel="00000000" w:rsidR="00000000" w:rsidRPr="00000000">
        <w:rPr>
          <w:rtl w:val="0"/>
        </w:rPr>
        <w:t xml:space="preserve"> ['customer_id', 'amount_cad', 'debit_credit', 'transaction_datetime',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'country', 'province', 'city', 'channel']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b w:val="1"/>
          <w:bCs w:val="1"/>
        </w:rPr>
      </w:pPr>
      <w:bookmarkStart w:colFirst="0" w:colLast="0" w:name="_8m73cvvzbtsx" w:id="2"/>
      <w:bookmarkEnd w:id="2"/>
      <w:r w:rsidDel="00000000" w:rsidR="00000000" w:rsidRPr="00000000">
        <w:rPr>
          <w:b w:val="1"/>
          <w:bCs w:val="1"/>
          <w:rtl w:val="0"/>
        </w:rPr>
        <w:t xml:space="preserve">Temporal Features: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Extracts date/time components from transaction_datetime column. These additional columns are created so that we can group transactions by these temporal dimensions later on when engineering features.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e.g. '2024-03-15 14:30:00' would generate features sure 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date – ‘2024-03-15’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year – ‘2024’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month – ‘3’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day – ‘15’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hour – ‘14’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time_of_day – ‘Afternoon’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Relevant for AML as night transactions are more suspicious, weekend activity in business accounts are unusual etc.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b w:val="1"/>
          <w:bCs w:val="1"/>
        </w:rPr>
      </w:pPr>
      <w:bookmarkStart w:colFirst="0" w:colLast="0" w:name="_efsgyvwo5igf" w:id="3"/>
      <w:bookmarkEnd w:id="3"/>
      <w:r w:rsidDel="00000000" w:rsidR="00000000" w:rsidRPr="00000000">
        <w:rPr>
          <w:b w:val="1"/>
          <w:bCs w:val="1"/>
          <w:rtl w:val="0"/>
        </w:rPr>
        <w:t xml:space="preserve">Customer-Level Features: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Aggregate millions of transactions into one row per customer with hundreds of features.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Implemented in engineer_features_vectorized()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→ Volume &amp; Velocity Features: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transactions are grouped by customer_id, then calculate total # of transactions, sum of all transaction amounts, mean amount per transaction, etc.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separate the debits and credits (calculate # of outgoing, incoming payments etc.)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derive features such as net flow (inflow - outflow)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determine time-based features (e.g. # of days between first and last transaction)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 output for a customer: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customer_id: CUST12345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transaction_count_total: 147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total_volume: $234,567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avg_transaction_amount: $1,595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total_inflow: $180,000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total_outflow: $54,567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net_flow: $125,433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transactions_per_day: 2.1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→ Structuring Detection Features: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Detect “structuring” (where large amounts are broken down into smaller transactions to avoid the $10,000 reporting threshold)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Also accounts for geographic diversity, to detect location hopping to avoid detection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Customer A (suspicious):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count_near_10k: 23 transactions between $9,500-$9,950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unique_cities: 12 (transactions in 12 different cities)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ratio_round_100: 0.87 (87% are round numbers like $9,500, $9,800)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Customer B (normal):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count_near_10k: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unique_cities: 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ratio_round_100: 0.12 (12% round numbers)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Channel-Specific Features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 analyze usage patterns across different transaction channels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For each channel (ABM, Card, Cheque, EFT, EMT, WesternUnion, Wire):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count_abm, count_card, count_cheque, etc.     → # transactions per channel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sum_abm, sum_card, sum_cheque, etc.           → $ volume per channel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avg_abm, avg_card, avg_cheque, etc.           → Average amount per channel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Channel diversity: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unique_channels           → How many channels used? (1-7)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channel_diversity         → Normalized diversity score (0-1)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channel_concentration_hhi → Herfindahl index (1 = all eggs in one basket)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detects when a mixture of channels (e.g. wire + western union + cash) is used, as this is suspicious.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Special indicators: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cash_transaction_count    → # of cash transactions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cash_ratio               → % of transactions that are cash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Here, heavy cash usage could indicate unreported income.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fff2cc" w:val="clear"/>
          <w:rtl w:val="0"/>
        </w:rPr>
        <w:t xml:space="preserve">Geographic Risk Features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Flag the transactions with high-risk jurisdictions.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lists for drug-producing countries, FATF blacklist, FATF grey list, tax havens.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Customer with Mexico wire transfers: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drug_country_txn_count: 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drug_country_txn_sum: $45,000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has_any_high_risk_txn: 1 (TRUE)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→ Temporal Pattern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Detects unusual timing patterns.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legitimate business shouldn’t be making transactions at 3 am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individual accounts shouldn’t have 90% of transactions on Sundays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high regularity is detected, this could indicate automation or use of scripts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f2cc" w:val="clear"/>
          <w:rtl w:val="0"/>
        </w:rPr>
        <w:t xml:space="preserve">→ Behavioral Drift 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Detect sudden changes in behavior (e.g. account takeover, new illegal activity).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Customer history: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Jan: 10 txns, $5,000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Feb: 12 txns, $6,000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Mar: 8 txns, $4,500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Apr: 87 txns, $120,000  ← sudden spike here! (high monthly_txn_cv)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b w:val="1"/>
          <w:bCs w:val="1"/>
        </w:rPr>
      </w:pPr>
      <w:bookmarkStart w:colFirst="0" w:colLast="0" w:name="_atx2tebti8ic" w:id="4"/>
      <w:bookmarkEnd w:id="4"/>
      <w:r w:rsidDel="00000000" w:rsidR="00000000" w:rsidRPr="00000000">
        <w:rPr>
          <w:b w:val="1"/>
          <w:bCs w:val="1"/>
          <w:rtl w:val="0"/>
        </w:rPr>
        <w:t xml:space="preserve">Merge KYC Data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Add the customer profile information to the feature table as well. </w:t>
      </w:r>
    </w:p>
    <w:p w:rsidR="00000000" w:rsidDel="00000000" w:rsidP="00000000" w:rsidRDefault="00000000" w:rsidRPr="00000000" w14:paraId="00000078">
      <w:pPr>
        <w:pStyle w:val="Heading3"/>
        <w:rPr>
          <w:b w:val="1"/>
          <w:bCs w:val="1"/>
        </w:rPr>
      </w:pPr>
      <w:bookmarkStart w:colFirst="0" w:colLast="0" w:name="_f00s0i9eeoxz" w:id="5"/>
      <w:bookmarkEnd w:id="5"/>
      <w:r w:rsidDel="00000000" w:rsidR="00000000" w:rsidRPr="00000000">
        <w:rPr>
          <w:b w:val="1"/>
          <w:bCs w:val="1"/>
          <w:rtl w:val="0"/>
        </w:rPr>
        <w:t xml:space="preserve">Merge Labels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Add the ‘label’ column to the feature table as well. Ensure unlabelled customers remain as unlabelled.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