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6"/>
        <w:tblLayout w:type="fixed"/>
        <w:tblLook w:firstColumn="1" w:firstRow="1" w:lastColumn="0" w:lastRow="0" w:noHBand="0" w:noVBand="1" w:val="04A0"/>
      </w:tblPr>
      <w:tblGrid>
        <w:gridCol w:w="11906"/>
      </w:tblGrid>
      <w:tr>
        <w:trPr>
          <w:trHeight w:val="8504" w:hRule="exact"/>
        </w:trPr>
        <w:tc>
          <w:tcPr>
            <w:tcW w:type="dxa" w:w="1190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200"/>
              <w:ind w:left="1300" w:right="1300"/>
            </w:pPr>
            <w:r>
              <w:rPr>
                <w:b/>
                <w:caps/>
                <w:color w:val="7A7F8A"/>
                <w:spacing w:val="40"/>
                <w:sz w:val="20"/>
              </w:rPr>
              <w:t>Assessment report</w:t>
            </w:r>
          </w:p>
          <w:p>
            <w:pPr>
              <w:spacing w:before="0" w:after="160" w:line="252" w:lineRule="auto"/>
              <w:ind w:left="1300" w:right="1300"/>
            </w:pPr>
            <w:r>
              <w:rPr>
                <w:b/>
                <w:caps w:val="0"/>
                <w:color w:val="000000"/>
                <w:sz w:val="60"/>
              </w:rPr>
              <w:t>AI Adoption Assessment</w:t>
            </w:r>
          </w:p>
          <w:p>
            <w:pPr>
              <w:spacing w:before="0" w:after="0" w:line="288" w:lineRule="auto"/>
              <w:ind w:left="1300" w:right="1300"/>
            </w:pPr>
            <w:r>
              <w:rPr>
                <w:b w:val="0"/>
                <w:caps w:val="0"/>
                <w:color w:val="4A4E57"/>
                <w:sz w:val="26"/>
              </w:rPr>
              <w:t>Readiness, priorities and a 12-month roadmap</w:t>
            </w:r>
          </w:p>
          <w:p>
            <w:pPr>
              <w:pBdr>
                <w:bottom w:val="single" w:sz="24" w:space="1" w:color="333333"/>
              </w:pBdr>
              <w:spacing w:before="320" w:after="800"/>
              <w:ind w:right="6803" w:left="1300"/>
            </w:pPr>
          </w:p>
        </w:tc>
      </w:tr>
      <w:tr>
        <w:trPr>
          <w:trHeight w:val="68" w:hRule="exact"/>
        </w:trPr>
        <w:tc>
          <w:tcPr>
            <w:tcW w:type="dxa" w:w="1190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trHeight w:val="6905" w:hRule="exact"/>
        </w:trPr>
        <w:tc>
          <w:tcPr>
            <w:tcW w:type="dxa" w:w="1190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680" w:after="520"/>
              <w:ind w:left="1300" w:right="1300"/>
            </w:pPr>
            <w:r>
              <w:drawing>
                <wp:inline xmlns:a="http://schemas.openxmlformats.org/drawingml/2006/main" xmlns:pic="http://schemas.openxmlformats.org/drawingml/2006/picture">
                  <wp:extent cx="4303448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448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306"/>
              <w:tblInd w:w="1300" w:type="dxa"/>
              <w:tblLayout w:type="fixed"/>
              <w:tblLook w:firstColumn="1" w:firstRow="1" w:lastColumn="0" w:lastRow="0" w:noHBand="0" w:noVBand="1" w:val="04A0"/>
            </w:tblPr>
            <w:tblGrid>
              <w:gridCol w:w="4653"/>
              <w:gridCol w:w="4653"/>
            </w:tblGrid>
            <w:tr>
              <w:tc>
                <w:tcPr>
                  <w:tcW w:type="dxa" w:w="4653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160" w:type="dxa"/>
                    <w:right w:w="20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caps/>
                      <w:color w:val="7A7F8A"/>
                      <w:spacing w:val="20"/>
                      <w:sz w:val="16"/>
                    </w:rPr>
                    <w:t>Client</w:t>
                  </w:r>
                </w:p>
                <w:p>
                  <w:pPr>
                    <w:spacing w:before="0" w:after="0" w:line="264" w:lineRule="auto"/>
                  </w:pPr>
                  <w:r>
                    <w:rPr>
                      <w:b/>
                      <w:caps w:val="0"/>
                      <w:color w:val="000000"/>
                      <w:sz w:val="22"/>
                    </w:rPr>
                    <w:t>Northwind Analytics</w:t>
                  </w:r>
                </w:p>
              </w:tc>
              <w:tc>
                <w:tcPr>
                  <w:tcW w:type="dxa" w:w="4653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160" w:type="dxa"/>
                    <w:right w:w="20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caps/>
                      <w:color w:val="7A7F8A"/>
                      <w:spacing w:val="20"/>
                      <w:sz w:val="16"/>
                    </w:rPr>
                    <w:t>Reference</w:t>
                  </w:r>
                </w:p>
                <w:p>
                  <w:pPr>
                    <w:spacing w:before="0" w:after="0" w:line="264" w:lineRule="auto"/>
                  </w:pPr>
                  <w:r>
                    <w:rPr>
                      <w:b/>
                      <w:caps w:val="0"/>
                      <w:color w:val="000000"/>
                      <w:sz w:val="22"/>
                    </w:rPr>
                    <w:t>NW-2026-014</w:t>
                  </w:r>
                </w:p>
              </w:tc>
            </w:tr>
            <w:tr>
              <w:tc>
                <w:tcPr>
                  <w:tcW w:type="dxa" w:w="4653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160" w:type="dxa"/>
                    <w:right w:w="20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caps/>
                      <w:color w:val="7A7F8A"/>
                      <w:spacing w:val="20"/>
                      <w:sz w:val="16"/>
                    </w:rPr>
                    <w:t>Version</w:t>
                  </w:r>
                </w:p>
                <w:p>
                  <w:pPr>
                    <w:spacing w:before="0" w:after="0" w:line="264" w:lineRule="auto"/>
                  </w:pPr>
                  <w:r>
                    <w:rPr>
                      <w:b/>
                      <w:caps w:val="0"/>
                      <w:color w:val="000000"/>
                      <w:sz w:val="22"/>
                    </w:rPr>
                    <w:t>1.0</w:t>
                  </w:r>
                </w:p>
              </w:tc>
              <w:tc>
                <w:tcPr>
                  <w:tcW w:type="dxa" w:w="4653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160" w:type="dxa"/>
                    <w:right w:w="20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caps/>
                      <w:color w:val="7A7F8A"/>
                      <w:spacing w:val="20"/>
                      <w:sz w:val="16"/>
                    </w:rPr>
                    <w:t>Date</w:t>
                  </w:r>
                </w:p>
                <w:p>
                  <w:pPr>
                    <w:spacing w:before="0" w:after="0" w:line="264" w:lineRule="auto"/>
                  </w:pPr>
                  <w:r>
                    <w:rPr>
                      <w:b/>
                      <w:caps w:val="0"/>
                      <w:color w:val="000000"/>
                      <w:sz w:val="22"/>
                    </w:rPr>
                    <w:t>29 October 2026</w:t>
                  </w:r>
                </w:p>
              </w:tc>
            </w:tr>
          </w:tbl>
          <w:p>
            <w:pPr>
              <w:ind w:left="1300" w:right="1300"/>
            </w:pPr>
          </w:p>
        </w:tc>
      </w:tr>
      <w:tr>
        <w:trPr>
          <w:trHeight w:val="1247" w:hRule="exact"/>
        </w:trPr>
        <w:tc>
          <w:tcPr>
            <w:tcW w:type="dxa" w:w="1190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tabs>
                <w:tab w:pos="10606" w:val="right"/>
              </w:tabs>
              <w:ind w:left="1300" w:right="1300"/>
            </w:pPr>
            <w:r>
              <w:rPr>
                <w:b w:val="0"/>
                <w:caps w:val="0"/>
                <w:color w:val="7A7F8A"/>
                <w:sz w:val="16"/>
              </w:rPr>
              <w:t>Prepared with NEURA | IANUSTEC</w:t>
            </w:r>
            <w:r>
              <w:rPr>
                <w:b/>
                <w:caps w:val="0"/>
                <w:color w:val="7A7F8A"/>
                <w:sz w:val="16"/>
              </w:rPr>
              <w:tab/>
              <w:t>IANUSTEC S.r.l.</w:t>
            </w:r>
          </w:p>
        </w:tc>
      </w:tr>
    </w:tbl>
    <w:p>
      <w:pPr>
        <w:spacing w:before="0" w:after="0"/>
        <w:rPr>
          <w:sz w:val="2"/>
        </w:rPr>
        <w:sectPr w:rsidR="00FC693F" w:rsidRPr="0006063C" w:rsidSect="00034616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pStyle w:val="Heading1"/>
      </w:pPr>
      <w:r>
        <w:rPr>
          <w:b/>
          <w:color w:val="1F2A44"/>
        </w:rPr>
        <w:t xml:space="preserve">1  </w:t>
      </w:r>
      <w:r>
        <w:t>Summary</w:t>
      </w:r>
    </w:p>
    <w:p>
      <w:pPr>
        <w:spacing w:after="120" w:line="276" w:lineRule="auto"/>
        <w:jc w:val="left"/>
      </w:pPr>
      <w:r>
        <w:t xml:space="preserve">The assessment covered </w:t>
      </w:r>
      <w:r>
        <w:rPr>
          <w:b/>
        </w:rPr>
        <w:t>14 business processes</w:t>
      </w:r>
      <w:r>
        <w:t xml:space="preserve"> across sales, operations and finance. Nine of them are ready for automation today; the other five need data work first.</w:t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4" w:space="0" w:color="E8F5E9"/>
              <w:left w:val="single" w:sz="24" w:space="0" w:color="4CAF50"/>
              <w:bottom w:val="single" w:sz="4" w:space="0" w:color="E8F5E9"/>
              <w:right w:val="single" w:sz="4" w:space="0" w:color="E8F5E9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60"/>
            </w:pPr>
            <w:r/>
            <w:r>
              <w:rPr>
                <w:b/>
                <w:color w:val="4CAF50"/>
              </w:rPr>
              <w:t xml:space="preserve">✔ </w:t>
            </w:r>
            <w:r>
              <w:rPr>
                <w:b/>
                <w:color w:val="4CAF50"/>
              </w:rPr>
              <w:t>Quick win</w:t>
            </w:r>
          </w:p>
          <w:p>
            <w:r>
              <w:t xml:space="preserve">Invoice matching alone frees </w:t>
            </w:r>
            <w:r>
              <w:rPr>
                <w:b/>
                <w:color w:val="000000"/>
              </w:rPr>
              <w:t>1.6 FTE</w:t>
            </w:r>
            <w:r>
              <w:t xml:space="preserve"> and pays back in under four months.</w:t>
            </w:r>
          </w:p>
        </w:tc>
      </w:tr>
    </w:tbl>
    <w:p>
      <w:pPr>
        <w:pStyle w:val="Heading1"/>
      </w:pPr>
      <w:r>
        <w:rPr>
          <w:b/>
          <w:color w:val="1F2A44"/>
        </w:rPr>
        <w:t xml:space="preserve">2  </w:t>
      </w:r>
      <w:r>
        <w:t>Readiness by area</w:t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1692"/>
        <w:gridCol w:w="1605"/>
        <w:gridCol w:w="1605"/>
        <w:gridCol w:w="2140"/>
        <w:gridCol w:w="2142"/>
      </w:tblGrid>
      <w:tr>
        <w:trPr>
          <w:tblHeader/>
        </w:trPr>
        <w:tc>
          <w:tcPr>
            <w:tcW w:type="dxa" w:w="1692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00000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00000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b/>
                <w:color w:val="FFFFFF"/>
                <w:sz w:val="20"/>
              </w:rPr>
              <w:t>Processes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00000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b/>
                <w:color w:val="FFFFFF"/>
                <w:sz w:val="20"/>
              </w:rPr>
              <w:t>Ready now</w:t>
            </w:r>
          </w:p>
        </w:tc>
        <w:tc>
          <w:tcPr>
            <w:tcW w:type="dxa" w:w="2140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00000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b/>
                <w:color w:val="FFFFFF"/>
                <w:sz w:val="20"/>
              </w:rPr>
              <w:t>Data work needed</w:t>
            </w:r>
          </w:p>
        </w:tc>
        <w:tc>
          <w:tcPr>
            <w:tcW w:type="dxa" w:w="2142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00000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b/>
                <w:color w:val="FFFFFF"/>
                <w:sz w:val="20"/>
              </w:rPr>
              <w:t>Estimated saving</w:t>
            </w:r>
          </w:p>
        </w:tc>
      </w:tr>
      <w:tr>
        <w:tc>
          <w:tcPr>
            <w:tcW w:type="dxa" w:w="1692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Sales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4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3</w:t>
            </w:r>
          </w:p>
        </w:tc>
        <w:tc>
          <w:tcPr>
            <w:tcW w:type="dxa" w:w="2140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1</w:t>
            </w:r>
          </w:p>
        </w:tc>
        <w:tc>
          <w:tcPr>
            <w:tcW w:type="dxa" w:w="2142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€84,000</w:t>
            </w:r>
          </w:p>
        </w:tc>
      </w:tr>
      <w:tr>
        <w:tc>
          <w:tcPr>
            <w:tcW w:type="dxa" w:w="1692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Operations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6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4</w:t>
            </w:r>
          </w:p>
        </w:tc>
        <w:tc>
          <w:tcPr>
            <w:tcW w:type="dxa" w:w="2140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2</w:t>
            </w:r>
          </w:p>
        </w:tc>
        <w:tc>
          <w:tcPr>
            <w:tcW w:type="dxa" w:w="2142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€132,000</w:t>
            </w:r>
          </w:p>
        </w:tc>
      </w:tr>
      <w:tr>
        <w:tc>
          <w:tcPr>
            <w:tcW w:type="dxa" w:w="1692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Finance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4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2</w:t>
            </w:r>
          </w:p>
        </w:tc>
        <w:tc>
          <w:tcPr>
            <w:tcW w:type="dxa" w:w="2140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2</w:t>
            </w:r>
          </w:p>
        </w:tc>
        <w:tc>
          <w:tcPr>
            <w:tcW w:type="dxa" w:w="2142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€96,000</w:t>
            </w:r>
          </w:p>
        </w:tc>
      </w:tr>
      <w:tr>
        <w:tc>
          <w:tcPr>
            <w:tcW w:type="dxa" w:w="1692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b/>
              </w:rPr>
              <w:t>14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b/>
              </w:rPr>
              <w:t>9</w:t>
            </w:r>
          </w:p>
        </w:tc>
        <w:tc>
          <w:tcPr>
            <w:tcW w:type="dxa" w:w="2140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2142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b/>
              </w:rPr>
              <w:t>€312,000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pStyle w:val="Heading1"/>
      </w:pPr>
      <w:r>
        <w:rPr>
          <w:b/>
          <w:color w:val="1F2A44"/>
        </w:rPr>
        <w:t xml:space="preserve">3  </w:t>
      </w:r>
      <w:r>
        <w:t>Roadmap</w:t>
      </w:r>
    </w:p>
    <w:p>
      <w:pPr>
        <w:pStyle w:val="Heading2"/>
      </w:pPr>
      <w:r>
        <w:rPr>
          <w:b/>
          <w:color w:val="000000"/>
        </w:rPr>
        <w:t xml:space="preserve">3.1  </w:t>
      </w:r>
      <w:r>
        <w:t>Quarter 1</w:t>
      </w:r>
    </w:p>
    <w:p>
      <w:pPr>
        <w:numPr>
          <w:ilvl w:val="0"/>
          <w:numId w:val="10"/>
        </w:numPr>
        <w:spacing w:after="40" w:before="0" w:line="276" w:lineRule="auto"/>
      </w:pPr>
      <w:r>
        <w:t>Invoice matching and supplier onboarding</w:t>
      </w:r>
    </w:p>
    <w:p>
      <w:pPr>
        <w:numPr>
          <w:ilvl w:val="0"/>
          <w:numId w:val="10"/>
        </w:numPr>
        <w:spacing w:after="40" w:before="0" w:line="276" w:lineRule="auto"/>
      </w:pPr>
      <w:r>
        <w:t>Data model for the order backlog</w:t>
      </w:r>
    </w:p>
    <w:p>
      <w:pPr>
        <w:pStyle w:val="Heading2"/>
      </w:pPr>
      <w:r>
        <w:rPr>
          <w:b/>
          <w:color w:val="000000"/>
        </w:rPr>
        <w:t xml:space="preserve">3.2  </w:t>
      </w:r>
      <w:r>
        <w:t>Quarter 2</w:t>
      </w:r>
    </w:p>
    <w:p>
      <w:pPr>
        <w:numPr>
          <w:ilvl w:val="0"/>
          <w:numId w:val="10"/>
        </w:numPr>
        <w:spacing w:after="40" w:before="0" w:line="276" w:lineRule="auto"/>
      </w:pPr>
      <w:r>
        <w:t>Demand forecast for the three main product lines</w:t>
      </w:r>
    </w:p>
    <w:p>
      <w:pPr>
        <w:numPr>
          <w:ilvl w:val="0"/>
          <w:numId w:val="10"/>
        </w:numPr>
        <w:spacing w:after="40" w:before="0" w:line="276" w:lineRule="auto"/>
      </w:pPr>
      <w:r>
        <w:t>Assistant for the customer service team</w:t>
      </w:r>
    </w:p>
    <w:p>
      <w:pPr>
        <w:pBdr>
          <w:left w:val="single" w:sz="28" w:space="10" w:color="000000"/>
        </w:pBdr>
        <w:spacing w:before="200" w:after="120" w:line="307" w:lineRule="auto"/>
        <w:ind w:left="680" w:right="454"/>
      </w:pPr>
      <w:r>
        <w:rPr>
          <w:i/>
          <w:color w:val="1A1A1A"/>
          <w:sz w:val="26"/>
        </w:rPr>
        <w:t>“</w:t>
      </w:r>
      <w:r>
        <w:rPr>
          <w:i/>
          <w:color w:val="1A1A1A"/>
          <w:sz w:val="26"/>
        </w:rPr>
        <w:t>The goal is not to replace the team but to give back the hours it spends copying data between systems.</w:t>
      </w:r>
      <w:r>
        <w:rPr>
          <w:i/>
          <w:color w:val="1A1A1A"/>
          <w:sz w:val="26"/>
        </w:rPr>
        <w:t>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361" w:bottom="1361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184"/>
      <w:tblLayout w:type="fixed"/>
      <w:tblLook w:firstColumn="1" w:firstRow="1" w:lastColumn="0" w:lastRow="0" w:noHBand="0" w:noVBand="1" w:val="04A0"/>
    </w:tblPr>
    <w:tblGrid>
      <w:gridCol w:w="6888"/>
      <w:gridCol w:w="2296"/>
    </w:tblGrid>
    <w:tr>
      <w:tc>
        <w:tcPr>
          <w:tcW w:type="dxa" w:w="6888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>
          <w:pPr>
            <w:spacing w:after="0"/>
          </w:pPr>
          <w:r>
            <w:rPr>
              <w:b w:val="0"/>
              <w:color w:val="7A7F8A"/>
              <w:sz w:val="16"/>
            </w:rPr>
            <w:t>IANUSTEC S.r.l. · prepared with NEURA | IANUSTEC</w:t>
          </w:r>
        </w:p>
      </w:tc>
      <w:tc>
        <w:tcPr>
          <w:tcW w:type="dxa" w:w="2296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>
          <w:pPr>
            <w:spacing w:after="0"/>
            <w:jc w:val="right"/>
          </w:pPr>
          <w:r>
            <w:rPr>
              <w:color w:val="7A7F8A"/>
              <w:sz w:val="16"/>
            </w:rPr>
            <w:t xml:space="preserve">Page </w:t>
          </w:r>
          <w:r>
            <w:rPr>
              <w:color w:val="7A7F8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color w:val="7A7F8A"/>
              <w:sz w:val="16"/>
            </w:rPr>
            <w:t xml:space="preserve"> of </w:t>
          </w:r>
          <w:r>
            <w:rPr>
              <w:color w:val="7A7F8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184"/>
      <w:tblLayout w:type="fixed"/>
      <w:tblLook w:firstColumn="1" w:firstRow="1" w:lastColumn="0" w:lastRow="0" w:noHBand="0" w:noVBand="1" w:val="04A0"/>
    </w:tblPr>
    <w:tblGrid>
      <w:gridCol w:w="3674"/>
      <w:gridCol w:w="5510"/>
    </w:tblGrid>
    <w:tr>
      <w:tc>
        <w:tcPr>
          <w:tcW w:type="dxa" w:w="367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489655" cy="32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9655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510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>
          <w:pPr>
            <w:spacing w:after="0"/>
            <w:jc w:val="right"/>
          </w:pPr>
          <w:r>
            <w:rPr>
              <w:b w:val="0"/>
              <w:color w:val="7A7F8A"/>
              <w:sz w:val="16"/>
            </w:rPr>
            <w:t>AI Adoption Assessment</w:t>
          </w:r>
        </w:p>
      </w:tc>
    </w:tr>
  </w:tbl>
  <w:p>
    <w:pPr>
      <w:pBdr>
        <w:bottom w:val="single" w:sz="8" w:space="1" w:color="333333"/>
      </w:pBdr>
      <w:spacing w:before="0" w:after="0"/>
    </w:pPr>
    <w:r>
      <w:rPr>
        <w:sz w:val="8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lvl w:ilvl="0">
      <w:start w:val="1"/>
      <w:numFmt w:val="bullet"/>
      <w:lvlText w:val="•"/>
      <w:lvlJc w:val="left"/>
      <w:pPr>
        <w:ind w:left="460" w:hanging="30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20" w:hanging="30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1180" w:hanging="300"/>
      </w:pPr>
      <w:rPr>
        <w:rFonts w:ascii="Arial" w:hAnsi="Arial"/>
      </w:rPr>
    </w:lvl>
    <w:lvl w:ilvl="3">
      <w:start w:val="1"/>
      <w:numFmt w:val="bullet"/>
      <w:lvlText w:val="▫"/>
      <w:lvlJc w:val="left"/>
      <w:pPr>
        <w:ind w:left="1540" w:hanging="300"/>
      </w:pPr>
      <w:rPr>
        <w:rFonts w:ascii="Arial" w:hAnsi="Arial"/>
      </w:rPr>
    </w:lvl>
  </w:abstractNum>
  <w:abstractNum w:abstractNumId="10"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decimal"/>
      <w:lvlText w:val="%2."/>
      <w:lvlJc w:val="left"/>
      <w:pPr>
        <w:ind w:left="820" w:hanging="300"/>
      </w:pPr>
    </w:lvl>
    <w:lvl w:ilvl="2">
      <w:start w:val="1"/>
      <w:numFmt w:val="decimal"/>
      <w:lvlText w:val="%3."/>
      <w:lvlJc w:val="left"/>
      <w:pPr>
        <w:ind w:left="1180" w:hanging="300"/>
      </w:pPr>
    </w:lvl>
    <w:lvl w:ilvl="3">
      <w:start w:val="1"/>
      <w:numFmt w:val="decimal"/>
      <w:lvlText w:val="%4."/>
      <w:lvlJc w:val="left"/>
      <w:pPr>
        <w:ind w:left="1540" w:hanging="300"/>
      </w:pPr>
    </w:lvl>
  </w:abstractNum>
  <w:abstractNum w:abstractNumId="11">
    <w:lvl w:ilvl="0">
      <w:start w:val="1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820" w:hanging="360"/>
      </w:pPr>
    </w:lvl>
    <w:lvl w:ilvl="2">
      <w:start w:val="1"/>
      <w:numFmt w:val="decimal"/>
      <w:lvlText w:val="%1.%2.%3"/>
      <w:lvlJc w:val="left"/>
      <w:pPr>
        <w:ind w:left="1180" w:hanging="360"/>
      </w:pPr>
    </w:lvl>
    <w:lvl w:ilvl="3">
      <w:start w:val="1"/>
      <w:numFmt w:val="decimal"/>
      <w:lvlText w:val="%1.%2.%3.%4"/>
      <w:lvlJc w:val="left"/>
      <w:pPr>
        <w:ind w:left="154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widowControl w:val="true"/>
    </w:pPr>
    <w:rPr>
      <w:rFonts w:ascii="Calibri" w:hAnsi="Calibri" w:cs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 w:val="true"/>
      <w:pBdr>
        <w:bottom w:val="single" w:sz="6" w:space="6" w:color="595959"/>
      </w:pBdr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 w:val="true"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 w:val="true"/>
      <w:spacing w:before="14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 w:val="true"/>
      <w:spacing w:before="10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200"/>
    </w:pPr>
    <w:rPr>
      <w:rFonts w:ascii="Calibri" w:hAnsi="Calibri"/>
      <w:b w:val="0"/>
      <w:bCs/>
      <w:i/>
      <w:color w:val="4A4E5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